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bookmarkStart w:id="81" w:name="_GoBack"/>
      <w:bookmarkEnd w:id="81"/>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 xml:space="preserve"> 温岭市基本医疗保险意外伤害住院医疗费用服务外包项目</w:t>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kern w:val="0"/>
          <w:sz w:val="52"/>
          <w:szCs w:val="52"/>
        </w:rPr>
      </w:pPr>
    </w:p>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84"/>
          <w:szCs w:val="84"/>
        </w:rPr>
      </w:pPr>
      <w:r>
        <w:rPr>
          <w:rFonts w:hint="eastAsia" w:ascii="宋体"/>
          <w:b/>
          <w:kern w:val="0"/>
          <w:sz w:val="84"/>
          <w:szCs w:val="84"/>
        </w:rPr>
        <w:t>招标文件</w:t>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kern w:val="0"/>
          <w:sz w:val="52"/>
          <w:szCs w:val="52"/>
        </w:rPr>
      </w:pPr>
      <w:r>
        <w:rPr>
          <w:rFonts w:hint="eastAsia" w:ascii="宋体"/>
          <w:kern w:val="0"/>
          <w:sz w:val="52"/>
          <w:szCs w:val="52"/>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r>
        <w:rPr>
          <w:rFonts w:hint="eastAsia" w:ascii="宋体" w:cs="宋体"/>
          <w:color w:val="000000" w:themeColor="text1"/>
          <w:kern w:val="0"/>
          <w:sz w:val="32"/>
          <w:szCs w:val="32"/>
        </w:rPr>
        <w:t xml:space="preserve">项目编号：WLCG-2022-38-GK </w:t>
      </w: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cs="宋体"/>
          <w:kern w:val="0"/>
          <w:sz w:val="32"/>
          <w:szCs w:val="32"/>
        </w:rPr>
      </w:pPr>
      <w:r>
        <w:rPr>
          <w:rFonts w:hint="eastAsia" w:ascii="宋体" w:cs="宋体"/>
          <w:kern w:val="0"/>
          <w:sz w:val="32"/>
          <w:szCs w:val="32"/>
        </w:rPr>
        <w:t xml:space="preserve">采购人（章）：温岭市医疗保障局 </w:t>
      </w:r>
    </w:p>
    <w:p>
      <w:pPr>
        <w:autoSpaceDE w:val="0"/>
        <w:autoSpaceDN w:val="0"/>
        <w:adjustRightInd w:val="0"/>
        <w:spacing w:line="360" w:lineRule="auto"/>
        <w:jc w:val="center"/>
        <w:rPr>
          <w:rFonts w:ascii="宋体" w:cs="宋体"/>
          <w:kern w:val="0"/>
          <w:sz w:val="32"/>
          <w:szCs w:val="32"/>
        </w:rPr>
      </w:pPr>
      <w:r>
        <w:rPr>
          <w:rFonts w:hint="eastAsia" w:ascii="宋体" w:cs="宋体"/>
          <w:kern w:val="0"/>
          <w:sz w:val="32"/>
          <w:szCs w:val="32"/>
        </w:rPr>
        <w:t>采购代理机构（章）：温岭市政府采购中心</w:t>
      </w:r>
    </w:p>
    <w:p>
      <w:pPr>
        <w:autoSpaceDE w:val="0"/>
        <w:autoSpaceDN w:val="0"/>
        <w:adjustRightInd w:val="0"/>
        <w:spacing w:line="360" w:lineRule="auto"/>
        <w:jc w:val="center"/>
        <w:rPr>
          <w:rFonts w:ascii="宋体" w:cs="宋体"/>
          <w:b/>
          <w:bCs/>
          <w:kern w:val="0"/>
          <w:sz w:val="32"/>
          <w:szCs w:val="32"/>
        </w:rPr>
      </w:pPr>
      <w:r>
        <w:rPr>
          <w:rFonts w:hint="eastAsia" w:ascii="宋体" w:cs="宋体"/>
          <w:kern w:val="0"/>
          <w:sz w:val="32"/>
          <w:szCs w:val="32"/>
        </w:rPr>
        <w:t>备案单位：温岭市财政局政府采购监管科</w:t>
      </w:r>
    </w:p>
    <w:p>
      <w:pPr>
        <w:jc w:val="center"/>
        <w:rPr>
          <w:rFonts w:ascii="宋体" w:hAnsi="宋体" w:cs="宋体"/>
          <w:kern w:val="0"/>
          <w:sz w:val="30"/>
          <w:szCs w:val="30"/>
        </w:rPr>
      </w:pPr>
      <w:r>
        <w:rPr>
          <w:rFonts w:hint="eastAsia" w:ascii="宋体" w:hAnsi="宋体" w:cs="宋体"/>
          <w:sz w:val="30"/>
          <w:szCs w:val="30"/>
        </w:rPr>
        <w:t>2022</w:t>
      </w:r>
      <w:r>
        <w:rPr>
          <w:rFonts w:hint="eastAsia" w:ascii="宋体" w:hAnsi="宋体" w:cs="宋体"/>
          <w:kern w:val="0"/>
          <w:sz w:val="30"/>
          <w:szCs w:val="30"/>
        </w:rPr>
        <w:t>年11月</w:t>
      </w:r>
    </w:p>
    <w:p>
      <w:pPr>
        <w:pStyle w:val="2"/>
      </w:pPr>
    </w:p>
    <w:p>
      <w:pPr>
        <w:pStyle w:val="3"/>
        <w:numPr>
          <w:ilvl w:val="0"/>
          <w:numId w:val="0"/>
        </w:numPr>
        <w:jc w:val="both"/>
      </w:pPr>
    </w:p>
    <w:sdt>
      <w:sdtPr>
        <w:rPr>
          <w:rFonts w:ascii="宋体" w:hAnsi="宋体"/>
          <w:kern w:val="0"/>
          <w:sz w:val="28"/>
          <w:szCs w:val="28"/>
        </w:rPr>
        <w:id w:val="147471336"/>
        <w:docPartObj>
          <w:docPartGallery w:val="Table of Contents"/>
          <w:docPartUnique/>
        </w:docPartObj>
      </w:sdtPr>
      <w:sdtEndPr>
        <w:rPr>
          <w:rFonts w:ascii="宋体" w:hAnsi="宋体"/>
          <w:color w:val="000000" w:themeColor="text1"/>
          <w:kern w:val="0"/>
          <w:sz w:val="20"/>
          <w:szCs w:val="20"/>
        </w:rPr>
      </w:sdtEndPr>
      <w:sdtContent>
        <w:p>
          <w:pPr>
            <w:pStyle w:val="21"/>
          </w:pPr>
          <w:bookmarkStart w:id="0" w:name="_Toc25017_WPSOffice_Type1"/>
        </w:p>
        <w:p>
          <w:pPr>
            <w:spacing w:line="480" w:lineRule="auto"/>
            <w:jc w:val="center"/>
            <w:rPr>
              <w:rFonts w:ascii="宋体" w:hAnsi="宋体"/>
              <w:b/>
              <w:bCs/>
              <w:sz w:val="36"/>
              <w:szCs w:val="36"/>
            </w:rPr>
          </w:pPr>
          <w:r>
            <w:rPr>
              <w:rFonts w:hint="eastAsia" w:ascii="宋体" w:hAnsi="宋体"/>
              <w:b/>
              <w:bCs/>
              <w:sz w:val="36"/>
              <w:szCs w:val="36"/>
            </w:rPr>
            <w:t>目  录</w:t>
          </w:r>
        </w:p>
        <w:p>
          <w:pPr>
            <w:pStyle w:val="18"/>
            <w:tabs>
              <w:tab w:val="right" w:leader="dot" w:pos="8620"/>
            </w:tabs>
            <w:rPr>
              <w:rFonts w:eastAsiaTheme="minorEastAsia" w:cstheme="minorBidi"/>
              <w:color w:val="000000" w:themeColor="text1"/>
              <w:sz w:val="28"/>
              <w:szCs w:val="28"/>
            </w:rPr>
          </w:pPr>
          <w:r>
            <w:rPr>
              <w:color w:val="000000" w:themeColor="text1"/>
            </w:rPr>
            <w:fldChar w:fldCharType="begin"/>
          </w:r>
          <w:r>
            <w:rPr>
              <w:color w:val="000000" w:themeColor="text1"/>
            </w:rPr>
            <w:instrText xml:space="preserve"> HYPERLINK \l "_Toc4350_WPSOffice_Level1" </w:instrText>
          </w:r>
          <w:r>
            <w:rPr>
              <w:color w:val="000000" w:themeColor="text1"/>
            </w:rPr>
            <w:fldChar w:fldCharType="separate"/>
          </w:r>
          <w:r>
            <w:rPr>
              <w:rFonts w:hint="eastAsia" w:eastAsiaTheme="minorEastAsia" w:cstheme="minorBidi"/>
              <w:color w:val="000000" w:themeColor="text1"/>
              <w:sz w:val="28"/>
              <w:szCs w:val="28"/>
            </w:rPr>
            <w:t>第一章 投标邀请</w:t>
          </w:r>
          <w:r>
            <w:rPr>
              <w:rFonts w:hint="eastAsia" w:eastAsiaTheme="minorEastAsia" w:cstheme="minorBidi"/>
              <w:color w:val="000000" w:themeColor="text1"/>
              <w:sz w:val="28"/>
              <w:szCs w:val="28"/>
            </w:rPr>
            <w:tab/>
          </w:r>
          <w:bookmarkStart w:id="1" w:name="_Toc4350_WPSOffice_Level1Page"/>
          <w:r>
            <w:rPr>
              <w:rFonts w:hint="eastAsia" w:eastAsiaTheme="minorEastAsia" w:cstheme="minorBidi"/>
              <w:color w:val="000000" w:themeColor="text1"/>
              <w:sz w:val="28"/>
              <w:szCs w:val="28"/>
            </w:rPr>
            <w:t>3</w:t>
          </w:r>
          <w:bookmarkEnd w:id="1"/>
          <w:r>
            <w:rPr>
              <w:rFonts w:hint="eastAsia" w:eastAsiaTheme="minorEastAsia" w:cstheme="minorBidi"/>
              <w:color w:val="000000" w:themeColor="text1"/>
              <w:sz w:val="28"/>
              <w:szCs w:val="28"/>
            </w:rPr>
            <w:fldChar w:fldCharType="end"/>
          </w:r>
        </w:p>
        <w:p>
          <w:pPr>
            <w:pStyle w:val="18"/>
            <w:tabs>
              <w:tab w:val="right" w:leader="dot" w:pos="8620"/>
            </w:tabs>
            <w:rPr>
              <w:rFonts w:eastAsiaTheme="minorEastAsia" w:cstheme="minorBidi"/>
              <w:color w:val="000000" w:themeColor="text1"/>
              <w:sz w:val="28"/>
              <w:szCs w:val="28"/>
            </w:rPr>
          </w:pPr>
          <w:r>
            <w:rPr>
              <w:color w:val="000000" w:themeColor="text1"/>
            </w:rPr>
            <w:fldChar w:fldCharType="begin"/>
          </w:r>
          <w:r>
            <w:rPr>
              <w:color w:val="000000" w:themeColor="text1"/>
            </w:rPr>
            <w:instrText xml:space="preserve"> HYPERLINK \l "_Toc25017_WPSOffice_Level1" </w:instrText>
          </w:r>
          <w:r>
            <w:rPr>
              <w:color w:val="000000" w:themeColor="text1"/>
            </w:rPr>
            <w:fldChar w:fldCharType="separate"/>
          </w:r>
          <w:r>
            <w:rPr>
              <w:rFonts w:hint="eastAsia" w:eastAsiaTheme="minorEastAsia" w:cstheme="minorBidi"/>
              <w:color w:val="000000" w:themeColor="text1"/>
              <w:sz w:val="28"/>
              <w:szCs w:val="28"/>
            </w:rPr>
            <w:t>第二章 投标人须知</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t>7</w:t>
          </w:r>
          <w:r>
            <w:rPr>
              <w:rFonts w:hint="eastAsia" w:eastAsiaTheme="minorEastAsia" w:cstheme="minorBidi"/>
              <w:color w:val="000000" w:themeColor="text1"/>
              <w:sz w:val="28"/>
              <w:szCs w:val="28"/>
            </w:rPr>
            <w:fldChar w:fldCharType="end"/>
          </w:r>
        </w:p>
        <w:p>
          <w:pPr>
            <w:pStyle w:val="18"/>
            <w:tabs>
              <w:tab w:val="right" w:leader="dot" w:pos="8620"/>
            </w:tabs>
            <w:rPr>
              <w:rFonts w:eastAsiaTheme="minorEastAsia" w:cstheme="minorBidi"/>
              <w:color w:val="000000" w:themeColor="text1"/>
              <w:sz w:val="28"/>
              <w:szCs w:val="28"/>
            </w:rPr>
          </w:pPr>
          <w:r>
            <w:rPr>
              <w:color w:val="000000" w:themeColor="text1"/>
            </w:rPr>
            <w:fldChar w:fldCharType="begin"/>
          </w:r>
          <w:r>
            <w:rPr>
              <w:color w:val="000000" w:themeColor="text1"/>
            </w:rPr>
            <w:instrText xml:space="preserve"> HYPERLINK \l "_Toc13072_WPSOffice_Level1" </w:instrText>
          </w:r>
          <w:r>
            <w:rPr>
              <w:color w:val="000000" w:themeColor="text1"/>
            </w:rPr>
            <w:fldChar w:fldCharType="separate"/>
          </w:r>
          <w:r>
            <w:rPr>
              <w:rFonts w:hint="eastAsia" w:eastAsiaTheme="minorEastAsia" w:cstheme="minorBidi"/>
              <w:color w:val="000000" w:themeColor="text1"/>
              <w:sz w:val="28"/>
              <w:szCs w:val="28"/>
            </w:rPr>
            <w:t>第三章 招标需求</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t>1</w:t>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rPr>
            <w:t>8</w:t>
          </w:r>
        </w:p>
        <w:p>
          <w:pPr>
            <w:pStyle w:val="18"/>
            <w:tabs>
              <w:tab w:val="right" w:leader="dot" w:pos="8620"/>
            </w:tabs>
            <w:rPr>
              <w:rFonts w:eastAsiaTheme="minorEastAsia" w:cstheme="minorBidi"/>
              <w:color w:val="000000" w:themeColor="text1"/>
              <w:sz w:val="28"/>
              <w:szCs w:val="28"/>
            </w:rPr>
          </w:pPr>
          <w:r>
            <w:rPr>
              <w:color w:val="000000" w:themeColor="text1"/>
            </w:rPr>
            <w:fldChar w:fldCharType="begin"/>
          </w:r>
          <w:r>
            <w:rPr>
              <w:color w:val="000000" w:themeColor="text1"/>
            </w:rPr>
            <w:instrText xml:space="preserve"> HYPERLINK \l "_Toc31173_WPSOffice_Level1" </w:instrText>
          </w:r>
          <w:r>
            <w:rPr>
              <w:color w:val="000000" w:themeColor="text1"/>
            </w:rPr>
            <w:fldChar w:fldCharType="separate"/>
          </w:r>
          <w:r>
            <w:rPr>
              <w:rFonts w:hint="eastAsia" w:eastAsiaTheme="minorEastAsia" w:cstheme="minorBidi"/>
              <w:color w:val="000000" w:themeColor="text1"/>
              <w:sz w:val="28"/>
              <w:szCs w:val="28"/>
            </w:rPr>
            <w:t>第四章 评标</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rPr>
            <w:t>29</w:t>
          </w:r>
        </w:p>
        <w:p>
          <w:pPr>
            <w:pStyle w:val="18"/>
            <w:tabs>
              <w:tab w:val="right" w:leader="dot" w:pos="8620"/>
            </w:tabs>
            <w:rPr>
              <w:rFonts w:eastAsiaTheme="minorEastAsia" w:cstheme="minorBidi"/>
              <w:color w:val="000000" w:themeColor="text1"/>
              <w:sz w:val="28"/>
              <w:szCs w:val="28"/>
            </w:rPr>
          </w:pPr>
          <w:r>
            <w:rPr>
              <w:color w:val="000000" w:themeColor="text1"/>
            </w:rPr>
            <w:fldChar w:fldCharType="begin"/>
          </w:r>
          <w:r>
            <w:rPr>
              <w:color w:val="000000" w:themeColor="text1"/>
            </w:rPr>
            <w:instrText xml:space="preserve"> HYPERLINK \l "_Toc27944_WPSOffice_Level1" </w:instrText>
          </w:r>
          <w:r>
            <w:rPr>
              <w:color w:val="000000" w:themeColor="text1"/>
            </w:rPr>
            <w:fldChar w:fldCharType="separate"/>
          </w:r>
          <w:r>
            <w:rPr>
              <w:rFonts w:hint="eastAsia" w:eastAsiaTheme="minorEastAsia" w:cstheme="minorBidi"/>
              <w:color w:val="000000" w:themeColor="text1"/>
              <w:sz w:val="28"/>
              <w:szCs w:val="28"/>
            </w:rPr>
            <w:t>第五章 拟签订的合同文本</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rPr>
            <w:t>37</w:t>
          </w:r>
        </w:p>
        <w:p>
          <w:pPr>
            <w:pStyle w:val="18"/>
            <w:tabs>
              <w:tab w:val="right" w:leader="dot" w:pos="8620"/>
            </w:tabs>
            <w:rPr>
              <w:color w:val="000000" w:themeColor="text1"/>
            </w:rPr>
          </w:pPr>
          <w:r>
            <w:rPr>
              <w:color w:val="000000" w:themeColor="text1"/>
            </w:rPr>
            <w:fldChar w:fldCharType="begin"/>
          </w:r>
          <w:r>
            <w:rPr>
              <w:color w:val="000000" w:themeColor="text1"/>
            </w:rPr>
            <w:instrText xml:space="preserve"> HYPERLINK \l "_Toc5481_WPSOffice_Level1" </w:instrText>
          </w:r>
          <w:r>
            <w:rPr>
              <w:color w:val="000000" w:themeColor="text1"/>
            </w:rPr>
            <w:fldChar w:fldCharType="separate"/>
          </w:r>
          <w:r>
            <w:rPr>
              <w:rFonts w:hint="eastAsia" w:eastAsiaTheme="minorEastAsia" w:cstheme="minorBidi"/>
              <w:color w:val="000000" w:themeColor="text1"/>
              <w:sz w:val="28"/>
              <w:szCs w:val="28"/>
            </w:rPr>
            <w:t>第六章 投标文件格式</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rPr>
            <w:t>40</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pPr>
    </w:p>
    <w:p/>
    <w:p>
      <w:pPr>
        <w:pStyle w:val="2"/>
      </w:pPr>
    </w:p>
    <w:p/>
    <w:p>
      <w:pPr>
        <w:pStyle w:val="2"/>
      </w:pPr>
    </w:p>
    <w:p/>
    <w:p>
      <w:pPr>
        <w:pStyle w:val="2"/>
      </w:pPr>
    </w:p>
    <w:p>
      <w:pPr>
        <w:rPr>
          <w:rFonts w:asciiTheme="majorEastAsia" w:hAnsiTheme="majorEastAsia" w:eastAsiaTheme="majorEastAsia"/>
          <w:b/>
          <w:sz w:val="36"/>
          <w:szCs w:val="36"/>
        </w:rPr>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2" w:name="_Toc4350_WPSOffice_Level1"/>
      <w:r>
        <w:rPr>
          <w:rFonts w:hint="eastAsia" w:ascii="宋体" w:hAnsi="宋体" w:cs="宋体"/>
          <w:b/>
          <w:kern w:val="0"/>
          <w:sz w:val="36"/>
          <w:szCs w:val="36"/>
        </w:rPr>
        <w:t>投标邀请</w:t>
      </w:r>
      <w:bookmarkEnd w:id="2"/>
    </w:p>
    <w:p>
      <w:pPr>
        <w:pStyle w:val="4"/>
        <w:ind w:firstLine="480" w:firstLineChars="200"/>
        <w:rPr>
          <w:rFonts w:cs="宋体"/>
          <w:b w:val="0"/>
          <w:sz w:val="24"/>
          <w:szCs w:val="24"/>
        </w:rPr>
      </w:pPr>
      <w:bookmarkStart w:id="3" w:name="_Toc28359002"/>
      <w:bookmarkStart w:id="4" w:name="_Toc35393790"/>
      <w:bookmarkStart w:id="5" w:name="_Toc35393621"/>
      <w:bookmarkStart w:id="6" w:name="_Toc28359079"/>
      <w:bookmarkStart w:id="7" w:name="_Hlk24379207"/>
      <w:r>
        <w:rPr>
          <w:rFonts w:hint="eastAsia" w:cs="宋体"/>
          <w:b w:val="0"/>
          <w:sz w:val="24"/>
          <w:szCs w:val="24"/>
        </w:rPr>
        <w:t>温岭市政府采购中心受温岭市医疗保障局委托，就温岭市基本医疗保险意外伤害住院医疗费用服务外包项目进行公开招标，欢迎符合资格条件的国内投标人参加投标。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3"/>
      <w:bookmarkEnd w:id="4"/>
      <w:bookmarkEnd w:id="5"/>
      <w:bookmarkEnd w:id="6"/>
    </w:p>
    <w:p>
      <w:pPr>
        <w:spacing w:line="360" w:lineRule="auto"/>
        <w:ind w:firstLine="480" w:firstLineChars="200"/>
        <w:rPr>
          <w:rFonts w:ascii="宋体" w:hAnsi="宋体" w:cs="宋体"/>
          <w:sz w:val="24"/>
        </w:rPr>
      </w:pPr>
      <w:r>
        <w:rPr>
          <w:rFonts w:hint="eastAsia" w:ascii="宋体" w:hAnsi="宋体" w:cs="宋体"/>
          <w:sz w:val="24"/>
        </w:rPr>
        <w:t xml:space="preserve">项目编号：WLCG-2022-38-GK </w:t>
      </w:r>
    </w:p>
    <w:bookmarkEnd w:id="7"/>
    <w:p>
      <w:pPr>
        <w:spacing w:line="360" w:lineRule="auto"/>
        <w:ind w:firstLine="480" w:firstLineChars="200"/>
        <w:rPr>
          <w:rFonts w:cs="宋体"/>
          <w:sz w:val="24"/>
        </w:rPr>
      </w:pPr>
      <w:r>
        <w:rPr>
          <w:rFonts w:hint="eastAsia" w:ascii="宋体" w:hAnsi="宋体" w:cs="宋体"/>
          <w:sz w:val="24"/>
        </w:rPr>
        <w:t>项目名称：</w:t>
      </w:r>
      <w:r>
        <w:rPr>
          <w:rFonts w:hint="eastAsia" w:cs="宋体"/>
          <w:sz w:val="24"/>
        </w:rPr>
        <w:t>温岭市基本医疗保险意外伤害住院医疗费用服务外包项目</w:t>
      </w:r>
    </w:p>
    <w:tbl>
      <w:tblPr>
        <w:tblStyle w:val="2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216"/>
        <w:gridCol w:w="3544"/>
        <w:gridCol w:w="709"/>
        <w:gridCol w:w="56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jc w:val="center"/>
        </w:trPr>
        <w:tc>
          <w:tcPr>
            <w:tcW w:w="662" w:type="dxa"/>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sz w:val="24"/>
              </w:rPr>
              <w:t>标段</w:t>
            </w:r>
          </w:p>
        </w:tc>
        <w:tc>
          <w:tcPr>
            <w:tcW w:w="2216" w:type="dxa"/>
            <w:vAlign w:val="center"/>
          </w:tcPr>
          <w:p>
            <w:pPr>
              <w:tabs>
                <w:tab w:val="left" w:pos="8280"/>
              </w:tabs>
              <w:autoSpaceDE w:val="0"/>
              <w:autoSpaceDN w:val="0"/>
              <w:adjustRightInd w:val="0"/>
              <w:ind w:right="23" w:firstLine="120" w:firstLineChars="50"/>
              <w:jc w:val="center"/>
              <w:rPr>
                <w:rFonts w:ascii="宋体" w:hAnsi="宋体" w:cs="宋体"/>
                <w:sz w:val="24"/>
              </w:rPr>
            </w:pPr>
            <w:r>
              <w:rPr>
                <w:rFonts w:hint="eastAsia" w:ascii="宋体" w:hAnsi="宋体" w:cs="宋体"/>
                <w:sz w:val="24"/>
              </w:rPr>
              <w:t>项目名称</w:t>
            </w:r>
          </w:p>
        </w:tc>
        <w:tc>
          <w:tcPr>
            <w:tcW w:w="3544" w:type="dxa"/>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kern w:val="0"/>
                <w:sz w:val="24"/>
              </w:rPr>
              <w:t>简要技术要求</w:t>
            </w:r>
          </w:p>
        </w:tc>
        <w:tc>
          <w:tcPr>
            <w:tcW w:w="709" w:type="dxa"/>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sz w:val="24"/>
              </w:rPr>
              <w:t>数量</w:t>
            </w:r>
          </w:p>
        </w:tc>
        <w:tc>
          <w:tcPr>
            <w:tcW w:w="567" w:type="dxa"/>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sz w:val="24"/>
              </w:rPr>
              <w:t>单位</w:t>
            </w:r>
          </w:p>
        </w:tc>
        <w:tc>
          <w:tcPr>
            <w:tcW w:w="1317" w:type="dxa"/>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sz w:val="24"/>
              </w:rPr>
              <w:t>上限价（万元）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62" w:type="dxa"/>
            <w:vAlign w:val="center"/>
          </w:tcPr>
          <w:p>
            <w:pPr>
              <w:tabs>
                <w:tab w:val="left" w:pos="8280"/>
              </w:tabs>
              <w:autoSpaceDE w:val="0"/>
              <w:autoSpaceDN w:val="0"/>
              <w:adjustRightInd w:val="0"/>
              <w:spacing w:line="440" w:lineRule="exact"/>
              <w:ind w:right="25"/>
              <w:jc w:val="center"/>
              <w:rPr>
                <w:rFonts w:ascii="宋体" w:hAnsi="宋体" w:cs="宋体"/>
                <w:sz w:val="24"/>
              </w:rPr>
            </w:pPr>
            <w:r>
              <w:rPr>
                <w:rFonts w:hint="eastAsia" w:ascii="宋体" w:hAnsi="宋体" w:cs="宋体"/>
                <w:sz w:val="24"/>
              </w:rPr>
              <w:t>一</w:t>
            </w:r>
          </w:p>
        </w:tc>
        <w:tc>
          <w:tcPr>
            <w:tcW w:w="2216" w:type="dxa"/>
            <w:vAlign w:val="center"/>
          </w:tcPr>
          <w:p>
            <w:pPr>
              <w:widowControl/>
              <w:spacing w:line="440" w:lineRule="exact"/>
              <w:jc w:val="center"/>
              <w:rPr>
                <w:rFonts w:ascii="宋体" w:hAnsi="宋体" w:cs="宋体"/>
                <w:sz w:val="24"/>
              </w:rPr>
            </w:pPr>
            <w:r>
              <w:rPr>
                <w:rFonts w:hint="eastAsia" w:ascii="宋体" w:hAnsi="宋体" w:cs="宋体"/>
                <w:color w:val="000000"/>
                <w:sz w:val="24"/>
              </w:rPr>
              <w:t>温岭市城乡居民</w:t>
            </w:r>
            <w:r>
              <w:rPr>
                <w:rFonts w:hint="eastAsia" w:ascii="宋体" w:hAnsi="宋体" w:cs="宋体"/>
                <w:sz w:val="24"/>
              </w:rPr>
              <w:t>基本医疗保险意外伤害住院医疗费用服务外包项目</w:t>
            </w:r>
          </w:p>
        </w:tc>
        <w:tc>
          <w:tcPr>
            <w:tcW w:w="3544" w:type="dxa"/>
            <w:vAlign w:val="center"/>
          </w:tcPr>
          <w:p>
            <w:pPr>
              <w:widowControl/>
              <w:shd w:val="clear" w:color="auto" w:fill="FFFFFF"/>
              <w:snapToGrid w:val="0"/>
              <w:spacing w:line="380" w:lineRule="exact"/>
              <w:jc w:val="left"/>
              <w:rPr>
                <w:rFonts w:ascii="宋体" w:hAnsi="宋体" w:cs="宋体"/>
                <w:sz w:val="24"/>
              </w:rPr>
            </w:pPr>
            <w:r>
              <w:rPr>
                <w:rFonts w:hint="eastAsia" w:cs="宋体" w:asciiTheme="minorEastAsia" w:hAnsiTheme="minorEastAsia" w:eastAsiaTheme="minorEastAsia"/>
                <w:color w:val="000000"/>
                <w:sz w:val="24"/>
              </w:rPr>
              <w:t>参保人数暂定78.5万人，年底时按照当年期末参保人数按实结算；保险费92.66元/人/年，一</w:t>
            </w:r>
            <w:r>
              <w:rPr>
                <w:rFonts w:hint="eastAsia" w:cs="宋体" w:asciiTheme="minorEastAsia" w:hAnsiTheme="minorEastAsia" w:eastAsiaTheme="minorEastAsia"/>
                <w:kern w:val="0"/>
                <w:sz w:val="24"/>
              </w:rPr>
              <w:t>年预算总金额为7273.81万元。本次招标合作期为</w:t>
            </w:r>
            <w:r>
              <w:rPr>
                <w:rFonts w:cs="宋体" w:asciiTheme="minorEastAsia" w:hAnsiTheme="minorEastAsia" w:eastAsiaTheme="minorEastAsia"/>
                <w:kern w:val="0"/>
                <w:sz w:val="24"/>
              </w:rPr>
              <w:t>20</w:t>
            </w:r>
            <w:r>
              <w:rPr>
                <w:rFonts w:hint="eastAsia" w:cs="宋体" w:asciiTheme="minorEastAsia" w:hAnsiTheme="minorEastAsia" w:eastAsiaTheme="minorEastAsia"/>
                <w:kern w:val="0"/>
                <w:sz w:val="24"/>
              </w:rPr>
              <w:t>23年1月1日到2023年12月31日。</w:t>
            </w:r>
          </w:p>
        </w:tc>
        <w:tc>
          <w:tcPr>
            <w:tcW w:w="709" w:type="dxa"/>
            <w:vAlign w:val="center"/>
          </w:tcPr>
          <w:p>
            <w:pPr>
              <w:widowControl/>
              <w:jc w:val="center"/>
              <w:rPr>
                <w:rFonts w:ascii="宋体" w:hAnsi="宋体" w:cs="宋体"/>
                <w:sz w:val="24"/>
              </w:rPr>
            </w:pPr>
            <w:r>
              <w:rPr>
                <w:rFonts w:hint="eastAsia" w:ascii="宋体" w:hAnsi="宋体" w:cs="宋体"/>
                <w:sz w:val="24"/>
              </w:rPr>
              <w:t>1</w:t>
            </w:r>
          </w:p>
        </w:tc>
        <w:tc>
          <w:tcPr>
            <w:tcW w:w="567" w:type="dxa"/>
            <w:vAlign w:val="center"/>
          </w:tcPr>
          <w:p>
            <w:pPr>
              <w:widowControl/>
              <w:jc w:val="center"/>
              <w:rPr>
                <w:rFonts w:ascii="宋体" w:hAnsi="宋体" w:cs="宋体"/>
                <w:sz w:val="24"/>
              </w:rPr>
            </w:pPr>
            <w:r>
              <w:rPr>
                <w:rFonts w:hint="eastAsia" w:ascii="宋体" w:hAnsi="宋体" w:cs="宋体"/>
                <w:sz w:val="24"/>
              </w:rPr>
              <w:t>项</w:t>
            </w:r>
          </w:p>
        </w:tc>
        <w:tc>
          <w:tcPr>
            <w:tcW w:w="1317" w:type="dxa"/>
            <w:vAlign w:val="center"/>
          </w:tcPr>
          <w:p>
            <w:pPr>
              <w:tabs>
                <w:tab w:val="left" w:pos="8280"/>
              </w:tabs>
              <w:autoSpaceDE w:val="0"/>
              <w:autoSpaceDN w:val="0"/>
              <w:adjustRightInd w:val="0"/>
              <w:spacing w:line="440" w:lineRule="exact"/>
              <w:ind w:right="25"/>
              <w:jc w:val="center"/>
              <w:rPr>
                <w:rFonts w:ascii="宋体" w:hAnsi="宋体" w:cs="宋体"/>
                <w:sz w:val="24"/>
              </w:rPr>
            </w:pPr>
            <w:r>
              <w:rPr>
                <w:rFonts w:hint="eastAsia" w:cs="宋体" w:asciiTheme="minorEastAsia" w:hAnsiTheme="minorEastAsia" w:eastAsiaTheme="minorEastAsia"/>
                <w:kern w:val="0"/>
                <w:sz w:val="24"/>
              </w:rPr>
              <w:t>7273.81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62" w:type="dxa"/>
            <w:vAlign w:val="center"/>
          </w:tcPr>
          <w:p>
            <w:pPr>
              <w:tabs>
                <w:tab w:val="left" w:pos="8280"/>
              </w:tabs>
              <w:autoSpaceDE w:val="0"/>
              <w:autoSpaceDN w:val="0"/>
              <w:adjustRightInd w:val="0"/>
              <w:spacing w:line="440" w:lineRule="exact"/>
              <w:ind w:right="25"/>
              <w:jc w:val="center"/>
              <w:rPr>
                <w:rFonts w:ascii="宋体" w:hAnsi="宋体" w:cs="宋体"/>
                <w:sz w:val="24"/>
              </w:rPr>
            </w:pPr>
            <w:r>
              <w:rPr>
                <w:rFonts w:hint="eastAsia" w:ascii="宋体" w:hAnsi="宋体" w:cs="宋体"/>
                <w:sz w:val="24"/>
              </w:rPr>
              <w:t>二</w:t>
            </w:r>
          </w:p>
        </w:tc>
        <w:tc>
          <w:tcPr>
            <w:tcW w:w="2216" w:type="dxa"/>
            <w:vAlign w:val="center"/>
          </w:tcPr>
          <w:p>
            <w:pPr>
              <w:widowControl/>
              <w:spacing w:line="440" w:lineRule="exact"/>
              <w:jc w:val="center"/>
              <w:rPr>
                <w:rFonts w:ascii="宋体" w:hAnsi="宋体" w:cs="宋体"/>
                <w:sz w:val="24"/>
              </w:rPr>
            </w:pPr>
            <w:r>
              <w:rPr>
                <w:rFonts w:hint="eastAsia" w:ascii="宋体" w:hAnsi="宋体" w:cs="宋体"/>
                <w:color w:val="000000"/>
                <w:sz w:val="24"/>
              </w:rPr>
              <w:t>温岭市职工基本医疗保险意外伤害住院医疗费用服务外包</w:t>
            </w:r>
            <w:r>
              <w:rPr>
                <w:rFonts w:hint="eastAsia" w:ascii="宋体" w:hAnsi="宋体" w:cs="宋体"/>
                <w:sz w:val="24"/>
              </w:rPr>
              <w:t>项目</w:t>
            </w:r>
          </w:p>
        </w:tc>
        <w:tc>
          <w:tcPr>
            <w:tcW w:w="3544" w:type="dxa"/>
            <w:vAlign w:val="center"/>
          </w:tcPr>
          <w:p>
            <w:pPr>
              <w:widowControl/>
              <w:shd w:val="clear" w:color="auto" w:fill="FFFFFF"/>
              <w:snapToGrid w:val="0"/>
              <w:spacing w:line="380" w:lineRule="exact"/>
              <w:ind w:firstLine="480" w:firstLineChars="200"/>
              <w:jc w:val="left"/>
              <w:rPr>
                <w:rFonts w:ascii="宋体" w:hAnsi="宋体" w:cs="宋体"/>
                <w:sz w:val="24"/>
              </w:rPr>
            </w:pPr>
            <w:r>
              <w:rPr>
                <w:rFonts w:hint="eastAsia" w:cs="宋体" w:asciiTheme="minorEastAsia" w:hAnsiTheme="minorEastAsia" w:eastAsiaTheme="minorEastAsia"/>
                <w:color w:val="000000"/>
                <w:sz w:val="24"/>
              </w:rPr>
              <w:t>参保人数暂定39.5万人，年底时按照月平均参保人数按实结算；保险费62.06元/人/年，一</w:t>
            </w:r>
            <w:r>
              <w:rPr>
                <w:rFonts w:hint="eastAsia" w:cs="宋体" w:asciiTheme="minorEastAsia" w:hAnsiTheme="minorEastAsia" w:eastAsiaTheme="minorEastAsia"/>
                <w:kern w:val="0"/>
                <w:sz w:val="24"/>
              </w:rPr>
              <w:t>年预算总金额为2451.37万元。本次招标合作期为</w:t>
            </w:r>
            <w:r>
              <w:rPr>
                <w:rFonts w:cs="宋体" w:asciiTheme="minorEastAsia" w:hAnsiTheme="minorEastAsia" w:eastAsiaTheme="minorEastAsia"/>
                <w:kern w:val="0"/>
                <w:sz w:val="24"/>
              </w:rPr>
              <w:t>20</w:t>
            </w:r>
            <w:r>
              <w:rPr>
                <w:rFonts w:hint="eastAsia" w:cs="宋体" w:asciiTheme="minorEastAsia" w:hAnsiTheme="minorEastAsia" w:eastAsiaTheme="minorEastAsia"/>
                <w:kern w:val="0"/>
                <w:sz w:val="24"/>
              </w:rPr>
              <w:t>23年1月1日到2023年12月31日。</w:t>
            </w:r>
          </w:p>
        </w:tc>
        <w:tc>
          <w:tcPr>
            <w:tcW w:w="709" w:type="dxa"/>
            <w:vAlign w:val="center"/>
          </w:tcPr>
          <w:p>
            <w:pPr>
              <w:widowControl/>
              <w:jc w:val="center"/>
              <w:rPr>
                <w:rFonts w:ascii="宋体" w:hAnsi="宋体" w:cs="宋体"/>
                <w:sz w:val="24"/>
              </w:rPr>
            </w:pPr>
            <w:r>
              <w:rPr>
                <w:rFonts w:hint="eastAsia" w:ascii="宋体" w:hAnsi="宋体" w:cs="宋体"/>
                <w:sz w:val="24"/>
              </w:rPr>
              <w:t>1</w:t>
            </w:r>
          </w:p>
        </w:tc>
        <w:tc>
          <w:tcPr>
            <w:tcW w:w="567" w:type="dxa"/>
            <w:vAlign w:val="center"/>
          </w:tcPr>
          <w:p>
            <w:pPr>
              <w:widowControl/>
              <w:jc w:val="center"/>
              <w:rPr>
                <w:rFonts w:ascii="宋体" w:hAnsi="宋体" w:cs="宋体"/>
                <w:sz w:val="24"/>
              </w:rPr>
            </w:pPr>
            <w:r>
              <w:rPr>
                <w:rFonts w:hint="eastAsia" w:ascii="宋体" w:hAnsi="宋体" w:cs="宋体"/>
                <w:sz w:val="24"/>
              </w:rPr>
              <w:t>项</w:t>
            </w:r>
          </w:p>
        </w:tc>
        <w:tc>
          <w:tcPr>
            <w:tcW w:w="1317" w:type="dxa"/>
            <w:vAlign w:val="center"/>
          </w:tcPr>
          <w:p>
            <w:pPr>
              <w:tabs>
                <w:tab w:val="left" w:pos="8280"/>
              </w:tabs>
              <w:autoSpaceDE w:val="0"/>
              <w:autoSpaceDN w:val="0"/>
              <w:adjustRightInd w:val="0"/>
              <w:spacing w:line="440" w:lineRule="exact"/>
              <w:ind w:right="25"/>
              <w:jc w:val="center"/>
              <w:rPr>
                <w:rFonts w:ascii="宋体" w:hAnsi="宋体" w:cs="宋体"/>
                <w:sz w:val="24"/>
              </w:rPr>
            </w:pPr>
            <w:r>
              <w:rPr>
                <w:rFonts w:hint="eastAsia" w:cs="宋体" w:asciiTheme="minorEastAsia" w:hAnsiTheme="minorEastAsia" w:eastAsiaTheme="minorEastAsia"/>
                <w:kern w:val="0"/>
                <w:sz w:val="24"/>
              </w:rPr>
              <w:t>2451.37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015" w:type="dxa"/>
            <w:gridSpan w:val="6"/>
            <w:vAlign w:val="center"/>
          </w:tcPr>
          <w:p>
            <w:pPr>
              <w:tabs>
                <w:tab w:val="left" w:pos="1168"/>
              </w:tabs>
              <w:spacing w:line="360" w:lineRule="auto"/>
              <w:rPr>
                <w:rFonts w:ascii="宋体" w:hAnsi="宋体" w:cs="宋体"/>
                <w:color w:val="000000"/>
                <w:sz w:val="24"/>
              </w:rPr>
            </w:pPr>
            <w:r>
              <w:rPr>
                <w:rFonts w:hint="eastAsia" w:ascii="宋体" w:hAnsi="宋体" w:cs="宋体"/>
                <w:color w:val="000000"/>
                <w:sz w:val="24"/>
              </w:rPr>
              <w:t>注：</w:t>
            </w:r>
          </w:p>
          <w:p>
            <w:pPr>
              <w:tabs>
                <w:tab w:val="left" w:pos="1168"/>
              </w:tabs>
              <w:spacing w:line="360" w:lineRule="auto"/>
              <w:rPr>
                <w:rFonts w:ascii="宋体" w:hAnsi="宋体" w:cs="宋体"/>
                <w:color w:val="000000"/>
                <w:sz w:val="24"/>
              </w:rPr>
            </w:pPr>
            <w:r>
              <w:rPr>
                <w:rFonts w:hint="eastAsia" w:ascii="宋体" w:hAnsi="宋体" w:cs="宋体"/>
                <w:color w:val="000000"/>
                <w:sz w:val="24"/>
              </w:rPr>
              <w:t>1、</w:t>
            </w:r>
            <w:r>
              <w:rPr>
                <w:rFonts w:hint="eastAsia" w:ascii="宋体" w:hAnsi="宋体" w:cs="宋体"/>
                <w:b/>
                <w:bCs/>
                <w:sz w:val="24"/>
              </w:rPr>
              <w:t>本项目两个标段只能中一个标段，不能兼得兼中。第一标段中标者如为联合体，则联合体的两家保险公司均不能参加第二标段竞标。</w:t>
            </w:r>
          </w:p>
          <w:p>
            <w:pPr>
              <w:tabs>
                <w:tab w:val="left" w:pos="1168"/>
              </w:tabs>
              <w:spacing w:line="360" w:lineRule="auto"/>
              <w:rPr>
                <w:rFonts w:ascii="宋体" w:hAnsi="宋体" w:cs="宋体"/>
                <w:sz w:val="24"/>
              </w:rPr>
            </w:pPr>
            <w:r>
              <w:rPr>
                <w:rFonts w:hint="eastAsia" w:ascii="宋体" w:hAnsi="宋体" w:cs="宋体"/>
                <w:color w:val="000000"/>
                <w:sz w:val="24"/>
              </w:rPr>
              <w:t>2、</w:t>
            </w:r>
            <w:r>
              <w:rPr>
                <w:rFonts w:hint="eastAsia" w:ascii="宋体" w:hAnsi="宋体" w:cs="宋体"/>
                <w:sz w:val="24"/>
              </w:rPr>
              <w:t>保险费单价具体是指统筹基金。</w:t>
            </w:r>
          </w:p>
        </w:tc>
      </w:tr>
    </w:tbl>
    <w:p>
      <w:pPr>
        <w:pStyle w:val="4"/>
        <w:ind w:right="0" w:firstLine="482" w:firstLineChars="200"/>
        <w:rPr>
          <w:rFonts w:cs="宋体"/>
          <w:bCs/>
          <w:sz w:val="24"/>
          <w:szCs w:val="24"/>
        </w:rPr>
      </w:pPr>
      <w:bookmarkStart w:id="8" w:name="_Toc35393622"/>
      <w:bookmarkStart w:id="9" w:name="_Toc28359080"/>
      <w:bookmarkStart w:id="10" w:name="_Toc35393791"/>
      <w:bookmarkStart w:id="11" w:name="_Toc28359003"/>
      <w:r>
        <w:rPr>
          <w:rFonts w:hint="eastAsia" w:cs="宋体"/>
          <w:bCs/>
          <w:sz w:val="24"/>
          <w:szCs w:val="24"/>
        </w:rPr>
        <w:t>二、投标人的资格要求</w:t>
      </w:r>
      <w:bookmarkEnd w:id="8"/>
      <w:bookmarkEnd w:id="9"/>
      <w:bookmarkEnd w:id="10"/>
      <w:bookmarkEnd w:id="11"/>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bookmarkStart w:id="12" w:name="_Toc35393792"/>
      <w:bookmarkStart w:id="13" w:name="_Toc35393623"/>
      <w:bookmarkStart w:id="14" w:name="_Toc28359004"/>
      <w:bookmarkStart w:id="15" w:name="_Toc28359081"/>
      <w:r>
        <w:rPr>
          <w:rFonts w:hint="eastAsia" w:ascii="宋体" w:hAnsi="宋体" w:cs="宋体"/>
          <w:sz w:val="24"/>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、具有独立承担民事责任的能力；</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、具有良好的商业信誉和健全的财务会计制度；</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、具有履行合同所必需的设备和专业技术能力；</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、有依法缴纳税收和社会保障资金的良好记录；</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、法律、行政法规规定的其他条件。</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kern w:val="0"/>
          <w:sz w:val="24"/>
        </w:rPr>
      </w:pPr>
      <w:r>
        <w:rPr>
          <w:rFonts w:hint="eastAsia" w:ascii="宋体" w:hAnsi="宋体" w:cs="宋体"/>
          <w:kern w:val="0"/>
          <w:sz w:val="24"/>
        </w:rPr>
        <w:t>（二）截止投标截止时间前（北京时间），投标人未被“信用中国”（</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）列入失信被执行人</w:t>
      </w:r>
      <w:r>
        <w:rPr>
          <w:rFonts w:hint="eastAsia" w:ascii="宋体" w:hAnsi="宋体" w:cs="宋体"/>
          <w:color w:val="000000" w:themeColor="text1"/>
          <w:kern w:val="0"/>
          <w:sz w:val="24"/>
        </w:rPr>
        <w:t>名单、</w:t>
      </w:r>
      <w:r>
        <w:rPr>
          <w:rFonts w:hint="eastAsia" w:ascii="宋体" w:hAnsi="宋体" w:cs="宋体"/>
          <w:color w:val="000000" w:themeColor="text1"/>
          <w:kern w:val="0"/>
          <w:sz w:val="24"/>
          <w:lang w:eastAsia="zh-CN"/>
        </w:rPr>
        <w:t>重大税收违法失信主体</w:t>
      </w:r>
      <w:r>
        <w:rPr>
          <w:rFonts w:hint="eastAsia" w:ascii="宋体" w:hAnsi="宋体" w:cs="宋体"/>
          <w:color w:val="000000" w:themeColor="text1"/>
          <w:kern w:val="0"/>
          <w:sz w:val="24"/>
        </w:rPr>
        <w:t>、</w:t>
      </w:r>
      <w:r>
        <w:rPr>
          <w:rFonts w:hint="eastAsia" w:ascii="宋体" w:hAnsi="宋体" w:cs="宋体"/>
          <w:kern w:val="0"/>
          <w:sz w:val="24"/>
        </w:rPr>
        <w:t>政府采购严重违法失信行为记录名单。</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kern w:val="0"/>
          <w:sz w:val="24"/>
        </w:rPr>
      </w:pPr>
      <w:r>
        <w:rPr>
          <w:rFonts w:hint="eastAsia" w:ascii="宋体" w:hAnsi="宋体" w:cs="宋体"/>
          <w:kern w:val="0"/>
          <w:sz w:val="24"/>
        </w:rPr>
        <w:t>（三）单位负责人为同一人或者存在直接控股、管理关系的不同供应商，不得参加同一合同项下的政府采购活动。</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kern w:val="0"/>
          <w:sz w:val="24"/>
        </w:rPr>
      </w:pPr>
      <w:r>
        <w:rPr>
          <w:rFonts w:hint="eastAsia" w:ascii="宋体" w:hAnsi="宋体" w:cs="宋体"/>
          <w:sz w:val="24"/>
        </w:rPr>
        <w:t>（四）为采购项目提供整体设计、规范编制或者项目管理、监理、检测等服务的供应商，不得再参加该采购项目的其他采购活动。</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r>
        <w:rPr>
          <w:rFonts w:hint="eastAsia" w:ascii="宋体" w:hAnsi="宋体" w:cs="宋体"/>
          <w:sz w:val="24"/>
        </w:rPr>
        <w:t>（五）公益一类事业单位不属于政府购买服务的承接主体，不得参与承接政府购买服务。</w:t>
      </w:r>
    </w:p>
    <w:p>
      <w:pPr>
        <w:tabs>
          <w:tab w:val="left" w:pos="180"/>
          <w:tab w:val="left" w:pos="360"/>
          <w:tab w:val="left" w:pos="540"/>
          <w:tab w:val="left" w:pos="8280"/>
        </w:tabs>
        <w:autoSpaceDE w:val="0"/>
        <w:autoSpaceDN w:val="0"/>
        <w:adjustRightInd w:val="0"/>
        <w:spacing w:line="440" w:lineRule="exact"/>
        <w:ind w:firstLine="482" w:firstLineChars="200"/>
        <w:jc w:val="left"/>
        <w:rPr>
          <w:rFonts w:ascii="宋体" w:hAnsi="宋体" w:cs="宋体"/>
          <w:b/>
          <w:color w:val="000000"/>
          <w:sz w:val="24"/>
        </w:rPr>
      </w:pPr>
      <w:r>
        <w:rPr>
          <w:rFonts w:hint="eastAsia" w:ascii="宋体" w:hAnsi="宋体" w:cs="宋体"/>
          <w:b/>
          <w:color w:val="000000"/>
          <w:sz w:val="24"/>
        </w:rPr>
        <w:t>（六）、投标供应商特定资格条件：</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r>
        <w:rPr>
          <w:rFonts w:ascii="宋体" w:hAnsi="宋体" w:cs="宋体"/>
          <w:sz w:val="24"/>
        </w:rPr>
        <w:t>1、投标人具有《经营保险业务许可证》（经营范围需同时涵盖意外伤害保险、短期健康保险等业务）。</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r>
        <w:rPr>
          <w:rFonts w:ascii="宋体" w:hAnsi="宋体" w:cs="宋体"/>
          <w:sz w:val="24"/>
        </w:rPr>
        <w:t>2、商业保险公司分支机构参加投标时，必须得到商业保险机构总公司授权同意分支机构参与项目的授权。备注：保险行业的全国性企业所设立的区域性分支机构参加投标，请按照浙江省财政厅《关于规范政府采购供应商资格设定及资格审查的通知》（浙财采监[2013]24号）要求执行。</w:t>
      </w:r>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本项目接受联合体投标。本项目可以由一家公司参加投标，也可以由2家（不得超过2家）保险公司以联合体形式参加投标。联合体投标时必须提《联合体投标协议》，并明确承担的比例。（联合体中应以承担比例高者为本项目投标人，其他联合体成员也必须符合前两条规定。）</w:t>
      </w:r>
    </w:p>
    <w:p>
      <w:pPr>
        <w:pStyle w:val="4"/>
        <w:ind w:right="0" w:firstLine="482" w:firstLineChars="200"/>
        <w:rPr>
          <w:rFonts w:cs="宋体"/>
          <w:bCs/>
          <w:sz w:val="24"/>
          <w:szCs w:val="24"/>
        </w:rPr>
      </w:pPr>
      <w:r>
        <w:rPr>
          <w:rFonts w:hint="eastAsia" w:cs="宋体"/>
          <w:bCs/>
          <w:sz w:val="24"/>
          <w:szCs w:val="24"/>
        </w:rPr>
        <w:t>三、获取招标文件</w:t>
      </w:r>
      <w:bookmarkEnd w:id="12"/>
      <w:bookmarkEnd w:id="13"/>
      <w:bookmarkEnd w:id="14"/>
      <w:bookmarkEnd w:id="15"/>
    </w:p>
    <w:p>
      <w:pPr>
        <w:spacing w:line="360" w:lineRule="auto"/>
        <w:ind w:firstLine="480" w:firstLineChars="200"/>
        <w:rPr>
          <w:rFonts w:ascii="宋体" w:hAnsi="宋体" w:cs="宋体"/>
          <w:color w:val="000000" w:themeColor="text1"/>
          <w:sz w:val="24"/>
        </w:rPr>
      </w:pPr>
      <w:r>
        <w:rPr>
          <w:rFonts w:hint="eastAsia" w:ascii="宋体" w:hAnsi="宋体" w:cs="宋体"/>
          <w:sz w:val="24"/>
        </w:rPr>
        <w:t>（一）</w:t>
      </w:r>
      <w:r>
        <w:rPr>
          <w:rFonts w:hint="eastAsia" w:cs="宋体"/>
          <w:bCs/>
          <w:sz w:val="24"/>
        </w:rPr>
        <w:t>获取招标文件截止</w:t>
      </w:r>
      <w:r>
        <w:rPr>
          <w:rFonts w:hint="eastAsia" w:ascii="宋体" w:hAnsi="宋体" w:cs="宋体"/>
          <w:sz w:val="24"/>
        </w:rPr>
        <w:t>时间：</w:t>
      </w:r>
      <w:r>
        <w:rPr>
          <w:rFonts w:hint="eastAsia" w:ascii="宋体" w:hAnsi="宋体" w:cs="宋体"/>
          <w:sz w:val="24"/>
          <w:u w:val="single"/>
        </w:rPr>
        <w:t xml:space="preserve"> 2022年12月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：00止。</w:t>
      </w:r>
    </w:p>
    <w:p>
      <w:pPr>
        <w:pStyle w:val="29"/>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4"/>
        <w:ind w:right="0" w:firstLine="482" w:firstLineChars="200"/>
        <w:rPr>
          <w:rFonts w:cs="宋体"/>
          <w:bCs/>
          <w:sz w:val="24"/>
          <w:szCs w:val="24"/>
        </w:rPr>
      </w:pPr>
      <w:bookmarkStart w:id="16" w:name="_Toc35393793"/>
      <w:bookmarkStart w:id="17" w:name="_Toc28359005"/>
      <w:bookmarkStart w:id="18" w:name="_Toc35393624"/>
      <w:bookmarkStart w:id="19" w:name="_Toc28359082"/>
      <w:r>
        <w:rPr>
          <w:rFonts w:hint="eastAsia" w:cs="宋体"/>
          <w:bCs/>
          <w:sz w:val="24"/>
          <w:szCs w:val="24"/>
        </w:rPr>
        <w:t>四、提交投标文件</w:t>
      </w:r>
      <w:bookmarkEnd w:id="16"/>
      <w:bookmarkEnd w:id="17"/>
      <w:bookmarkEnd w:id="18"/>
      <w:bookmarkEnd w:id="19"/>
    </w:p>
    <w:p>
      <w:pPr>
        <w:spacing w:line="360" w:lineRule="auto"/>
        <w:ind w:firstLine="480" w:firstLineChars="200"/>
        <w:rPr>
          <w:rFonts w:ascii="宋体" w:hAnsi="宋体" w:cs="宋体"/>
          <w:iCs/>
          <w:sz w:val="24"/>
          <w:u w:val="single"/>
        </w:rPr>
      </w:pPr>
      <w:bookmarkStart w:id="20" w:name="_Toc28359007"/>
      <w:bookmarkStart w:id="21" w:name="_Toc35393625"/>
      <w:bookmarkStart w:id="22" w:name="_Toc28359084"/>
      <w:bookmarkStart w:id="23" w:name="_Toc35393794"/>
      <w:r>
        <w:rPr>
          <w:rFonts w:hint="eastAsia" w:ascii="宋体" w:hAnsi="宋体" w:cs="宋体"/>
          <w:sz w:val="24"/>
        </w:rPr>
        <w:t>（一）截止时间（开标时间）：</w:t>
      </w:r>
      <w:r>
        <w:rPr>
          <w:rFonts w:hint="eastAsia" w:ascii="宋体" w:hAnsi="宋体" w:cs="宋体"/>
          <w:sz w:val="24"/>
          <w:u w:val="single"/>
        </w:rPr>
        <w:t>2022年12月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bCs/>
          <w:sz w:val="24"/>
          <w:u w:val="single"/>
        </w:rPr>
        <w:t>：00</w:t>
      </w:r>
      <w:r>
        <w:rPr>
          <w:rFonts w:hint="eastAsia" w:ascii="宋体" w:hAnsi="宋体" w:cs="宋体"/>
          <w:bCs/>
          <w:color w:val="000000" w:themeColor="text1"/>
          <w:sz w:val="24"/>
        </w:rPr>
        <w:t>（北京时间）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0"/>
    <w:bookmarkEnd w:id="21"/>
    <w:bookmarkEnd w:id="22"/>
    <w:bookmarkEnd w:id="23"/>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），温岭市公共资源交易网（http://www.wl.gov.cn/col/col1402172/index.html）。</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4" w:name="_Toc35393626"/>
      <w:bookmarkStart w:id="25" w:name="_Toc35393795"/>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6" w:name="_Toc28359085"/>
      <w:bookmarkStart w:id="27" w:name="_Toc35393627"/>
      <w:bookmarkStart w:id="28" w:name="_Toc35393796"/>
      <w:bookmarkStart w:id="29" w:name="_Toc28359008"/>
      <w:r>
        <w:rPr>
          <w:rFonts w:hint="eastAsia" w:cs="宋体"/>
          <w:bCs/>
          <w:sz w:val="24"/>
          <w:szCs w:val="24"/>
        </w:rPr>
        <w:t>七、联系</w:t>
      </w:r>
      <w:bookmarkEnd w:id="26"/>
      <w:bookmarkEnd w:id="27"/>
      <w:bookmarkEnd w:id="28"/>
      <w:bookmarkEnd w:id="29"/>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名 称：</w:t>
      </w:r>
      <w:r>
        <w:rPr>
          <w:rFonts w:hint="eastAsia" w:ascii="宋体" w:hAnsi="宋体" w:cs="宋体"/>
          <w:color w:val="000000" w:themeColor="text1"/>
          <w:sz w:val="24"/>
          <w:u w:val="single"/>
        </w:rPr>
        <w:t>　温岭市医疗保障局  　</w:t>
      </w:r>
    </w:p>
    <w:p>
      <w:pPr>
        <w:spacing w:line="360" w:lineRule="auto"/>
        <w:ind w:firstLine="480" w:firstLineChars="200"/>
        <w:jc w:val="left"/>
        <w:rPr>
          <w:rFonts w:ascii="宋体" w:hAnsi="宋体" w:cs="宋体"/>
          <w:color w:val="000000" w:themeColor="text1"/>
          <w:sz w:val="24"/>
          <w:u w:val="single"/>
        </w:rPr>
      </w:pPr>
      <w:r>
        <w:rPr>
          <w:rFonts w:hint="eastAsia" w:ascii="宋体" w:hAnsi="宋体" w:cs="宋体"/>
          <w:color w:val="000000" w:themeColor="text1"/>
          <w:sz w:val="24"/>
        </w:rPr>
        <w:t>地址：</w:t>
      </w:r>
      <w:r>
        <w:rPr>
          <w:rFonts w:hint="eastAsia" w:ascii="宋体" w:hAnsi="宋体" w:cs="宋体"/>
          <w:color w:val="000000" w:themeColor="text1"/>
          <w:sz w:val="24"/>
          <w:u w:val="single"/>
        </w:rPr>
        <w:t>　 温岭市人民东路258号行政中心628办公室　</w:t>
      </w:r>
    </w:p>
    <w:p>
      <w:pPr>
        <w:spacing w:line="360" w:lineRule="auto"/>
        <w:ind w:firstLine="480" w:firstLineChars="200"/>
        <w:jc w:val="left"/>
        <w:rPr>
          <w:rFonts w:ascii="宋体" w:hAnsi="宋体" w:cs="宋体"/>
          <w:color w:val="000000" w:themeColor="text1"/>
          <w:sz w:val="24"/>
          <w:u w:val="single"/>
        </w:rPr>
      </w:pPr>
      <w:r>
        <w:rPr>
          <w:rFonts w:hint="eastAsia" w:ascii="宋体" w:hAnsi="宋体" w:cs="宋体"/>
          <w:color w:val="000000" w:themeColor="text1"/>
          <w:sz w:val="24"/>
        </w:rPr>
        <w:t>联系人：</w:t>
      </w:r>
      <w:r>
        <w:rPr>
          <w:rFonts w:hint="eastAsia" w:ascii="宋体" w:hAnsi="宋体" w:cs="宋体"/>
          <w:color w:val="000000" w:themeColor="text1"/>
          <w:sz w:val="24"/>
          <w:u w:val="single"/>
        </w:rPr>
        <w:t>罗筱</w:t>
      </w:r>
      <w:r>
        <w:rPr>
          <w:rFonts w:hint="eastAsia" w:ascii="宋体" w:hAnsi="宋体" w:cs="宋体"/>
          <w:sz w:val="24"/>
          <w:u w:val="single"/>
        </w:rPr>
        <w:t xml:space="preserve">　  </w:t>
      </w:r>
      <w:bookmarkStart w:id="30" w:name="_Toc28359086"/>
      <w:bookmarkStart w:id="31" w:name="_Toc28359009"/>
    </w:p>
    <w:p>
      <w:pPr>
        <w:spacing w:line="360" w:lineRule="auto"/>
        <w:ind w:firstLine="480" w:firstLineChars="200"/>
        <w:jc w:val="left"/>
        <w:rPr>
          <w:rFonts w:ascii="宋体" w:hAnsi="宋体" w:cs="宋体"/>
          <w:color w:val="000000" w:themeColor="text1"/>
          <w:sz w:val="24"/>
          <w:u w:val="single"/>
        </w:rPr>
      </w:pPr>
      <w:r>
        <w:rPr>
          <w:rFonts w:hint="eastAsia" w:ascii="宋体" w:hAnsi="宋体" w:cs="宋体"/>
          <w:color w:val="000000" w:themeColor="text1"/>
          <w:sz w:val="24"/>
        </w:rPr>
        <w:t>联系电话：</w:t>
      </w:r>
      <w:r>
        <w:rPr>
          <w:rFonts w:hint="eastAsia" w:ascii="宋体" w:hAnsi="宋体" w:cs="宋体"/>
          <w:color w:val="000000" w:themeColor="text1"/>
          <w:sz w:val="24"/>
          <w:u w:val="single"/>
        </w:rPr>
        <w:t xml:space="preserve"> </w:t>
      </w:r>
      <w:r>
        <w:rPr>
          <w:rFonts w:hint="eastAsia" w:ascii="宋体" w:hAnsi="宋体" w:cs="宋体"/>
          <w:sz w:val="24"/>
          <w:u w:val="single"/>
        </w:rPr>
        <w:t>0576-80610698</w:t>
      </w:r>
    </w:p>
    <w:bookmarkEnd w:id="30"/>
    <w:bookmarkEnd w:id="31"/>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温岭市政府采购中心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温岭市九龙大道555号行政服务中心608室 　</w:t>
      </w:r>
    </w:p>
    <w:p>
      <w:pPr>
        <w:spacing w:line="360" w:lineRule="auto"/>
        <w:ind w:firstLine="480" w:firstLineChars="200"/>
        <w:jc w:val="left"/>
        <w:rPr>
          <w:rFonts w:ascii="宋体" w:hAnsi="宋体" w:cs="宋体"/>
          <w:sz w:val="24"/>
          <w:u w:val="single"/>
        </w:rPr>
      </w:pPr>
      <w:r>
        <w:rPr>
          <w:rFonts w:hint="eastAsia" w:ascii="宋体" w:hAnsi="宋体" w:cs="宋体"/>
          <w:sz w:val="24"/>
        </w:rPr>
        <w:t>项目联系人：</w:t>
      </w:r>
      <w:bookmarkStart w:id="32" w:name="_Toc28359010"/>
      <w:bookmarkStart w:id="33" w:name="_Toc28359087"/>
      <w:r>
        <w:rPr>
          <w:rFonts w:hint="eastAsia" w:ascii="宋体" w:hAnsi="宋体" w:cs="宋体"/>
          <w:sz w:val="24"/>
          <w:u w:val="single"/>
          <w:lang w:val="en-US" w:eastAsia="zh-CN"/>
        </w:rPr>
        <w:t>谢倩倩</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0576-8610</w:t>
      </w:r>
      <w:r>
        <w:rPr>
          <w:rFonts w:hint="eastAsia" w:ascii="宋体" w:hAnsi="宋体" w:cs="宋体"/>
          <w:sz w:val="24"/>
          <w:u w:val="single"/>
          <w:lang w:val="en-US" w:eastAsia="zh-CN"/>
        </w:rPr>
        <w:t>9763</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李先生（受理注册、中标结果相关质疑及答复）</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0576-86107306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cs="宋体"/>
          <w:color w:val="000000" w:themeColor="text1"/>
          <w:sz w:val="24"/>
          <w:u w:val="single"/>
        </w:rPr>
        <w:t>温岭市财政局政府采购监管科</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color w:val="000000" w:themeColor="text1"/>
          <w:sz w:val="24"/>
          <w:u w:val="single"/>
        </w:rPr>
        <w:t>浙江省温岭市太平街道中华路</w:t>
      </w:r>
      <w:r>
        <w:rPr>
          <w:rFonts w:ascii="宋体" w:hAnsi="宋体" w:cs="宋体"/>
          <w:color w:val="000000" w:themeColor="text1"/>
          <w:sz w:val="24"/>
          <w:u w:val="single"/>
        </w:rPr>
        <w:t>29</w:t>
      </w:r>
      <w:r>
        <w:rPr>
          <w:rFonts w:hint="eastAsia" w:ascii="宋体" w:hAnsi="宋体" w:cs="宋体"/>
          <w:color w:val="000000" w:themeColor="text1"/>
          <w:sz w:val="24"/>
          <w:u w:val="single"/>
        </w:rPr>
        <w:t>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冯女士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0576-86086511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pPr>
      <w:r>
        <w:rPr>
          <w:rFonts w:hint="eastAsia" w:ascii="宋体" w:hAnsi="宋体" w:cs="宋体"/>
          <w:sz w:val="24"/>
        </w:rPr>
        <w:t>联系电话：</w:t>
      </w:r>
      <w:r>
        <w:rPr>
          <w:rFonts w:hint="eastAsia" w:ascii="宋体" w:hAnsi="宋体" w:cs="宋体"/>
          <w:sz w:val="24"/>
          <w:u w:val="single"/>
        </w:rPr>
        <w:t xml:space="preserve">4008817190      </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八、其它</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中标供应商如有融资需求，可使用以下银行的政采贷服务。</w:t>
      </w:r>
    </w:p>
    <w:tbl>
      <w:tblPr>
        <w:tblStyle w:val="22"/>
        <w:tblW w:w="9519" w:type="dxa"/>
        <w:tblInd w:w="0" w:type="dxa"/>
        <w:tblLayout w:type="fixed"/>
        <w:tblCellMar>
          <w:top w:w="0" w:type="dxa"/>
          <w:left w:w="30" w:type="dxa"/>
          <w:bottom w:w="0" w:type="dxa"/>
          <w:right w:w="30" w:type="dxa"/>
        </w:tblCellMar>
      </w:tblPr>
      <w:tblGrid>
        <w:gridCol w:w="29"/>
        <w:gridCol w:w="2545"/>
        <w:gridCol w:w="616"/>
        <w:gridCol w:w="1647"/>
        <w:gridCol w:w="693"/>
        <w:gridCol w:w="1717"/>
        <w:gridCol w:w="109"/>
        <w:gridCol w:w="2150"/>
        <w:gridCol w:w="6"/>
        <w:gridCol w:w="7"/>
      </w:tblGrid>
      <w:tr>
        <w:tblPrEx>
          <w:tblCellMar>
            <w:top w:w="0" w:type="dxa"/>
            <w:left w:w="30" w:type="dxa"/>
            <w:bottom w:w="0" w:type="dxa"/>
            <w:right w:w="30" w:type="dxa"/>
          </w:tblCellMar>
        </w:tblPrEx>
        <w:trPr>
          <w:gridAfter w:val="2"/>
          <w:wAfter w:w="13" w:type="dxa"/>
          <w:trHeight w:val="471" w:hRule="atLeast"/>
        </w:trPr>
        <w:tc>
          <w:tcPr>
            <w:tcW w:w="2574"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银行</w:t>
            </w:r>
          </w:p>
        </w:tc>
        <w:tc>
          <w:tcPr>
            <w:tcW w:w="2263"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贷款年利率</w:t>
            </w:r>
          </w:p>
        </w:tc>
        <w:tc>
          <w:tcPr>
            <w:tcW w:w="2410"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联系人</w:t>
            </w:r>
          </w:p>
        </w:tc>
        <w:tc>
          <w:tcPr>
            <w:tcW w:w="2259"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联系电话</w:t>
            </w:r>
          </w:p>
        </w:tc>
      </w:tr>
      <w:tr>
        <w:tblPrEx>
          <w:tblCellMar>
            <w:top w:w="0" w:type="dxa"/>
            <w:left w:w="30" w:type="dxa"/>
            <w:bottom w:w="0" w:type="dxa"/>
            <w:right w:w="30" w:type="dxa"/>
          </w:tblCellMar>
        </w:tblPrEx>
        <w:trPr>
          <w:gridAfter w:val="2"/>
          <w:wAfter w:w="13" w:type="dxa"/>
          <w:trHeight w:val="332" w:hRule="atLeast"/>
        </w:trPr>
        <w:tc>
          <w:tcPr>
            <w:tcW w:w="2574"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中国农业银行</w:t>
            </w:r>
          </w:p>
        </w:tc>
        <w:tc>
          <w:tcPr>
            <w:tcW w:w="2263"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ascii="宋体" w:hAnsi="宋体" w:cs="宋体"/>
                <w:color w:val="000000" w:themeColor="text1"/>
                <w:sz w:val="24"/>
              </w:rPr>
              <w:t>3.8%</w:t>
            </w:r>
            <w:r>
              <w:rPr>
                <w:rFonts w:hint="eastAsia" w:ascii="宋体" w:hAnsi="宋体" w:cs="宋体"/>
                <w:color w:val="000000" w:themeColor="text1"/>
                <w:sz w:val="24"/>
              </w:rPr>
              <w:t>起</w:t>
            </w:r>
          </w:p>
        </w:tc>
        <w:tc>
          <w:tcPr>
            <w:tcW w:w="2410"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赵莉鹏</w:t>
            </w:r>
          </w:p>
        </w:tc>
        <w:tc>
          <w:tcPr>
            <w:tcW w:w="2259"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ascii="宋体" w:hAnsi="宋体" w:cs="宋体"/>
                <w:color w:val="000000" w:themeColor="text1"/>
                <w:sz w:val="24"/>
              </w:rPr>
              <w:t>15267630808</w:t>
            </w:r>
          </w:p>
        </w:tc>
      </w:tr>
      <w:tr>
        <w:tblPrEx>
          <w:tblCellMar>
            <w:top w:w="0" w:type="dxa"/>
            <w:left w:w="30" w:type="dxa"/>
            <w:bottom w:w="0" w:type="dxa"/>
            <w:right w:w="30" w:type="dxa"/>
          </w:tblCellMar>
        </w:tblPrEx>
        <w:trPr>
          <w:gridAfter w:val="2"/>
          <w:wAfter w:w="13" w:type="dxa"/>
          <w:trHeight w:val="461" w:hRule="atLeast"/>
        </w:trPr>
        <w:tc>
          <w:tcPr>
            <w:tcW w:w="2574"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中国交通银行</w:t>
            </w:r>
          </w:p>
        </w:tc>
        <w:tc>
          <w:tcPr>
            <w:tcW w:w="2263"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ascii="宋体" w:hAnsi="宋体" w:cs="宋体"/>
                <w:color w:val="000000" w:themeColor="text1"/>
                <w:sz w:val="24"/>
              </w:rPr>
              <w:t>3.8%</w:t>
            </w:r>
            <w:r>
              <w:rPr>
                <w:rFonts w:hint="eastAsia" w:ascii="宋体" w:hAnsi="宋体" w:cs="宋体"/>
                <w:color w:val="000000" w:themeColor="text1"/>
                <w:sz w:val="24"/>
              </w:rPr>
              <w:t>起</w:t>
            </w:r>
          </w:p>
        </w:tc>
        <w:tc>
          <w:tcPr>
            <w:tcW w:w="2410"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王培洁</w:t>
            </w:r>
          </w:p>
        </w:tc>
        <w:tc>
          <w:tcPr>
            <w:tcW w:w="2259"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ascii="宋体" w:hAnsi="宋体" w:cs="宋体"/>
                <w:color w:val="000000" w:themeColor="text1"/>
                <w:sz w:val="24"/>
              </w:rPr>
              <w:t>13819666299</w:t>
            </w:r>
          </w:p>
        </w:tc>
      </w:tr>
      <w:tr>
        <w:tblPrEx>
          <w:tblCellMar>
            <w:top w:w="0" w:type="dxa"/>
            <w:left w:w="30" w:type="dxa"/>
            <w:bottom w:w="0" w:type="dxa"/>
            <w:right w:w="30" w:type="dxa"/>
          </w:tblCellMar>
        </w:tblPrEx>
        <w:trPr>
          <w:gridAfter w:val="2"/>
          <w:wAfter w:w="13" w:type="dxa"/>
          <w:trHeight w:val="374" w:hRule="atLeast"/>
        </w:trPr>
        <w:tc>
          <w:tcPr>
            <w:tcW w:w="2574"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中国建设银行</w:t>
            </w:r>
          </w:p>
        </w:tc>
        <w:tc>
          <w:tcPr>
            <w:tcW w:w="2263"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基准利率</w:t>
            </w:r>
          </w:p>
        </w:tc>
        <w:tc>
          <w:tcPr>
            <w:tcW w:w="2410"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范融</w:t>
            </w:r>
          </w:p>
        </w:tc>
        <w:tc>
          <w:tcPr>
            <w:tcW w:w="2259"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ascii="宋体" w:hAnsi="宋体" w:cs="宋体"/>
                <w:color w:val="000000" w:themeColor="text1"/>
                <w:sz w:val="24"/>
              </w:rPr>
              <w:t>13958680866</w:t>
            </w:r>
          </w:p>
        </w:tc>
      </w:tr>
      <w:tr>
        <w:tblPrEx>
          <w:tblCellMar>
            <w:top w:w="0" w:type="dxa"/>
            <w:left w:w="30" w:type="dxa"/>
            <w:bottom w:w="0" w:type="dxa"/>
            <w:right w:w="30" w:type="dxa"/>
          </w:tblCellMar>
        </w:tblPrEx>
        <w:trPr>
          <w:gridAfter w:val="2"/>
          <w:wAfter w:w="13" w:type="dxa"/>
          <w:trHeight w:val="374" w:hRule="atLeast"/>
        </w:trPr>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中国工商银行</w:t>
            </w:r>
          </w:p>
        </w:tc>
        <w:tc>
          <w:tcPr>
            <w:tcW w:w="2263"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3.8%起</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王晨晓</w:t>
            </w: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18858658025</w:t>
            </w:r>
          </w:p>
        </w:tc>
      </w:tr>
      <w:tr>
        <w:tblPrEx>
          <w:tblCellMar>
            <w:top w:w="0" w:type="dxa"/>
            <w:left w:w="30" w:type="dxa"/>
            <w:bottom w:w="0" w:type="dxa"/>
            <w:right w:w="30" w:type="dxa"/>
          </w:tblCellMar>
        </w:tblPrEx>
        <w:trPr>
          <w:gridAfter w:val="2"/>
          <w:wAfter w:w="13" w:type="dxa"/>
          <w:trHeight w:val="374" w:hRule="atLeast"/>
        </w:trPr>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中国银行</w:t>
            </w:r>
          </w:p>
        </w:tc>
        <w:tc>
          <w:tcPr>
            <w:tcW w:w="2263"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3.85%起</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朱  虹</w:t>
            </w: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13806588208</w:t>
            </w:r>
          </w:p>
        </w:tc>
      </w:tr>
      <w:tr>
        <w:tblPrEx>
          <w:tblCellMar>
            <w:top w:w="0" w:type="dxa"/>
            <w:left w:w="30" w:type="dxa"/>
            <w:bottom w:w="0" w:type="dxa"/>
            <w:right w:w="30" w:type="dxa"/>
          </w:tblCellMar>
        </w:tblPrEx>
        <w:trPr>
          <w:gridAfter w:val="2"/>
          <w:wAfter w:w="13" w:type="dxa"/>
          <w:trHeight w:val="374" w:hRule="atLeast"/>
        </w:trPr>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中国邮政储蓄银行</w:t>
            </w:r>
          </w:p>
        </w:tc>
        <w:tc>
          <w:tcPr>
            <w:tcW w:w="2263"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3.85%起</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王彬彬</w:t>
            </w: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13173718881</w:t>
            </w:r>
          </w:p>
        </w:tc>
      </w:tr>
      <w:tr>
        <w:tblPrEx>
          <w:tblCellMar>
            <w:top w:w="0" w:type="dxa"/>
            <w:left w:w="108" w:type="dxa"/>
            <w:bottom w:w="0" w:type="dxa"/>
            <w:right w:w="108" w:type="dxa"/>
          </w:tblCellMar>
        </w:tblPrEx>
        <w:trPr>
          <w:gridBefore w:val="1"/>
          <w:wBefore w:w="29" w:type="dxa"/>
          <w:trHeight w:val="676" w:hRule="atLeast"/>
        </w:trPr>
        <w:tc>
          <w:tcPr>
            <w:tcW w:w="9490" w:type="dxa"/>
            <w:gridSpan w:val="9"/>
            <w:tcBorders>
              <w:top w:val="nil"/>
              <w:left w:val="nil"/>
              <w:bottom w:val="nil"/>
              <w:right w:val="nil"/>
            </w:tcBorders>
            <w:shd w:val="clear" w:color="auto" w:fill="auto"/>
            <w:noWrap/>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政采保联系方式</w:t>
            </w:r>
          </w:p>
        </w:tc>
      </w:tr>
      <w:tr>
        <w:tblPrEx>
          <w:tblCellMar>
            <w:top w:w="0" w:type="dxa"/>
            <w:left w:w="108" w:type="dxa"/>
            <w:bottom w:w="0" w:type="dxa"/>
            <w:right w:w="108" w:type="dxa"/>
          </w:tblCellMar>
        </w:tblPrEx>
        <w:trPr>
          <w:gridBefore w:val="1"/>
          <w:gridAfter w:val="1"/>
          <w:wBefore w:w="29" w:type="dxa"/>
          <w:wAfter w:w="7" w:type="dxa"/>
          <w:trHeight w:val="332" w:hRule="atLeast"/>
        </w:trPr>
        <w:tc>
          <w:tcPr>
            <w:tcW w:w="31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exact"/>
              <w:jc w:val="left"/>
              <w:rPr>
                <w:rFonts w:ascii="宋体" w:hAnsi="宋体" w:cs="宋体"/>
                <w:color w:val="000000" w:themeColor="text1"/>
                <w:sz w:val="24"/>
              </w:rPr>
            </w:pPr>
            <w:r>
              <w:rPr>
                <w:rFonts w:hint="eastAsia" w:ascii="宋体" w:hAnsi="宋体" w:cs="宋体"/>
                <w:color w:val="000000" w:themeColor="text1"/>
                <w:sz w:val="24"/>
              </w:rPr>
              <w:t>中国人民财产保险股份有限公司温岭市支公司</w:t>
            </w:r>
          </w:p>
        </w:tc>
        <w:tc>
          <w:tcPr>
            <w:tcW w:w="23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exact"/>
              <w:jc w:val="left"/>
              <w:rPr>
                <w:rFonts w:ascii="宋体" w:hAnsi="宋体" w:cs="宋体"/>
                <w:color w:val="000000" w:themeColor="text1"/>
                <w:sz w:val="24"/>
              </w:rPr>
            </w:pPr>
            <w:r>
              <w:rPr>
                <w:rFonts w:hint="eastAsia" w:ascii="宋体" w:hAnsi="宋体" w:cs="宋体"/>
                <w:color w:val="000000" w:themeColor="text1"/>
                <w:sz w:val="24"/>
              </w:rPr>
              <w:t>合同（质量）履约按履约保证金年费率1%（1.5%），每单保函最低保险费为500元（300元）</w:t>
            </w:r>
          </w:p>
        </w:tc>
        <w:tc>
          <w:tcPr>
            <w:tcW w:w="1826"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李微微</w:t>
            </w:r>
          </w:p>
        </w:tc>
        <w:tc>
          <w:tcPr>
            <w:tcW w:w="2156"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13605861319</w:t>
            </w:r>
          </w:p>
        </w:tc>
      </w:tr>
      <w:tr>
        <w:tblPrEx>
          <w:tblCellMar>
            <w:top w:w="0" w:type="dxa"/>
            <w:left w:w="108" w:type="dxa"/>
            <w:bottom w:w="0" w:type="dxa"/>
            <w:right w:w="108" w:type="dxa"/>
          </w:tblCellMar>
        </w:tblPrEx>
        <w:trPr>
          <w:gridBefore w:val="1"/>
          <w:gridAfter w:val="1"/>
          <w:wBefore w:w="29" w:type="dxa"/>
          <w:wAfter w:w="7" w:type="dxa"/>
          <w:trHeight w:val="303" w:hRule="atLeast"/>
        </w:trPr>
        <w:tc>
          <w:tcPr>
            <w:tcW w:w="3161" w:type="dxa"/>
            <w:gridSpan w:val="2"/>
            <w:tcBorders>
              <w:top w:val="nil"/>
              <w:left w:val="single" w:color="auto" w:sz="4" w:space="0"/>
              <w:bottom w:val="single" w:color="auto" w:sz="4" w:space="0"/>
              <w:right w:val="single" w:color="auto" w:sz="4" w:space="0"/>
            </w:tcBorders>
            <w:shd w:val="clear" w:color="auto" w:fill="auto"/>
            <w:vAlign w:val="center"/>
          </w:tcPr>
          <w:p>
            <w:pPr>
              <w:snapToGrid w:val="0"/>
              <w:spacing w:line="440" w:lineRule="exact"/>
              <w:jc w:val="left"/>
              <w:rPr>
                <w:rFonts w:ascii="宋体" w:hAnsi="宋体" w:cs="宋体"/>
                <w:color w:val="000000" w:themeColor="text1"/>
                <w:sz w:val="24"/>
              </w:rPr>
            </w:pPr>
            <w:r>
              <w:rPr>
                <w:rFonts w:hint="eastAsia" w:ascii="宋体" w:hAnsi="宋体" w:cs="宋体"/>
                <w:color w:val="000000" w:themeColor="text1"/>
                <w:sz w:val="24"/>
              </w:rPr>
              <w:t>中国平安财产保险股份有限公司温岭支公司</w:t>
            </w:r>
          </w:p>
        </w:tc>
        <w:tc>
          <w:tcPr>
            <w:tcW w:w="2340"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480" w:firstLineChars="200"/>
              <w:jc w:val="left"/>
              <w:rPr>
                <w:rFonts w:ascii="宋体" w:hAnsi="宋体" w:cs="宋体"/>
                <w:color w:val="000000" w:themeColor="text1"/>
                <w:sz w:val="24"/>
              </w:rPr>
            </w:pPr>
          </w:p>
        </w:tc>
        <w:tc>
          <w:tcPr>
            <w:tcW w:w="1826" w:type="dxa"/>
            <w:gridSpan w:val="2"/>
            <w:tcBorders>
              <w:top w:val="nil"/>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郑海珍</w:t>
            </w:r>
          </w:p>
        </w:tc>
        <w:tc>
          <w:tcPr>
            <w:tcW w:w="2156" w:type="dxa"/>
            <w:gridSpan w:val="2"/>
            <w:tcBorders>
              <w:top w:val="nil"/>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13906560678</w:t>
            </w:r>
          </w:p>
        </w:tc>
      </w:tr>
      <w:tr>
        <w:tblPrEx>
          <w:tblCellMar>
            <w:top w:w="0" w:type="dxa"/>
            <w:left w:w="108" w:type="dxa"/>
            <w:bottom w:w="0" w:type="dxa"/>
            <w:right w:w="108" w:type="dxa"/>
          </w:tblCellMar>
        </w:tblPrEx>
        <w:trPr>
          <w:gridBefore w:val="1"/>
          <w:gridAfter w:val="1"/>
          <w:wBefore w:w="29" w:type="dxa"/>
          <w:wAfter w:w="7" w:type="dxa"/>
          <w:trHeight w:val="116" w:hRule="atLeast"/>
        </w:trPr>
        <w:tc>
          <w:tcPr>
            <w:tcW w:w="3161" w:type="dxa"/>
            <w:gridSpan w:val="2"/>
            <w:tcBorders>
              <w:top w:val="nil"/>
              <w:left w:val="single" w:color="auto" w:sz="4" w:space="0"/>
              <w:bottom w:val="single" w:color="auto" w:sz="4" w:space="0"/>
              <w:right w:val="single" w:color="auto" w:sz="4" w:space="0"/>
            </w:tcBorders>
            <w:shd w:val="clear" w:color="auto" w:fill="auto"/>
            <w:vAlign w:val="center"/>
          </w:tcPr>
          <w:p>
            <w:pPr>
              <w:snapToGrid w:val="0"/>
              <w:spacing w:line="440" w:lineRule="exact"/>
              <w:jc w:val="left"/>
              <w:rPr>
                <w:rFonts w:ascii="宋体" w:hAnsi="宋体" w:cs="宋体"/>
                <w:color w:val="000000" w:themeColor="text1"/>
                <w:sz w:val="24"/>
              </w:rPr>
            </w:pPr>
            <w:r>
              <w:rPr>
                <w:rFonts w:hint="eastAsia" w:ascii="宋体" w:hAnsi="宋体" w:cs="宋体"/>
                <w:color w:val="000000" w:themeColor="text1"/>
                <w:sz w:val="24"/>
              </w:rPr>
              <w:t>阳光财产保险股份有限公司温岭支公司</w:t>
            </w:r>
          </w:p>
        </w:tc>
        <w:tc>
          <w:tcPr>
            <w:tcW w:w="2340"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480" w:firstLineChars="200"/>
              <w:jc w:val="left"/>
              <w:rPr>
                <w:rFonts w:ascii="宋体" w:hAnsi="宋体" w:cs="宋体"/>
                <w:color w:val="000000" w:themeColor="text1"/>
                <w:sz w:val="24"/>
              </w:rPr>
            </w:pPr>
          </w:p>
        </w:tc>
        <w:tc>
          <w:tcPr>
            <w:tcW w:w="1826" w:type="dxa"/>
            <w:gridSpan w:val="2"/>
            <w:tcBorders>
              <w:top w:val="nil"/>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王巧萍</w:t>
            </w:r>
          </w:p>
        </w:tc>
        <w:tc>
          <w:tcPr>
            <w:tcW w:w="2156" w:type="dxa"/>
            <w:gridSpan w:val="2"/>
            <w:tcBorders>
              <w:top w:val="nil"/>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13967691616</w:t>
            </w:r>
          </w:p>
        </w:tc>
      </w:tr>
    </w:tbl>
    <w:p>
      <w:pPr>
        <w:pStyle w:val="21"/>
        <w:ind w:left="0" w:leftChars="0" w:firstLine="0"/>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ind w:left="0" w:leftChars="0" w:firstLine="0"/>
      </w:pPr>
    </w:p>
    <w:p>
      <w:pPr>
        <w:pStyle w:val="21"/>
      </w:pPr>
    </w:p>
    <w:bookmarkEnd w:id="32"/>
    <w:bookmarkEnd w:id="33"/>
    <w:p>
      <w:pPr>
        <w:numPr>
          <w:ilvl w:val="0"/>
          <w:numId w:val="4"/>
        </w:numPr>
        <w:spacing w:line="360" w:lineRule="auto"/>
        <w:jc w:val="center"/>
        <w:rPr>
          <w:rFonts w:asciiTheme="minorEastAsia" w:hAnsiTheme="minorEastAsia" w:eastAsiaTheme="minorEastAsia"/>
          <w:b/>
          <w:sz w:val="36"/>
          <w:szCs w:val="36"/>
        </w:rPr>
      </w:pPr>
      <w:bookmarkStart w:id="34" w:name="_Toc25017_WPSOffice_Level1"/>
      <w:r>
        <w:rPr>
          <w:rFonts w:hint="eastAsia" w:asciiTheme="minorEastAsia" w:hAnsiTheme="minorEastAsia" w:eastAsiaTheme="minorEastAsia"/>
          <w:b/>
          <w:sz w:val="36"/>
          <w:szCs w:val="36"/>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b/>
                <w:bCs/>
                <w:sz w:val="24"/>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b/>
                <w:bCs/>
                <w:sz w:val="24"/>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b/>
                <w:bCs/>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sz w:val="24"/>
              </w:rPr>
            </w:pPr>
            <w:r>
              <w:rPr>
                <w:rFonts w:hint="eastAsia" w:ascii="MS Mincho" w:hAnsi="MS Mincho" w:eastAsia="MS Mincho" w:cs="MS Mincho"/>
                <w:sz w:val="24"/>
              </w:rPr>
              <w:t>☑</w:t>
            </w:r>
            <w:r>
              <w:rPr>
                <w:rFonts w:hint="eastAsia"/>
                <w:sz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sz w:val="24"/>
              </w:rPr>
            </w:pPr>
            <w:r>
              <w:rPr>
                <w:rFonts w:hint="eastAsia"/>
                <w:sz w:val="24"/>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exact"/>
              <w:jc w:val="center"/>
              <w:rPr>
                <w:rFonts w:ascii="宋体" w:hAnsi="宋体" w:cs="宋体"/>
                <w:color w:val="000000" w:themeColor="text1"/>
                <w:kern w:val="0"/>
                <w:sz w:val="24"/>
              </w:rPr>
            </w:pPr>
            <w:r>
              <w:rPr>
                <w:rFonts w:hint="eastAsia" w:ascii="宋体" w:hAnsi="宋体" w:cs="宋体"/>
                <w:color w:val="000000" w:themeColor="text1"/>
                <w:sz w:val="24"/>
              </w:rPr>
              <w:t>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tabs>
                <w:tab w:val="left" w:pos="6930"/>
              </w:tabs>
              <w:spacing w:before="0" w:beforeAutospacing="0" w:after="0" w:afterAutospacing="0" w:line="360" w:lineRule="exact"/>
              <w:rPr>
                <w:rFonts w:hint="default"/>
                <w:color w:val="000000" w:themeColor="text1"/>
                <w:kern w:val="2"/>
                <w:lang w:val="zh-CN"/>
              </w:rPr>
            </w:pPr>
            <w:r>
              <w:rPr>
                <w:color w:val="000000" w:themeColor="text1"/>
                <w:kern w:val="2"/>
                <w:lang w:val="zh-CN"/>
              </w:rPr>
              <w:t>□强制采购节能产品</w:t>
            </w:r>
          </w:p>
          <w:p>
            <w:pPr>
              <w:pStyle w:val="19"/>
              <w:tabs>
                <w:tab w:val="left" w:pos="6930"/>
              </w:tabs>
              <w:spacing w:before="0" w:beforeAutospacing="0" w:after="0" w:afterAutospacing="0" w:line="360" w:lineRule="exact"/>
              <w:rPr>
                <w:rFonts w:hint="default"/>
                <w:color w:val="000000" w:themeColor="text1"/>
                <w:kern w:val="2"/>
                <w:lang w:val="zh-CN"/>
              </w:rPr>
            </w:pPr>
            <w:r>
              <w:rPr>
                <w:color w:val="000000" w:themeColor="text1"/>
              </w:rPr>
              <w:t>□</w:t>
            </w:r>
            <w:r>
              <w:rPr>
                <w:color w:val="000000" w:themeColor="text1"/>
                <w:kern w:val="2"/>
                <w:lang w:val="zh-CN"/>
              </w:rPr>
              <w:t>优先采购节能产品</w:t>
            </w:r>
          </w:p>
          <w:p>
            <w:pPr>
              <w:pStyle w:val="19"/>
              <w:tabs>
                <w:tab w:val="left" w:pos="6930"/>
              </w:tabs>
              <w:spacing w:before="0" w:beforeAutospacing="0" w:after="0" w:afterAutospacing="0" w:line="360" w:lineRule="exact"/>
              <w:rPr>
                <w:rFonts w:hint="default"/>
                <w:color w:val="000000" w:themeColor="text1"/>
              </w:rPr>
            </w:pPr>
            <w:r>
              <w:rPr>
                <w:rFonts w:ascii="MS Mincho" w:hAnsi="MS Mincho" w:eastAsia="MS Mincho" w:cs="MS Mincho"/>
                <w:color w:val="000000" w:themeColor="text1"/>
              </w:rPr>
              <w:t>☑</w:t>
            </w:r>
            <w:r>
              <w:rPr>
                <w:color w:val="000000" w:themeColor="text1"/>
                <w:kern w:val="2"/>
                <w:lang w:val="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 w:val="24"/>
              </w:rPr>
            </w:pPr>
            <w:r>
              <w:rPr>
                <w:rFonts w:hint="eastAsia" w:ascii="宋体" w:hAnsi="宋体" w:cs="宋体"/>
                <w:color w:val="000000" w:themeColor="text1"/>
                <w:sz w:val="24"/>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tabs>
                <w:tab w:val="left" w:pos="6930"/>
              </w:tabs>
              <w:spacing w:before="0" w:beforeAutospacing="0" w:after="0" w:afterAutospacing="0" w:line="360" w:lineRule="exact"/>
              <w:rPr>
                <w:rFonts w:hint="default"/>
                <w:color w:val="000000" w:themeColor="text1"/>
                <w:kern w:val="2"/>
                <w:lang w:val="zh-CN"/>
              </w:rPr>
            </w:pPr>
            <w:r>
              <w:rPr>
                <w:color w:val="000000" w:themeColor="text1"/>
                <w:kern w:val="2"/>
                <w:lang w:val="zh-CN"/>
              </w:rPr>
              <w:t>环境标志产品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tabs>
                <w:tab w:val="left" w:pos="6930"/>
              </w:tabs>
              <w:spacing w:before="0" w:beforeAutospacing="0" w:after="0" w:afterAutospacing="0" w:line="360" w:lineRule="exact"/>
              <w:rPr>
                <w:rFonts w:hint="default"/>
                <w:color w:val="000000" w:themeColor="text1"/>
                <w:kern w:val="2"/>
                <w:lang w:val="zh-CN"/>
              </w:rPr>
            </w:pPr>
            <w:r>
              <w:rPr>
                <w:color w:val="000000" w:themeColor="text1"/>
                <w:kern w:val="2"/>
                <w:lang w:val="zh-CN"/>
              </w:rPr>
              <w:t>□ 优先采购环境标志产品</w:t>
            </w:r>
          </w:p>
          <w:p>
            <w:pPr>
              <w:pStyle w:val="19"/>
              <w:tabs>
                <w:tab w:val="left" w:pos="6930"/>
              </w:tabs>
              <w:spacing w:before="0" w:beforeAutospacing="0" w:after="0" w:afterAutospacing="0" w:line="360" w:lineRule="exact"/>
              <w:rPr>
                <w:rFonts w:hint="default"/>
                <w:color w:val="000000" w:themeColor="text1"/>
                <w:kern w:val="2"/>
                <w:lang w:val="zh-CN"/>
              </w:rPr>
            </w:pPr>
            <w:r>
              <w:rPr>
                <w:rFonts w:ascii="MS Mincho" w:hAnsi="MS Mincho" w:eastAsia="MS Mincho" w:cs="MS Mincho"/>
                <w:color w:val="000000" w:themeColor="text1"/>
              </w:rPr>
              <w:t>☑</w:t>
            </w:r>
            <w:r>
              <w:rPr>
                <w:color w:val="000000" w:themeColor="text1"/>
                <w:kern w:val="2"/>
                <w:lang w:val="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 w:val="24"/>
              </w:rPr>
            </w:pPr>
            <w:r>
              <w:rPr>
                <w:rFonts w:hint="eastAsia" w:ascii="宋体" w:hAnsi="宋体" w:cs="宋体"/>
                <w:color w:val="000000" w:themeColor="text1"/>
                <w:sz w:val="24"/>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kern w:val="0"/>
                <w:sz w:val="24"/>
              </w:rPr>
            </w:pPr>
            <w:r>
              <w:rPr>
                <w:rFonts w:hint="eastAsia" w:ascii="宋体" w:hAnsi="宋体" w:cs="宋体"/>
                <w:color w:val="000000" w:themeColor="text1"/>
                <w:kern w:val="0"/>
                <w:sz w:val="24"/>
              </w:rPr>
              <w:t>答疑会或</w:t>
            </w:r>
          </w:p>
          <w:p>
            <w:pPr>
              <w:spacing w:line="300" w:lineRule="auto"/>
              <w:jc w:val="center"/>
              <w:rPr>
                <w:rFonts w:ascii="宋体" w:hAnsi="宋体" w:cs="宋体"/>
                <w:color w:val="000000" w:themeColor="text1"/>
                <w:kern w:val="0"/>
                <w:sz w:val="24"/>
              </w:rPr>
            </w:pPr>
            <w:r>
              <w:rPr>
                <w:rFonts w:hint="eastAsia" w:ascii="宋体" w:hAnsi="宋体" w:cs="宋体"/>
                <w:color w:val="000000" w:themeColor="text1"/>
                <w:sz w:val="24"/>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jc w:val="left"/>
              <w:rPr>
                <w:rFonts w:ascii="宋体" w:cs="宋体"/>
                <w:color w:val="000000" w:themeColor="text1"/>
                <w:kern w:val="0"/>
                <w:sz w:val="24"/>
              </w:rPr>
            </w:pPr>
            <w:r>
              <w:rPr>
                <w:rFonts w:hint="eastAsia" w:ascii="宋体" w:cs="宋体"/>
                <w:color w:val="000000" w:themeColor="text1"/>
                <w:kern w:val="0"/>
                <w:sz w:val="24"/>
              </w:rPr>
              <w:t>□</w:t>
            </w:r>
            <w:r>
              <w:rPr>
                <w:rFonts w:ascii="宋体" w:cs="宋体"/>
                <w:color w:val="000000" w:themeColor="text1"/>
                <w:kern w:val="0"/>
                <w:sz w:val="24"/>
              </w:rPr>
              <w:t xml:space="preserve"> </w:t>
            </w:r>
            <w:r>
              <w:rPr>
                <w:rFonts w:hint="eastAsia" w:ascii="宋体" w:cs="宋体"/>
                <w:color w:val="000000" w:themeColor="text1"/>
                <w:kern w:val="0"/>
                <w:sz w:val="24"/>
              </w:rPr>
              <w:t>组织（详细内容）</w:t>
            </w:r>
          </w:p>
          <w:p>
            <w:pPr>
              <w:spacing w:line="300" w:lineRule="auto"/>
              <w:rPr>
                <w:rFonts w:ascii="宋体" w:hAnsi="宋体" w:cs="宋体"/>
                <w:color w:val="000000" w:themeColor="text1"/>
                <w:kern w:val="0"/>
                <w:sz w:val="24"/>
              </w:rPr>
            </w:pPr>
            <w:r>
              <w:rPr>
                <w:rFonts w:hint="eastAsia" w:ascii="MS Mincho" w:hAnsi="MS Mincho" w:eastAsia="MS Mincho" w:cs="MS Mincho"/>
                <w:color w:val="000000" w:themeColor="text1"/>
                <w:kern w:val="0"/>
                <w:sz w:val="24"/>
              </w:rPr>
              <w:t>☑</w:t>
            </w:r>
            <w:r>
              <w:rPr>
                <w:rFonts w:ascii="MS-PMincho" w:eastAsia="MS-PMincho" w:cs="MS-PMincho"/>
                <w:color w:val="000000" w:themeColor="text1"/>
                <w:kern w:val="0"/>
                <w:sz w:val="24"/>
              </w:rPr>
              <w:t xml:space="preserve"> </w:t>
            </w:r>
            <w:r>
              <w:rPr>
                <w:rFonts w:hint="eastAsia" w:ascii="宋体" w:cs="宋体"/>
                <w:color w:val="000000" w:themeColor="text1"/>
                <w:kern w:val="0"/>
                <w:sz w:val="24"/>
              </w:rPr>
              <w:t>不组织（如有需要，投标人可自行前往）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 w:val="24"/>
              </w:rPr>
            </w:pPr>
            <w:r>
              <w:rPr>
                <w:rFonts w:hint="eastAsia" w:ascii="宋体" w:hAnsi="宋体" w:cs="宋体"/>
                <w:sz w:val="24"/>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宋体" w:hAnsi="宋体" w:cs="宋体"/>
                <w:sz w:val="24"/>
              </w:rPr>
            </w:pPr>
            <w:r>
              <w:rPr>
                <w:rFonts w:hint="eastAsia" w:ascii="宋体" w:hAnsi="宋体" w:cs="宋体"/>
                <w:sz w:val="24"/>
              </w:rPr>
              <w:t>请投标人在投标前仔细阅读“政府采购项目电子交易操作指南”。</w:t>
            </w:r>
          </w:p>
          <w:p>
            <w:pPr>
              <w:spacing w:line="300" w:lineRule="auto"/>
              <w:ind w:firstLine="480" w:firstLineChars="200"/>
              <w:rPr>
                <w:rFonts w:ascii="宋体" w:hAnsi="宋体" w:cs="宋体"/>
                <w:sz w:val="24"/>
              </w:rPr>
            </w:pPr>
            <w:r>
              <w:rPr>
                <w:rFonts w:hint="eastAsia" w:ascii="宋体" w:hAnsi="宋体" w:cs="宋体"/>
                <w:sz w:val="24"/>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sz w:val="24"/>
              </w:rPr>
              <w:t>https://zfcg.czt.zj.gov.cn/download/index.html）。</w:t>
            </w:r>
            <w:r>
              <w:rPr>
                <w:rFonts w:hint="eastAsia" w:ascii="宋体" w:hAnsi="宋体" w:cs="宋体"/>
                <w:sz w:val="24"/>
              </w:rPr>
              <w:fldChar w:fldCharType="end"/>
            </w:r>
          </w:p>
          <w:p>
            <w:pPr>
              <w:spacing w:line="300" w:lineRule="auto"/>
              <w:ind w:firstLine="480" w:firstLineChars="200"/>
              <w:rPr>
                <w:rFonts w:ascii="宋体" w:hAnsi="宋体" w:cs="宋体"/>
                <w:sz w:val="24"/>
              </w:rPr>
            </w:pPr>
            <w:r>
              <w:rPr>
                <w:rFonts w:hint="eastAsia" w:ascii="宋体" w:hAnsi="宋体" w:cs="宋体"/>
                <w:sz w:val="24"/>
              </w:rPr>
              <w:t>2.投标：投标人应当在投标截止时间前（开标当天北京时间</w:t>
            </w:r>
            <w:r>
              <w:rPr>
                <w:rFonts w:hint="eastAsia" w:ascii="宋体" w:hAnsi="宋体" w:cs="宋体"/>
                <w:sz w:val="24"/>
                <w:u w:val="single"/>
                <w:lang w:val="en-US" w:eastAsia="zh-CN"/>
              </w:rPr>
              <w:t>14</w:t>
            </w:r>
            <w:r>
              <w:rPr>
                <w:rFonts w:hint="eastAsia" w:ascii="宋体" w:hAnsi="宋体" w:cs="宋体"/>
                <w:sz w:val="24"/>
                <w:u w:val="single"/>
              </w:rPr>
              <w:t>:00</w:t>
            </w:r>
            <w:r>
              <w:rPr>
                <w:rFonts w:hint="eastAsia" w:ascii="宋体" w:hAnsi="宋体" w:cs="宋体"/>
                <w:sz w:val="24"/>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80" w:firstLineChars="200"/>
              <w:rPr>
                <w:rFonts w:ascii="宋体" w:hAnsi="宋体" w:cs="宋体"/>
                <w:kern w:val="0"/>
                <w:sz w:val="24"/>
              </w:rPr>
            </w:pPr>
            <w:r>
              <w:rPr>
                <w:rFonts w:hint="eastAsia" w:ascii="宋体" w:hAnsi="宋体" w:cs="宋体"/>
                <w:sz w:val="24"/>
              </w:rPr>
              <w:t>3.投标文件解密：</w:t>
            </w:r>
            <w:r>
              <w:rPr>
                <w:rFonts w:hint="eastAsia" w:ascii="宋体" w:hAnsi="宋体" w:cs="宋体"/>
                <w:sz w:val="24"/>
                <w:lang w:val="zh-CN"/>
              </w:rPr>
              <w:t>各投标供应商代表应当在接到解密通知后</w:t>
            </w:r>
            <w:r>
              <w:rPr>
                <w:rFonts w:hint="eastAsia" w:ascii="宋体" w:hAnsi="宋体" w:cs="宋体"/>
                <w:b/>
                <w:bCs/>
                <w:sz w:val="24"/>
                <w:u w:val="single"/>
                <w:lang w:val="zh-CN"/>
              </w:rPr>
              <w:t>30分钟</w:t>
            </w:r>
            <w:r>
              <w:rPr>
                <w:rFonts w:hint="eastAsia" w:ascii="宋体" w:hAnsi="宋体" w:cs="宋体"/>
                <w:sz w:val="24"/>
                <w:lang w:val="zh-CN"/>
              </w:rPr>
              <w:t>内自行完成“电子加密投标文件”的在线解密。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 w:val="24"/>
              </w:rPr>
            </w:pPr>
            <w:r>
              <w:rPr>
                <w:rFonts w:hint="eastAsia" w:ascii="宋体" w:hAnsi="宋体" w:cs="宋体"/>
                <w:sz w:val="24"/>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宋体" w:hAnsi="宋体" w:cs="宋体"/>
                <w:sz w:val="24"/>
              </w:rPr>
            </w:pPr>
            <w:r>
              <w:rPr>
                <w:rFonts w:hint="eastAsia" w:ascii="宋体" w:hAnsi="宋体" w:cs="宋体"/>
                <w:sz w:val="24"/>
              </w:rPr>
              <w:t>备份投标文件是通过政采云电子交易客户端制作投标文件产生的备份文件，请投标人自行妥善保管。</w:t>
            </w:r>
          </w:p>
          <w:p>
            <w:pPr>
              <w:spacing w:line="300" w:lineRule="auto"/>
              <w:ind w:firstLine="480" w:firstLineChars="200"/>
              <w:rPr>
                <w:rFonts w:ascii="宋体" w:hAnsi="宋体" w:cs="宋体"/>
                <w:sz w:val="24"/>
              </w:rPr>
            </w:pPr>
            <w:r>
              <w:rPr>
                <w:rFonts w:hint="eastAsia" w:ascii="宋体" w:hAnsi="宋体" w:cs="宋体"/>
                <w:sz w:val="24"/>
              </w:rPr>
              <w:t>1.使用前提：在解密截止时间前，投标人自行在线解密操作失败,又未能及时联系技术人员帮助解密，或者投标人寻求技术人员帮助仍无法完成解密。</w:t>
            </w:r>
          </w:p>
          <w:p>
            <w:pPr>
              <w:spacing w:line="300" w:lineRule="auto"/>
              <w:ind w:firstLine="480" w:firstLineChars="200"/>
              <w:rPr>
                <w:rFonts w:ascii="宋体" w:hAnsi="宋体" w:cs="宋体"/>
                <w:sz w:val="24"/>
              </w:rPr>
            </w:pPr>
            <w:r>
              <w:rPr>
                <w:rFonts w:hint="eastAsia" w:ascii="宋体" w:hAnsi="宋体" w:cs="宋体"/>
                <w:sz w:val="24"/>
              </w:rPr>
              <w:t>2.递交截止时间：开标当天</w:t>
            </w:r>
            <w:r>
              <w:rPr>
                <w:rFonts w:hint="eastAsia" w:ascii="宋体" w:hAnsi="宋体" w:cs="宋体"/>
                <w:sz w:val="24"/>
                <w:u w:val="single"/>
                <w:lang w:val="en-US" w:eastAsia="zh-CN"/>
              </w:rPr>
              <w:t>14</w:t>
            </w:r>
            <w:r>
              <w:rPr>
                <w:rFonts w:hint="eastAsia" w:ascii="宋体" w:hAnsi="宋体" w:cs="宋体"/>
                <w:sz w:val="24"/>
                <w:u w:val="single"/>
              </w:rPr>
              <w:t>:00</w:t>
            </w:r>
            <w:r>
              <w:rPr>
                <w:rFonts w:hint="eastAsia" w:ascii="宋体" w:hAnsi="宋体" w:cs="宋体"/>
                <w:sz w:val="24"/>
              </w:rPr>
              <w:t>（北京时间）。</w:t>
            </w:r>
          </w:p>
          <w:p>
            <w:pPr>
              <w:spacing w:line="300" w:lineRule="auto"/>
              <w:ind w:firstLine="480" w:firstLineChars="200"/>
              <w:rPr>
                <w:rFonts w:hint="eastAsia" w:ascii="宋体" w:hAnsi="Courier New" w:eastAsia="宋体" w:cstheme="minorBidi"/>
                <w:sz w:val="24"/>
                <w:lang w:eastAsia="zh-CN"/>
              </w:rPr>
            </w:pPr>
            <w:r>
              <w:rPr>
                <w:rFonts w:hint="eastAsia" w:ascii="宋体" w:hAnsi="宋体" w:cs="宋体"/>
                <w:sz w:val="24"/>
              </w:rPr>
              <w:t>3.投递邮箱：</w:t>
            </w:r>
            <w:r>
              <w:rPr>
                <w:rFonts w:hint="eastAsia"/>
                <w:sz w:val="24"/>
                <w:lang w:eastAsia="zh-CN"/>
              </w:rPr>
              <w:t>1142193036@qq.com</w:t>
            </w:r>
          </w:p>
          <w:p>
            <w:pPr>
              <w:spacing w:line="300" w:lineRule="auto"/>
              <w:ind w:firstLine="480" w:firstLineChars="200"/>
              <w:rPr>
                <w:rFonts w:ascii="宋体" w:hAnsi="宋体" w:cs="宋体"/>
                <w:sz w:val="24"/>
              </w:rPr>
            </w:pPr>
            <w:r>
              <w:rPr>
                <w:rFonts w:hint="eastAsia" w:ascii="宋体" w:hAnsi="宋体" w:cs="宋体"/>
                <w:sz w:val="24"/>
              </w:rPr>
              <w:t>4.未按上述要求递交备份投标文件或所提供的备份投标文件不符合要求的视同放弃投标，仅提交备份投标文件的，投标无效。</w:t>
            </w:r>
          </w:p>
          <w:p>
            <w:pPr>
              <w:spacing w:line="300" w:lineRule="auto"/>
              <w:ind w:firstLine="480" w:firstLineChars="200"/>
              <w:rPr>
                <w:rFonts w:ascii="宋体" w:hAnsi="宋体" w:cs="宋体"/>
                <w:sz w:val="24"/>
              </w:rPr>
            </w:pPr>
            <w:r>
              <w:rPr>
                <w:rFonts w:hint="eastAsia" w:ascii="宋体" w:hAnsi="宋体" w:cs="宋体"/>
                <w:sz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0"/>
              <w:spacing w:line="300" w:lineRule="auto"/>
              <w:ind w:firstLine="480" w:firstLineChars="200"/>
              <w:jc w:val="both"/>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3"/>
              <w:spacing w:line="300" w:lineRule="auto"/>
              <w:ind w:firstLine="480" w:firstLineChars="200"/>
              <w:rPr>
                <w:sz w:val="24"/>
              </w:rPr>
            </w:pPr>
            <w:r>
              <w:rPr>
                <w:rFonts w:hint="eastAsia"/>
                <w:sz w:val="24"/>
              </w:rPr>
              <w:t>1.本项目实行电子投标，投标人自行承担投标一切费用。</w:t>
            </w:r>
          </w:p>
          <w:p>
            <w:pPr>
              <w:pStyle w:val="13"/>
              <w:spacing w:line="300" w:lineRule="auto"/>
              <w:ind w:firstLine="480" w:firstLineChars="200"/>
              <w:rPr>
                <w:sz w:val="24"/>
              </w:rPr>
            </w:pPr>
            <w:r>
              <w:rPr>
                <w:rFonts w:hint="eastAsia"/>
                <w:sz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pPr>
              <w:pStyle w:val="14"/>
              <w:ind w:left="0" w:leftChars="0" w:firstLine="480" w:firstLineChars="200"/>
              <w:rPr>
                <w:sz w:val="24"/>
                <w:szCs w:val="24"/>
              </w:rPr>
            </w:pPr>
            <w:r>
              <w:rPr>
                <w:rFonts w:hint="eastAsia" w:ascii="宋体" w:hAnsi="Courier New" w:eastAsia="宋体"/>
                <w:sz w:val="24"/>
                <w:szCs w:val="24"/>
              </w:rPr>
              <w:t>3.</w:t>
            </w:r>
            <w:r>
              <w:rPr>
                <w:rFonts w:hint="eastAsia" w:ascii="宋体" w:hAnsi="Courier New" w:eastAsia="宋体"/>
                <w:sz w:val="24"/>
                <w:szCs w:val="24"/>
                <w:lang w:val="zh-CN"/>
              </w:rPr>
              <w:t>投标文件结束解密后</w:t>
            </w:r>
            <w:r>
              <w:rPr>
                <w:rFonts w:hint="eastAsia" w:ascii="宋体" w:hAnsi="Courier New" w:eastAsia="宋体"/>
                <w:sz w:val="24"/>
                <w:szCs w:val="24"/>
              </w:rPr>
              <w:t>，</w:t>
            </w:r>
            <w:r>
              <w:rPr>
                <w:rFonts w:hint="eastAsia" w:ascii="宋体" w:hAnsi="Courier New" w:eastAsia="宋体"/>
                <w:sz w:val="24"/>
                <w:szCs w:val="24"/>
                <w:lang w:val="zh-CN"/>
              </w:rPr>
              <w:t>供应商应当通过邮件形式</w:t>
            </w:r>
            <w:r>
              <w:rPr>
                <w:rFonts w:hint="eastAsia" w:ascii="宋体" w:hAnsi="Courier New" w:eastAsia="宋体"/>
                <w:sz w:val="24"/>
                <w:szCs w:val="24"/>
              </w:rPr>
              <w:t>，</w:t>
            </w:r>
            <w:r>
              <w:rPr>
                <w:rFonts w:hint="eastAsia" w:ascii="宋体" w:hAnsi="Courier New" w:eastAsia="宋体"/>
                <w:sz w:val="24"/>
                <w:szCs w:val="24"/>
                <w:lang w:val="zh-CN"/>
              </w:rPr>
              <w:t>将经授权代表签署的《政府采购活动现场确认声明书》</w:t>
            </w:r>
            <w:r>
              <w:rPr>
                <w:rFonts w:hint="eastAsia" w:ascii="宋体" w:hAnsi="Courier New" w:eastAsia="宋体"/>
                <w:sz w:val="24"/>
                <w:szCs w:val="24"/>
              </w:rPr>
              <w:t>（</w:t>
            </w:r>
            <w:r>
              <w:rPr>
                <w:rFonts w:hint="eastAsia" w:ascii="宋体" w:hAnsi="Courier New" w:eastAsia="宋体"/>
                <w:sz w:val="24"/>
                <w:szCs w:val="24"/>
                <w:lang w:val="zh-CN"/>
              </w:rPr>
              <w:t>格式见附件</w:t>
            </w:r>
            <w:r>
              <w:rPr>
                <w:rFonts w:hint="eastAsia" w:ascii="宋体" w:hAnsi="Courier New" w:eastAsia="宋体"/>
                <w:sz w:val="24"/>
                <w:szCs w:val="24"/>
              </w:rPr>
              <w:t>12）</w:t>
            </w:r>
            <w:r>
              <w:rPr>
                <w:rFonts w:hint="eastAsia" w:ascii="宋体" w:hAnsi="Courier New" w:eastAsia="宋体"/>
                <w:sz w:val="24"/>
                <w:szCs w:val="24"/>
                <w:lang w:val="zh-CN"/>
              </w:rPr>
              <w:t>扫描件发至代理机构邮箱</w:t>
            </w:r>
            <w:r>
              <w:rPr>
                <w:rFonts w:hint="eastAsia" w:ascii="宋体" w:hAnsi="Courier New" w:eastAsia="宋体"/>
                <w:sz w:val="24"/>
                <w:szCs w:val="24"/>
              </w:rPr>
              <w:t>（</w:t>
            </w:r>
            <w:r>
              <w:fldChar w:fldCharType="begin"/>
            </w:r>
            <w:r>
              <w:instrText xml:space="preserve"> HYPERLINK "mailto:13758666568@126.com" </w:instrText>
            </w:r>
            <w:r>
              <w:fldChar w:fldCharType="separate"/>
            </w:r>
            <w:r>
              <w:rPr>
                <w:rStyle w:val="27"/>
                <w:rFonts w:hint="eastAsia" w:ascii="宋体" w:hAnsi="Courier New"/>
                <w:color w:val="auto"/>
                <w:sz w:val="24"/>
                <w:szCs w:val="24"/>
                <w:lang w:eastAsia="zh-CN"/>
              </w:rPr>
              <w:t>1142193036@qq.com</w:t>
            </w:r>
            <w:r>
              <w:rPr>
                <w:rStyle w:val="27"/>
                <w:rFonts w:hint="eastAsia" w:ascii="宋体" w:hAnsi="Courier New"/>
                <w:color w:val="auto"/>
                <w:sz w:val="24"/>
                <w:szCs w:val="24"/>
              </w:rPr>
              <w:fldChar w:fldCharType="end"/>
            </w:r>
            <w:r>
              <w:rPr>
                <w:rFonts w:hint="eastAsia" w:ascii="宋体" w:hAnsi="Courier New" w:eastAsia="宋体"/>
                <w:sz w:val="24"/>
                <w:szCs w:val="24"/>
              </w:rPr>
              <w:t>）,</w:t>
            </w:r>
            <w:r>
              <w:rPr>
                <w:rFonts w:hint="eastAsia" w:ascii="宋体" w:hAnsi="Courier New" w:eastAsia="宋体"/>
                <w:sz w:val="24"/>
                <w:szCs w:val="24"/>
                <w:lang w:val="zh-CN"/>
              </w:rPr>
              <w:t>联系人</w:t>
            </w:r>
            <w:r>
              <w:rPr>
                <w:rFonts w:hint="eastAsia" w:ascii="宋体" w:hAnsi="Courier New" w:eastAsia="宋体"/>
                <w:sz w:val="24"/>
                <w:szCs w:val="24"/>
              </w:rPr>
              <w:t>：</w:t>
            </w:r>
            <w:r>
              <w:rPr>
                <w:rFonts w:hint="eastAsia" w:ascii="宋体" w:hAnsi="Courier New" w:eastAsia="宋体"/>
                <w:sz w:val="24"/>
                <w:szCs w:val="24"/>
                <w:lang w:eastAsia="zh-CN"/>
              </w:rPr>
              <w:t>谢倩倩</w:t>
            </w:r>
            <w:r>
              <w:rPr>
                <w:rFonts w:hint="eastAsia" w:ascii="宋体" w:hAnsi="Courier New" w:eastAsia="宋体"/>
                <w:sz w:val="24"/>
                <w:szCs w:val="24"/>
              </w:rPr>
              <w:t>，</w:t>
            </w:r>
            <w:r>
              <w:rPr>
                <w:rFonts w:hint="eastAsia" w:ascii="宋体" w:hAnsi="Courier New" w:eastAsia="宋体"/>
                <w:sz w:val="24"/>
                <w:szCs w:val="24"/>
                <w:lang w:val="zh-CN"/>
              </w:rPr>
              <w:t>电话</w:t>
            </w:r>
            <w:r>
              <w:rPr>
                <w:rFonts w:hint="eastAsia" w:ascii="宋体" w:hAnsi="Courier New" w:eastAsia="宋体"/>
                <w:sz w:val="24"/>
                <w:szCs w:val="24"/>
              </w:rPr>
              <w:t>：</w:t>
            </w:r>
            <w:r>
              <w:rPr>
                <w:rFonts w:hint="eastAsia" w:ascii="宋体" w:hAnsi="Courier New" w:eastAsia="宋体"/>
                <w:sz w:val="24"/>
                <w:szCs w:val="24"/>
                <w:lang w:eastAsia="zh-CN"/>
              </w:rPr>
              <w:t>13750603472</w:t>
            </w:r>
            <w:r>
              <w:rPr>
                <w:rFonts w:hint="eastAsia" w:ascii="宋体" w:hAnsi="Courier New" w:eastAsia="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cs="Arial" w:asciiTheme="minorEastAsia" w:hAnsiTheme="minorEastAsia" w:eastAsiaTheme="minorEastAsia"/>
                <w:sz w:val="24"/>
              </w:rPr>
            </w:pPr>
            <w:r>
              <w:rPr>
                <w:rFonts w:hint="eastAsia" w:cs="Arial" w:asciiTheme="minorEastAsia" w:hAnsiTheme="minorEastAsia" w:eastAsiaTheme="minorEastAsia"/>
                <w:sz w:val="24"/>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sz w:val="24"/>
              </w:rPr>
              <w:t>http://www.creditchina.gov.cn</w:t>
            </w:r>
            <w:r>
              <w:rPr>
                <w:rFonts w:cs="Arial" w:asciiTheme="minorEastAsia" w:hAnsiTheme="minorEastAsia" w:eastAsiaTheme="minorEastAsia"/>
                <w:sz w:val="24"/>
              </w:rPr>
              <w:fldChar w:fldCharType="end"/>
            </w:r>
            <w:r>
              <w:rPr>
                <w:rFonts w:hint="eastAsia" w:cs="Arial" w:asciiTheme="minorEastAsia" w:hAnsiTheme="minorEastAsia" w:eastAsiaTheme="minorEastAsia"/>
                <w:sz w:val="24"/>
              </w:rPr>
              <w:t>)</w:t>
            </w:r>
          </w:p>
          <w:p>
            <w:pPr>
              <w:spacing w:line="300" w:lineRule="auto"/>
              <w:rPr>
                <w:rFonts w:ascii="宋体" w:hAnsi="宋体" w:cs="宋体"/>
                <w:sz w:val="24"/>
              </w:rPr>
            </w:pPr>
            <w:r>
              <w:rPr>
                <w:rFonts w:hint="eastAsia" w:cs="Arial" w:asciiTheme="minorEastAsia" w:hAnsiTheme="minorEastAsia" w:eastAsiaTheme="minorEastAsia"/>
                <w:sz w:val="24"/>
              </w:rPr>
              <w:t>中国政府采购网（网址：</w:t>
            </w:r>
            <w:r>
              <w:rPr>
                <w:rFonts w:cs="Arial" w:asciiTheme="minorEastAsia" w:hAnsiTheme="minorEastAsia" w:eastAsiaTheme="minorEastAsia"/>
                <w:sz w:val="24"/>
              </w:rPr>
              <w:t>http://www.ccgp.gov.cn</w:t>
            </w:r>
            <w:r>
              <w:rPr>
                <w:rFonts w:hint="eastAsia" w:cs="Arial"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 w:val="24"/>
              </w:rPr>
            </w:pPr>
            <w:r>
              <w:rPr>
                <w:rFonts w:hint="eastAsia" w:ascii="宋体" w:hAnsi="宋体" w:cs="宋体"/>
                <w:color w:val="000000" w:themeColor="text1"/>
                <w:sz w:val="24"/>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color w:val="000000" w:themeColor="text1"/>
                <w:sz w:val="24"/>
              </w:rPr>
            </w:pPr>
            <w:r>
              <w:rPr>
                <w:rFonts w:hint="eastAsia"/>
                <w:color w:val="000000" w:themeColor="text1"/>
                <w:sz w:val="24"/>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黑体" w:hAnsi="黑体" w:eastAsia="黑体" w:cs="黑体"/>
                <w:color w:val="000000" w:themeColor="text1"/>
                <w:sz w:val="24"/>
                <w:shd w:val="clear" w:color="auto" w:fill="FFFFFF"/>
              </w:rPr>
            </w:pPr>
            <w:r>
              <w:rPr>
                <w:rFonts w:hint="eastAsia" w:cs="Arial" w:asciiTheme="minorEastAsia" w:hAnsiTheme="minorEastAsia" w:eastAsiaTheme="minorEastAsia"/>
                <w:color w:val="000000" w:themeColor="text1"/>
                <w:sz w:val="24"/>
              </w:rPr>
              <w:t>根据《政府采购促进中小企业发展管理办法》财库〔2020〕46号文件的规定，本项目(</w:t>
            </w:r>
            <w:r>
              <w:rPr>
                <w:rFonts w:hint="eastAsia"/>
                <w:color w:val="000000" w:themeColor="text1"/>
                <w:sz w:val="24"/>
              </w:rPr>
              <w:t>□</w:t>
            </w:r>
            <w:r>
              <w:rPr>
                <w:rFonts w:hint="eastAsia" w:ascii="宋体" w:hAnsi="宋体" w:cs="宋体"/>
                <w:color w:val="000000" w:themeColor="text1"/>
                <w:sz w:val="24"/>
              </w:rPr>
              <w:t>是 /</w:t>
            </w:r>
            <w:r>
              <w:rPr>
                <w:rFonts w:hint="eastAsia" w:ascii="MS Mincho" w:hAnsi="MS Mincho" w:eastAsia="MS Mincho" w:cs="MS Mincho"/>
                <w:color w:val="000000" w:themeColor="text1"/>
                <w:sz w:val="24"/>
              </w:rPr>
              <w:t>☑</w:t>
            </w:r>
            <w:r>
              <w:rPr>
                <w:rFonts w:hint="eastAsia" w:ascii="宋体" w:hAnsi="宋体" w:cs="宋体"/>
                <w:color w:val="000000" w:themeColor="text1"/>
                <w:sz w:val="24"/>
              </w:rPr>
              <w:t xml:space="preserve"> 否</w:t>
            </w:r>
            <w:r>
              <w:rPr>
                <w:rFonts w:hint="eastAsia" w:ascii="黑体" w:hAnsi="黑体" w:eastAsia="黑体" w:cs="黑体"/>
                <w:color w:val="000000" w:themeColor="text1"/>
                <w:sz w:val="24"/>
                <w:shd w:val="clear" w:color="auto" w:fill="FFFFFF"/>
              </w:rPr>
              <w:t>)</w:t>
            </w:r>
            <w:r>
              <w:rPr>
                <w:rFonts w:hint="eastAsia" w:cs="Arial" w:asciiTheme="minorEastAsia" w:hAnsiTheme="minorEastAsia" w:eastAsiaTheme="minorEastAsia"/>
                <w:color w:val="000000" w:themeColor="text1"/>
                <w:sz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 w:val="24"/>
              </w:rPr>
            </w:pPr>
            <w:r>
              <w:rPr>
                <w:rFonts w:hint="eastAsia" w:ascii="宋体" w:hAnsi="宋体" w:cs="宋体"/>
                <w:color w:val="000000" w:themeColor="text1"/>
                <w:sz w:val="24"/>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color w:val="000000" w:themeColor="text1"/>
                <w:sz w:val="24"/>
              </w:rPr>
            </w:pPr>
            <w:r>
              <w:rPr>
                <w:rFonts w:hint="eastAsia" w:ascii="宋体" w:hAnsi="宋体" w:cs="宋体"/>
                <w:color w:val="000000" w:themeColor="text1"/>
                <w:sz w:val="24"/>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color w:val="000000" w:themeColor="text1"/>
                <w:sz w:val="24"/>
              </w:rPr>
            </w:pPr>
            <w:r>
              <w:rPr>
                <w:rFonts w:hint="eastAsia"/>
                <w:color w:val="000000" w:themeColor="text1"/>
                <w:sz w:val="24"/>
              </w:rPr>
              <w:t>1.项目属性（服务类）</w:t>
            </w:r>
          </w:p>
          <w:p>
            <w:pPr>
              <w:spacing w:line="300" w:lineRule="auto"/>
              <w:ind w:firstLine="480" w:firstLineChars="200"/>
              <w:rPr>
                <w:color w:val="000000" w:themeColor="text1"/>
                <w:sz w:val="24"/>
              </w:rPr>
            </w:pPr>
            <w:r>
              <w:rPr>
                <w:rFonts w:hint="eastAsia"/>
                <w:color w:val="000000" w:themeColor="text1"/>
                <w:sz w:val="24"/>
              </w:rPr>
              <w:t>2.中小企业划分标准所属行业（具体根据《中小企业划型标准规定》执行）。</w:t>
            </w:r>
          </w:p>
          <w:p>
            <w:pPr>
              <w:adjustRightInd w:val="0"/>
              <w:snapToGrid w:val="0"/>
              <w:spacing w:line="312" w:lineRule="auto"/>
              <w:ind w:firstLine="480" w:firstLineChars="200"/>
              <w:rPr>
                <w:color w:val="000000" w:themeColor="text1"/>
                <w:sz w:val="24"/>
              </w:rPr>
            </w:pPr>
            <w:r>
              <w:rPr>
                <w:rFonts w:hint="eastAsia"/>
                <w:color w:val="000000" w:themeColor="text1"/>
                <w:sz w:val="24"/>
              </w:rPr>
              <w:t xml:space="preserve">采购标的： </w:t>
            </w:r>
            <w:r>
              <w:rPr>
                <w:rFonts w:hint="eastAsia"/>
                <w:b/>
                <w:color w:val="000000" w:themeColor="text1"/>
                <w:sz w:val="24"/>
                <w:u w:val="single"/>
              </w:rPr>
              <w:t xml:space="preserve"> </w:t>
            </w:r>
            <w:r>
              <w:rPr>
                <w:rFonts w:hint="eastAsia" w:cs="宋体"/>
                <w:b/>
                <w:sz w:val="24"/>
                <w:u w:val="single"/>
              </w:rPr>
              <w:t>基本医疗保险意外伤害住院医疗费用服务外包</w:t>
            </w:r>
            <w:r>
              <w:rPr>
                <w:rFonts w:hint="eastAsia"/>
                <w:b/>
                <w:color w:val="000000" w:themeColor="text1"/>
                <w:sz w:val="24"/>
                <w:u w:val="single"/>
              </w:rPr>
              <w:t xml:space="preserve"> </w:t>
            </w:r>
            <w:r>
              <w:rPr>
                <w:rFonts w:hint="eastAsia"/>
                <w:color w:val="000000" w:themeColor="text1"/>
                <w:sz w:val="24"/>
              </w:rPr>
              <w:t xml:space="preserve"> ，所属行业：</w:t>
            </w:r>
            <w:r>
              <w:rPr>
                <w:rFonts w:hint="eastAsia"/>
                <w:color w:val="000000" w:themeColor="text1"/>
                <w:sz w:val="24"/>
                <w:u w:val="single"/>
              </w:rPr>
              <w:t xml:space="preserve"> </w:t>
            </w:r>
            <w:r>
              <w:rPr>
                <w:rFonts w:hint="eastAsia"/>
                <w:b/>
                <w:color w:val="000000" w:themeColor="text1"/>
                <w:sz w:val="24"/>
                <w:u w:val="single"/>
              </w:rPr>
              <w:t>其他未列明行业</w:t>
            </w:r>
            <w:r>
              <w:rPr>
                <w:rFonts w:hint="eastAsia"/>
                <w:color w:val="000000" w:themeColor="text1"/>
                <w:sz w:val="24"/>
              </w:rPr>
              <w:t>。</w:t>
            </w:r>
          </w:p>
          <w:p>
            <w:pPr>
              <w:spacing w:line="300" w:lineRule="auto"/>
              <w:ind w:firstLine="480" w:firstLineChars="200"/>
              <w:rPr>
                <w:color w:val="000000" w:themeColor="text1"/>
                <w:sz w:val="24"/>
              </w:rPr>
            </w:pPr>
            <w:r>
              <w:rPr>
                <w:rFonts w:hint="eastAsia"/>
                <w:color w:val="000000" w:themeColor="text1"/>
                <w:sz w:val="24"/>
              </w:rPr>
              <w:t>3.根据财库[2017]141号的相关规定，在政府采购活动中，残疾人福利性单位的视同小型、微型企业。属于享受政府采购支持政策的残疾人福利性单位，应满足财库[2017]141号文件规定，并在投标文件中提供残疾人福利性单位声明函（见附件</w:t>
            </w:r>
            <w:r>
              <w:rPr>
                <w:rFonts w:hint="eastAsia"/>
                <w:color w:val="000000" w:themeColor="text1"/>
                <w:sz w:val="24"/>
                <w:lang w:val="en-US" w:eastAsia="zh-CN"/>
              </w:rPr>
              <w:t>11</w:t>
            </w:r>
            <w:r>
              <w:rPr>
                <w:rFonts w:hint="eastAsia"/>
                <w:color w:val="000000" w:themeColor="text1"/>
                <w:sz w:val="24"/>
              </w:rPr>
              <w:t>）。</w:t>
            </w:r>
          </w:p>
          <w:p>
            <w:pPr>
              <w:spacing w:line="300" w:lineRule="auto"/>
              <w:ind w:firstLine="480" w:firstLineChars="200"/>
              <w:rPr>
                <w:color w:val="000000" w:themeColor="text1"/>
                <w:sz w:val="24"/>
              </w:rPr>
            </w:pPr>
            <w:r>
              <w:rPr>
                <w:rFonts w:hint="eastAsia"/>
                <w:color w:val="000000" w:themeColor="text1"/>
                <w:sz w:val="24"/>
              </w:rPr>
              <w:t>4.根据财库[2014]68号的相关规定，在政府采购活动中，监狱企业的视同小型、微型企业，并在投标文件中提供由省级以上监狱管理局、戒毒管理局（含新疆生产建设兵团）出具的属于监狱企业的证明文件（格式自拟）。”</w:t>
            </w:r>
          </w:p>
          <w:p>
            <w:pPr>
              <w:pStyle w:val="3"/>
              <w:numPr>
                <w:ilvl w:val="0"/>
                <w:numId w:val="0"/>
              </w:numPr>
              <w:jc w:val="both"/>
              <w:rPr>
                <w:color w:val="000000" w:themeColor="text1"/>
                <w:sz w:val="24"/>
                <w:szCs w:val="24"/>
              </w:rPr>
            </w:pPr>
            <w:r>
              <w:rPr>
                <w:rFonts w:hint="eastAsia" w:cs="Arial" w:asciiTheme="minorEastAsia" w:hAnsiTheme="minorEastAsia" w:eastAsiaTheme="minorEastAsia"/>
                <w:color w:val="000000" w:themeColor="text1"/>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color w:val="000000" w:themeColor="text1"/>
                <w:sz w:val="24"/>
              </w:rPr>
            </w:pPr>
            <w:r>
              <w:rPr>
                <w:rFonts w:hint="eastAsia" w:ascii="宋体" w:hAnsi="宋体" w:cs="宋体"/>
                <w:color w:val="000000" w:themeColor="text1"/>
                <w:sz w:val="24"/>
              </w:rPr>
              <w:t>询问、质疑、投诉渠道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sz w:val="24"/>
              </w:rPr>
            </w:pPr>
            <w:r>
              <w:rPr>
                <w:rFonts w:hint="eastAsia" w:ascii="宋体" w:hAnsi="宋体" w:cs="宋体"/>
                <w:color w:val="000000" w:themeColor="text1"/>
                <w:sz w:val="24"/>
              </w:rPr>
              <w:t>询问：政采云-项目采购-询问质疑投诉-询问列表；</w:t>
            </w:r>
          </w:p>
          <w:p>
            <w:pPr>
              <w:spacing w:line="300" w:lineRule="auto"/>
              <w:rPr>
                <w:rFonts w:ascii="宋体" w:hAnsi="宋体" w:cs="宋体"/>
                <w:color w:val="000000" w:themeColor="text1"/>
                <w:sz w:val="24"/>
              </w:rPr>
            </w:pPr>
            <w:r>
              <w:rPr>
                <w:rFonts w:hint="eastAsia" w:ascii="宋体" w:hAnsi="宋体" w:cs="宋体"/>
                <w:color w:val="000000" w:themeColor="text1"/>
                <w:sz w:val="24"/>
              </w:rPr>
              <w:t>质疑：政采云-项目采购-询问 质疑投诉-质疑列表；</w:t>
            </w:r>
          </w:p>
          <w:p>
            <w:pPr>
              <w:spacing w:line="300" w:lineRule="auto"/>
              <w:rPr>
                <w:rFonts w:ascii="宋体" w:hAnsi="宋体" w:cs="宋体"/>
                <w:color w:val="000000" w:themeColor="text1"/>
                <w:sz w:val="24"/>
              </w:rPr>
            </w:pPr>
            <w:r>
              <w:rPr>
                <w:rFonts w:hint="eastAsia" w:ascii="宋体" w:hAnsi="宋体" w:cs="宋体"/>
                <w:color w:val="000000" w:themeColor="text1"/>
                <w:sz w:val="24"/>
              </w:rPr>
              <w:t>投诉：浙江政府服务网-政府采购投诉处理-在线办理；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color w:val="000000" w:themeColor="text1"/>
                <w:sz w:val="24"/>
              </w:rPr>
            </w:pPr>
            <w:r>
              <w:rPr>
                <w:rFonts w:hint="eastAsia" w:ascii="宋体" w:hAnsi="宋体" w:cs="宋体"/>
                <w:color w:val="000000" w:themeColor="text1"/>
                <w:sz w:val="24"/>
              </w:rPr>
              <w:t>澄清问题的形式</w:t>
            </w:r>
          </w:p>
          <w:p>
            <w:pPr>
              <w:autoSpaceDE w:val="0"/>
              <w:autoSpaceDN w:val="0"/>
              <w:spacing w:line="300" w:lineRule="auto"/>
              <w:jc w:val="center"/>
              <w:rPr>
                <w:rFonts w:ascii="宋体" w:hAnsi="宋体" w:cs="宋体"/>
                <w:sz w:val="24"/>
                <w:lang w:val="zh-CN"/>
              </w:rPr>
            </w:pP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3"/>
              <w:snapToGrid w:val="0"/>
              <w:spacing w:line="420" w:lineRule="exact"/>
              <w:ind w:firstLine="480" w:firstLineChars="200"/>
              <w:rPr>
                <w:rFonts w:hAnsi="宋体"/>
                <w:b/>
                <w:bCs/>
                <w:u w:val="single"/>
                <w:shd w:val="pct10" w:color="auto" w:fill="FFFFFF"/>
              </w:rPr>
            </w:pPr>
            <w:r>
              <w:rPr>
                <w:rFonts w:hint="eastAsia" w:hAnsi="宋体" w:cs="宋体"/>
                <w:color w:val="000000" w:themeColor="text1"/>
                <w:sz w:val="24"/>
              </w:rPr>
              <w:t>对投标文件中含义不明确、同类问题表述不一致或者有明显文字和计算错误的内容，评标委员会可要求投标人作出必要的</w:t>
            </w:r>
            <w:bookmarkStart w:id="35" w:name="_Hlk59372079"/>
            <w:r>
              <w:rPr>
                <w:rFonts w:hint="eastAsia" w:hAnsi="宋体" w:cs="宋体"/>
                <w:color w:val="000000" w:themeColor="text1"/>
                <w:sz w:val="24"/>
              </w:rPr>
              <w:t>澄清、说明</w:t>
            </w:r>
            <w:bookmarkEnd w:id="35"/>
            <w:r>
              <w:rPr>
                <w:rFonts w:hint="eastAsia" w:hAnsi="宋体" w:cs="宋体"/>
                <w:color w:val="000000" w:themeColor="text1"/>
                <w:sz w:val="24"/>
              </w:rPr>
              <w:t>或者补正。评标委员会的澄清内容及投标人的澄清、说明或者补正均通过</w:t>
            </w:r>
            <w:bookmarkStart w:id="36" w:name="_Hlk59371846"/>
            <w:r>
              <w:rPr>
                <w:rFonts w:hint="eastAsia" w:hAnsi="宋体" w:cs="宋体"/>
                <w:color w:val="000000" w:themeColor="text1"/>
                <w:sz w:val="24"/>
              </w:rPr>
              <w:t>政采云电子交易平台交换数据电文。</w:t>
            </w:r>
            <w:bookmarkEnd w:id="36"/>
            <w:bookmarkStart w:id="37" w:name="_Hlk59700505"/>
            <w:r>
              <w:rPr>
                <w:rFonts w:hint="eastAsia" w:hAnsi="宋体" w:cs="宋体"/>
                <w:color w:val="000000" w:themeColor="text1"/>
                <w:szCs w:val="21"/>
              </w:rPr>
              <w:t>同时采购代理机构也将通过</w:t>
            </w:r>
            <w:bookmarkStart w:id="38" w:name="_Hlk59371920"/>
            <w:r>
              <w:rPr>
                <w:rFonts w:hint="eastAsia" w:hAnsi="宋体" w:cs="宋体"/>
                <w:color w:val="000000" w:themeColor="text1"/>
                <w:szCs w:val="21"/>
              </w:rPr>
              <w:t>政采云视频询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37"/>
          </w:p>
          <w:bookmarkEnd w:id="38"/>
          <w:p>
            <w:pPr>
              <w:autoSpaceDE w:val="0"/>
              <w:autoSpaceDN w:val="0"/>
              <w:spacing w:line="300" w:lineRule="auto"/>
              <w:rPr>
                <w:rFonts w:ascii="宋体" w:hAnsi="宋体" w:cs="宋体"/>
                <w:kern w:val="0"/>
                <w:sz w:val="24"/>
                <w:lang w:val="zh-CN"/>
              </w:rPr>
            </w:pPr>
            <w:r>
              <w:rPr>
                <w:rFonts w:hint="eastAsia" w:ascii="宋体" w:hAnsi="宋体"/>
                <w:sz w:val="24"/>
              </w:rPr>
              <w:t>评标委员会发出澄清内容后，投标人应当在采购代理机构及政采云平台上</w:t>
            </w:r>
            <w:r>
              <w:rPr>
                <w:rFonts w:hint="eastAsia" w:ascii="宋体" w:hAnsi="宋体"/>
                <w:b/>
                <w:bCs/>
                <w:sz w:val="24"/>
                <w:u w:val="single"/>
              </w:rPr>
              <w:t>规定的时间内（30分钟，具体时间以政采云系统上显示的时间为准）</w:t>
            </w:r>
            <w:r>
              <w:rPr>
                <w:rFonts w:hint="eastAsia" w:ascii="宋体" w:hAnsi="宋体"/>
                <w:b/>
                <w:bCs/>
                <w:sz w:val="24"/>
              </w:rPr>
              <w:t>，</w:t>
            </w:r>
            <w:r>
              <w:rPr>
                <w:rFonts w:hint="eastAsia" w:ascii="宋体" w:hAnsi="宋体" w:cs="宋体"/>
                <w:color w:val="000000" w:themeColor="text1"/>
                <w:sz w:val="24"/>
              </w:rPr>
              <w:t>提交澄清说明或补正，否则视为投标人放弃答复，并自行承担因此而产生的不利后果。澄清、说明或者补正不得超出投标文件的范围或者改变投标文件的实质性内容。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 w:val="24"/>
              </w:rPr>
            </w:pPr>
            <w:r>
              <w:rPr>
                <w:rFonts w:hint="eastAsia" w:ascii="宋体" w:hAnsi="宋体" w:cs="宋体"/>
                <w:kern w:val="0"/>
                <w:sz w:val="24"/>
                <w:lang w:val="zh-CN"/>
              </w:rPr>
              <w:t>带“</w:t>
            </w:r>
            <w:r>
              <w:rPr>
                <w:rFonts w:hint="eastAsia" w:ascii="宋体" w:hAnsi="宋体" w:cs="宋体"/>
                <w:bCs/>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 w:val="24"/>
              </w:rPr>
            </w:pPr>
            <w:r>
              <w:rPr>
                <w:rFonts w:hint="eastAsia" w:ascii="宋体" w:hAnsi="宋体" w:cs="宋体"/>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 w:val="24"/>
              </w:rPr>
            </w:pPr>
            <w:r>
              <w:rPr>
                <w:rFonts w:hint="eastAsia" w:ascii="宋体" w:hAnsi="宋体" w:cs="宋体"/>
                <w:sz w:val="24"/>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exact"/>
              <w:jc w:val="center"/>
              <w:rPr>
                <w:rFonts w:ascii="宋体" w:hAnsi="宋体" w:cs="宋体"/>
                <w:sz w:val="24"/>
              </w:rPr>
            </w:pPr>
            <w:r>
              <w:rPr>
                <w:rFonts w:hint="eastAsia" w:ascii="宋体" w:hAnsi="宋体" w:cs="宋体"/>
                <w:sz w:val="24"/>
              </w:rPr>
              <w:t>中标单位纸质投标文件</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4"/>
              <w:spacing w:line="360" w:lineRule="exact"/>
              <w:ind w:left="0" w:leftChars="0"/>
              <w:jc w:val="left"/>
              <w:rPr>
                <w:rFonts w:ascii="宋体" w:hAnsi="宋体" w:cs="宋体"/>
                <w:sz w:val="24"/>
                <w:szCs w:val="24"/>
              </w:rPr>
            </w:pPr>
            <w:r>
              <w:rPr>
                <w:rFonts w:hint="eastAsia" w:ascii="宋体" w:hAnsi="宋体" w:eastAsia="宋体" w:cs="宋体"/>
                <w:sz w:val="24"/>
                <w:szCs w:val="24"/>
              </w:rPr>
              <w:t>中标单位需要在领取《中标通知书》时提供与电子投标一致的纸质投标文件用于书面存档（至少一式一份），要求采用胶装，不建议采用活页夹等可随时拆换的方式装订。</w:t>
            </w:r>
          </w:p>
        </w:tc>
      </w:tr>
    </w:tbl>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1"/>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snapToGrid w:val="0"/>
        <w:spacing w:line="360" w:lineRule="auto"/>
        <w:ind w:firstLine="482" w:firstLineChars="200"/>
        <w:rPr>
          <w:rFonts w:ascii="宋体" w:hAnsi="宋体" w:cs="宋体"/>
          <w:b/>
          <w:bCs/>
          <w:sz w:val="24"/>
        </w:rPr>
      </w:pPr>
      <w:r>
        <w:rPr>
          <w:rFonts w:hint="eastAsia" w:ascii="宋体" w:hAnsi="宋体" w:cs="宋体"/>
          <w:b/>
          <w:bCs/>
          <w:sz w:val="24"/>
        </w:rPr>
        <w:t>（四）语言文字以及度量衡单位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30"/>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（五）现场踏勘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3"/>
        <w:snapToGrid w:val="0"/>
        <w:spacing w:line="360" w:lineRule="auto"/>
        <w:ind w:firstLine="482" w:firstLineChars="200"/>
        <w:rPr>
          <w:rFonts w:hAnsi="宋体" w:cs="宋体"/>
          <w:b/>
          <w:sz w:val="24"/>
        </w:rPr>
      </w:pPr>
      <w:r>
        <w:rPr>
          <w:rFonts w:hint="eastAsia" w:hAnsi="宋体" w:cs="宋体"/>
          <w:b/>
          <w:sz w:val="24"/>
        </w:rPr>
        <w:t>（六）特别说明</w:t>
      </w:r>
    </w:p>
    <w:p>
      <w:pPr>
        <w:pStyle w:val="13"/>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30"/>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30"/>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cs="宋体"/>
          <w:b/>
          <w:bCs/>
          <w:sz w:val="24"/>
        </w:rPr>
      </w:pPr>
      <w:r>
        <w:rPr>
          <w:rFonts w:ascii="宋体" w:hAnsi="宋体" w:cs="宋体"/>
          <w:b/>
          <w:bCs/>
          <w:sz w:val="24"/>
        </w:rPr>
        <w:t>1</w:t>
      </w:r>
      <w:r>
        <w:rPr>
          <w:rFonts w:hint="eastAsia" w:ascii="宋体" w:hAnsi="宋体" w:cs="宋体"/>
          <w:b/>
          <w:bCs/>
          <w:sz w:val="24"/>
        </w:rPr>
        <w:t>、资格证明文件的组成：</w:t>
      </w:r>
      <w:r>
        <w:rPr>
          <w:rFonts w:ascii="宋体" w:hAnsi="宋体" w:cs="宋体"/>
          <w:b/>
          <w:bCs/>
          <w:sz w:val="24"/>
        </w:rPr>
        <w:t xml:space="preserve"> </w:t>
      </w:r>
    </w:p>
    <w:tbl>
      <w:tblPr>
        <w:tblStyle w:val="22"/>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8"/>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709" w:type="dxa"/>
            <w:vAlign w:val="center"/>
          </w:tcPr>
          <w:p>
            <w:pPr>
              <w:widowControl/>
              <w:snapToGrid w:val="0"/>
              <w:spacing w:line="340" w:lineRule="exact"/>
              <w:jc w:val="center"/>
              <w:rPr>
                <w:rFonts w:ascii="宋体" w:hAnsi="宋体" w:cs="宋体"/>
                <w:sz w:val="24"/>
              </w:rPr>
            </w:pPr>
            <w:r>
              <w:rPr>
                <w:rFonts w:hint="eastAsia" w:ascii="宋体" w:hAnsi="宋体" w:cs="宋体"/>
                <w:sz w:val="24"/>
              </w:rPr>
              <w:t>序号</w:t>
            </w:r>
          </w:p>
        </w:tc>
        <w:tc>
          <w:tcPr>
            <w:tcW w:w="3118" w:type="dxa"/>
            <w:vAlign w:val="center"/>
          </w:tcPr>
          <w:p>
            <w:pPr>
              <w:widowControl/>
              <w:snapToGrid w:val="0"/>
              <w:spacing w:line="340" w:lineRule="exact"/>
              <w:jc w:val="center"/>
              <w:rPr>
                <w:rFonts w:ascii="宋体" w:hAnsi="宋体" w:cs="宋体"/>
                <w:sz w:val="24"/>
              </w:rPr>
            </w:pPr>
            <w:r>
              <w:rPr>
                <w:rFonts w:hint="eastAsia" w:ascii="宋体" w:hAnsi="宋体" w:cs="宋体"/>
                <w:sz w:val="24"/>
              </w:rPr>
              <w:t>内容</w:t>
            </w:r>
          </w:p>
        </w:tc>
        <w:tc>
          <w:tcPr>
            <w:tcW w:w="4962" w:type="dxa"/>
            <w:vAlign w:val="center"/>
          </w:tcPr>
          <w:p>
            <w:pPr>
              <w:widowControl/>
              <w:snapToGrid w:val="0"/>
              <w:spacing w:line="34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ascii="宋体" w:hAnsi="宋体" w:cs="宋体"/>
                <w:kern w:val="0"/>
                <w:sz w:val="24"/>
              </w:rPr>
              <w:t>1</w:t>
            </w:r>
          </w:p>
        </w:tc>
        <w:tc>
          <w:tcPr>
            <w:tcW w:w="3118"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投标声明书（若没有重大违法记录，请承诺）</w:t>
            </w:r>
          </w:p>
        </w:tc>
        <w:tc>
          <w:tcPr>
            <w:tcW w:w="4962" w:type="dxa"/>
            <w:vAlign w:val="center"/>
          </w:tcPr>
          <w:p>
            <w:pPr>
              <w:widowControl/>
              <w:snapToGrid w:val="0"/>
              <w:spacing w:line="340" w:lineRule="exact"/>
              <w:rPr>
                <w:rFonts w:ascii="宋体" w:cs="宋体"/>
                <w:sz w:val="24"/>
              </w:rPr>
            </w:pPr>
            <w:r>
              <w:rPr>
                <w:rFonts w:hint="eastAsia" w:ascii="宋体" w:hAnsi="宋体" w:cs="宋体"/>
                <w:kern w:val="0"/>
                <w:sz w:val="24"/>
              </w:rPr>
              <w:t>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ascii="宋体" w:hAnsi="宋体" w:cs="宋体"/>
                <w:kern w:val="0"/>
                <w:sz w:val="24"/>
              </w:rPr>
              <w:t>2</w:t>
            </w:r>
          </w:p>
        </w:tc>
        <w:tc>
          <w:tcPr>
            <w:tcW w:w="3118"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授权委托书（法定代表人办理投标事宜的，则无需提交）</w:t>
            </w:r>
          </w:p>
        </w:tc>
        <w:tc>
          <w:tcPr>
            <w:tcW w:w="4962" w:type="dxa"/>
            <w:vAlign w:val="center"/>
          </w:tcPr>
          <w:p>
            <w:pPr>
              <w:widowControl/>
              <w:snapToGrid w:val="0"/>
              <w:spacing w:line="340" w:lineRule="exact"/>
              <w:rPr>
                <w:rFonts w:ascii="宋体" w:cs="宋体"/>
                <w:sz w:val="24"/>
              </w:rPr>
            </w:pPr>
            <w:r>
              <w:rPr>
                <w:rFonts w:hint="eastAsia" w:ascii="宋体" w:hAnsi="宋体" w:cs="宋体"/>
                <w:kern w:val="0"/>
                <w:sz w:val="24"/>
              </w:rPr>
              <w:t>如授权委托代理人的则需按照格式提供此项，格式见附件2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ascii="宋体" w:hAnsi="宋体" w:cs="宋体"/>
                <w:kern w:val="0"/>
                <w:sz w:val="24"/>
              </w:rPr>
              <w:t>3</w:t>
            </w:r>
          </w:p>
        </w:tc>
        <w:tc>
          <w:tcPr>
            <w:tcW w:w="3118" w:type="dxa"/>
            <w:vAlign w:val="center"/>
          </w:tcPr>
          <w:p>
            <w:pPr>
              <w:widowControl/>
              <w:snapToGrid w:val="0"/>
              <w:spacing w:line="340" w:lineRule="exact"/>
              <w:rPr>
                <w:rFonts w:ascii="宋体" w:hAnsi="宋体" w:cs="宋体"/>
                <w:kern w:val="0"/>
                <w:sz w:val="24"/>
              </w:rPr>
            </w:pPr>
            <w:r>
              <w:rPr>
                <w:rFonts w:hint="eastAsia" w:ascii="宋体" w:hAnsi="宋体" w:cs="宋体"/>
                <w:sz w:val="24"/>
              </w:rPr>
              <w:t>▲</w:t>
            </w:r>
            <w:r>
              <w:rPr>
                <w:rFonts w:hint="eastAsia" w:ascii="宋体" w:hAnsi="宋体" w:cs="宋体"/>
                <w:kern w:val="0"/>
                <w:sz w:val="24"/>
              </w:rPr>
              <w:t>法人或者其他组织的营业执照等证明文件</w:t>
            </w:r>
          </w:p>
        </w:tc>
        <w:tc>
          <w:tcPr>
            <w:tcW w:w="4962"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p>
            <w:pPr>
              <w:widowControl/>
              <w:snapToGrid w:val="0"/>
              <w:spacing w:line="340" w:lineRule="exact"/>
              <w:rPr>
                <w:rFonts w:ascii="宋体" w:hAnsi="宋体" w:cs="宋体"/>
                <w:kern w:val="0"/>
                <w:sz w:val="24"/>
              </w:rPr>
            </w:pPr>
            <w:r>
              <w:rPr>
                <w:rFonts w:hint="eastAsia" w:ascii="宋体" w:hAnsi="宋体" w:cs="宋体"/>
                <w:kern w:val="0"/>
                <w:sz w:val="24"/>
              </w:rPr>
              <w:t>包括总公司营业执照、分公司营业执照等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rPr>
              <w:t>4</w:t>
            </w:r>
          </w:p>
        </w:tc>
        <w:tc>
          <w:tcPr>
            <w:tcW w:w="3118" w:type="dxa"/>
            <w:vAlign w:val="center"/>
          </w:tcPr>
          <w:p>
            <w:pPr>
              <w:widowControl/>
              <w:snapToGrid w:val="0"/>
              <w:spacing w:line="340" w:lineRule="exact"/>
              <w:rPr>
                <w:rFonts w:hint="eastAsia" w:ascii="宋体" w:hAnsi="Times New Roman" w:eastAsia="宋体" w:cs="宋体"/>
                <w:color w:val="000000" w:themeColor="text1"/>
                <w:kern w:val="0"/>
                <w:sz w:val="24"/>
                <w:szCs w:val="24"/>
                <w:lang w:val="en-US" w:eastAsia="zh-CN" w:bidi="ar-SA"/>
              </w:rPr>
            </w:pPr>
            <w:r>
              <w:rPr>
                <w:rFonts w:hint="eastAsia" w:ascii="宋体" w:hAnsi="宋体" w:cs="宋体"/>
                <w:b/>
                <w:color w:val="000000" w:themeColor="text1"/>
                <w:sz w:val="24"/>
              </w:rPr>
              <w:t>▲</w:t>
            </w:r>
            <w:r>
              <w:rPr>
                <w:rFonts w:hint="eastAsia" w:ascii="宋体" w:hAnsi="宋体" w:cs="宋体"/>
                <w:color w:val="000000" w:themeColor="text1"/>
                <w:kern w:val="0"/>
                <w:sz w:val="24"/>
              </w:rPr>
              <w:t>符合参与政府采购活动的资格条件并且没有税收缴纳、社会保障等方面的失信记录</w:t>
            </w:r>
          </w:p>
        </w:tc>
        <w:tc>
          <w:tcPr>
            <w:tcW w:w="4962" w:type="dxa"/>
            <w:vAlign w:val="center"/>
          </w:tcPr>
          <w:p>
            <w:pPr>
              <w:widowControl/>
              <w:snapToGrid w:val="0"/>
              <w:spacing w:line="340" w:lineRule="exact"/>
              <w:rPr>
                <w:rFonts w:hint="eastAsia" w:ascii="宋体" w:hAnsi="Times New Roman" w:eastAsia="宋体" w:cs="宋体"/>
                <w:color w:val="000000" w:themeColor="text1"/>
                <w:kern w:val="2"/>
                <w:sz w:val="24"/>
                <w:szCs w:val="24"/>
                <w:lang w:val="en-US" w:eastAsia="zh-CN" w:bidi="ar-SA"/>
              </w:rPr>
            </w:pPr>
            <w:r>
              <w:rPr>
                <w:rFonts w:hint="eastAsia" w:ascii="宋体" w:cs="宋体"/>
                <w:color w:val="000000" w:themeColor="text1"/>
                <w:sz w:val="24"/>
              </w:rPr>
              <w:t>提供承诺书（格式见附件3）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rPr>
              <w:t>5</w:t>
            </w:r>
          </w:p>
        </w:tc>
        <w:tc>
          <w:tcPr>
            <w:tcW w:w="3118" w:type="dxa"/>
            <w:vAlign w:val="center"/>
          </w:tcPr>
          <w:p>
            <w:pPr>
              <w:widowControl/>
              <w:snapToGrid w:val="0"/>
              <w:spacing w:line="340" w:lineRule="exact"/>
              <w:rPr>
                <w:rFonts w:hint="eastAsia" w:ascii="宋体" w:hAnsi="Times New Roman" w:eastAsia="宋体" w:cs="宋体"/>
                <w:color w:val="000000" w:themeColor="text1"/>
                <w:kern w:val="0"/>
                <w:sz w:val="24"/>
                <w:szCs w:val="24"/>
                <w:lang w:val="en-US" w:eastAsia="zh-CN" w:bidi="ar-SA"/>
              </w:rPr>
            </w:pPr>
            <w:r>
              <w:rPr>
                <w:rFonts w:hint="eastAsia" w:ascii="宋体" w:hAnsi="宋体" w:cs="宋体"/>
                <w:b/>
                <w:color w:val="000000" w:themeColor="text1"/>
                <w:sz w:val="24"/>
              </w:rPr>
              <w:t>▲</w:t>
            </w:r>
            <w:r>
              <w:rPr>
                <w:rFonts w:hint="eastAsia" w:ascii="宋体" w:hAnsi="宋体" w:cs="宋体"/>
                <w:color w:val="000000" w:themeColor="text1"/>
                <w:kern w:val="0"/>
                <w:sz w:val="24"/>
              </w:rPr>
              <w:t>具备履行合同所必需的设备和专业技术能力的证明材料</w:t>
            </w:r>
          </w:p>
        </w:tc>
        <w:tc>
          <w:tcPr>
            <w:tcW w:w="4962" w:type="dxa"/>
            <w:vAlign w:val="center"/>
          </w:tcPr>
          <w:p>
            <w:pPr>
              <w:widowControl/>
              <w:snapToGrid w:val="0"/>
              <w:spacing w:line="340" w:lineRule="exact"/>
              <w:rPr>
                <w:rFonts w:hint="eastAsia" w:ascii="宋体" w:hAnsi="Times New Roman" w:eastAsia="宋体" w:cs="宋体"/>
                <w:color w:val="000000" w:themeColor="text1"/>
                <w:kern w:val="0"/>
                <w:sz w:val="24"/>
                <w:szCs w:val="24"/>
                <w:lang w:val="en-US" w:eastAsia="zh-CN" w:bidi="ar-SA"/>
              </w:rPr>
            </w:pPr>
            <w:r>
              <w:rPr>
                <w:rFonts w:hint="eastAsia" w:ascii="宋体" w:cs="宋体"/>
                <w:color w:val="000000" w:themeColor="text1"/>
                <w:sz w:val="24"/>
              </w:rPr>
              <w:t>提供承诺书（格式见附件3）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709" w:type="dxa"/>
            <w:vAlign w:val="center"/>
          </w:tcPr>
          <w:p>
            <w:pPr>
              <w:widowControl/>
              <w:snapToGrid w:val="0"/>
              <w:spacing w:line="3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c>
          <w:tcPr>
            <w:tcW w:w="3118" w:type="dxa"/>
            <w:vAlign w:val="center"/>
          </w:tcPr>
          <w:p>
            <w:pPr>
              <w:widowControl/>
              <w:snapToGrid w:val="0"/>
              <w:spacing w:line="340" w:lineRule="exact"/>
              <w:rPr>
                <w:rFonts w:ascii="宋体" w:hAnsi="宋体" w:cs="宋体"/>
                <w:kern w:val="0"/>
                <w:sz w:val="24"/>
              </w:rPr>
            </w:pPr>
            <w:r>
              <w:rPr>
                <w:rFonts w:hint="eastAsia" w:ascii="宋体" w:hAnsi="宋体" w:cs="宋体"/>
                <w:sz w:val="24"/>
              </w:rPr>
              <w:t>▲</w:t>
            </w:r>
            <w:r>
              <w:rPr>
                <w:rFonts w:hint="eastAsia" w:ascii="宋体" w:hAnsi="宋体" w:cs="宋体"/>
                <w:kern w:val="0"/>
                <w:sz w:val="24"/>
              </w:rPr>
              <w:t>总公司授权委托书</w:t>
            </w:r>
          </w:p>
        </w:tc>
        <w:tc>
          <w:tcPr>
            <w:tcW w:w="4962"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商业保险公司分支机构参加投标时，必须得到商业保险机构总公司授权同意分支机构参与项目的授权。备注：保险行业的全国性企业所设立的区域性分支机构参加投标，请按照浙江省财政厅《关于规范政府采购供应商资格设定及资格审查的通知》（浙财采监</w:t>
            </w:r>
            <w:r>
              <w:rPr>
                <w:rFonts w:ascii="宋体" w:hAnsi="宋体" w:cs="宋体"/>
                <w:kern w:val="0"/>
                <w:sz w:val="24"/>
              </w:rPr>
              <w:t>[2013]24</w:t>
            </w:r>
            <w:r>
              <w:rPr>
                <w:rFonts w:hint="eastAsia" w:ascii="宋体" w:hAnsi="宋体" w:cs="宋体"/>
                <w:kern w:val="0"/>
                <w:sz w:val="24"/>
              </w:rPr>
              <w:t>号）要求执行。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709" w:type="dxa"/>
            <w:vAlign w:val="center"/>
          </w:tcPr>
          <w:p>
            <w:pPr>
              <w:widowControl/>
              <w:snapToGrid w:val="0"/>
              <w:spacing w:line="3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7</w:t>
            </w:r>
          </w:p>
        </w:tc>
        <w:tc>
          <w:tcPr>
            <w:tcW w:w="3118" w:type="dxa"/>
            <w:vAlign w:val="center"/>
          </w:tcPr>
          <w:p>
            <w:pPr>
              <w:widowControl/>
              <w:snapToGrid w:val="0"/>
              <w:spacing w:line="340" w:lineRule="exact"/>
              <w:rPr>
                <w:rFonts w:ascii="宋体" w:hAnsi="宋体" w:cs="宋体"/>
                <w:kern w:val="0"/>
                <w:sz w:val="24"/>
              </w:rPr>
            </w:pPr>
            <w:r>
              <w:rPr>
                <w:rFonts w:hint="eastAsia" w:ascii="宋体" w:hAnsi="宋体" w:cs="宋体"/>
                <w:sz w:val="24"/>
              </w:rPr>
              <w:t>▲</w:t>
            </w:r>
            <w:r>
              <w:rPr>
                <w:rFonts w:hint="eastAsia" w:ascii="宋体" w:hAnsi="宋体" w:cs="宋体"/>
                <w:kern w:val="0"/>
                <w:sz w:val="24"/>
              </w:rPr>
              <w:t>《经营保险业务许可证》</w:t>
            </w:r>
          </w:p>
        </w:tc>
        <w:tc>
          <w:tcPr>
            <w:tcW w:w="4962"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p>
            <w:pPr>
              <w:widowControl/>
              <w:snapToGrid w:val="0"/>
              <w:spacing w:line="340" w:lineRule="exact"/>
              <w:rPr>
                <w:rFonts w:ascii="宋体" w:hAnsi="宋体" w:cs="宋体"/>
                <w:kern w:val="0"/>
                <w:sz w:val="24"/>
              </w:rPr>
            </w:pPr>
            <w:r>
              <w:rPr>
                <w:rFonts w:hint="eastAsia" w:ascii="宋体" w:hAnsi="宋体" w:cs="宋体"/>
                <w:kern w:val="0"/>
                <w:sz w:val="24"/>
              </w:rPr>
              <w:t>（经营范围需同时涵盖意外伤害保险、短期健康保险等业务）。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hint="eastAsia" w:ascii="宋体" w:hAnsi="宋体" w:cs="宋体"/>
                <w:kern w:val="0"/>
                <w:sz w:val="24"/>
              </w:rPr>
              <w:t>8</w:t>
            </w:r>
          </w:p>
        </w:tc>
        <w:tc>
          <w:tcPr>
            <w:tcW w:w="3118" w:type="dxa"/>
            <w:vAlign w:val="center"/>
          </w:tcPr>
          <w:p>
            <w:pPr>
              <w:widowControl/>
              <w:snapToGrid w:val="0"/>
              <w:spacing w:line="340" w:lineRule="exact"/>
              <w:rPr>
                <w:rFonts w:ascii="宋体" w:hAnsi="宋体" w:cs="宋体"/>
                <w:kern w:val="0"/>
                <w:sz w:val="24"/>
              </w:rPr>
            </w:pPr>
            <w:r>
              <w:rPr>
                <w:rFonts w:hint="eastAsia" w:ascii="宋体" w:hAnsi="宋体" w:cs="宋体"/>
                <w:sz w:val="24"/>
              </w:rPr>
              <w:t>▲</w:t>
            </w:r>
            <w:r>
              <w:rPr>
                <w:rFonts w:hint="eastAsia" w:ascii="宋体" w:hAnsi="宋体" w:cs="宋体"/>
                <w:kern w:val="0"/>
                <w:sz w:val="24"/>
              </w:rPr>
              <w:t>《联合体投标协议》</w:t>
            </w:r>
          </w:p>
        </w:tc>
        <w:tc>
          <w:tcPr>
            <w:tcW w:w="4962"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p>
            <w:pPr>
              <w:widowControl/>
              <w:snapToGrid w:val="0"/>
              <w:spacing w:line="340" w:lineRule="exact"/>
              <w:rPr>
                <w:rFonts w:ascii="宋体" w:hAnsi="宋体" w:cs="宋体"/>
                <w:kern w:val="0"/>
                <w:sz w:val="24"/>
              </w:rPr>
            </w:pPr>
            <w:r>
              <w:rPr>
                <w:rFonts w:hint="eastAsia" w:ascii="宋体" w:hAnsi="宋体" w:cs="宋体"/>
                <w:kern w:val="0"/>
                <w:sz w:val="24"/>
              </w:rPr>
              <w:t>如果是联合体（最多2家）需要提供。并明确承担的比例。（联合体中应以承担比例高者为本项目投标人，其他联合体成员也必须符合前两条规定并提供相关资料。）</w:t>
            </w:r>
          </w:p>
        </w:tc>
      </w:tr>
    </w:tbl>
    <w:p>
      <w:pPr>
        <w:snapToGrid w:val="0"/>
        <w:spacing w:line="360" w:lineRule="auto"/>
        <w:ind w:firstLine="482" w:firstLineChars="200"/>
        <w:rPr>
          <w:rFonts w:asciiTheme="minorEastAsia" w:hAnsiTheme="minorEastAsia" w:eastAsiaTheme="minorEastAsia"/>
          <w:b/>
          <w:sz w:val="24"/>
        </w:rPr>
      </w:pPr>
    </w:p>
    <w:p>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b/>
          <w:sz w:val="24"/>
        </w:rPr>
        <w:t>商务与技术文件的组成：</w:t>
      </w:r>
    </w:p>
    <w:tbl>
      <w:tblPr>
        <w:tblStyle w:val="22"/>
        <w:tblW w:w="91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序号</w:t>
            </w:r>
          </w:p>
        </w:tc>
        <w:tc>
          <w:tcPr>
            <w:tcW w:w="2126"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目录内容</w:t>
            </w:r>
          </w:p>
        </w:tc>
        <w:tc>
          <w:tcPr>
            <w:tcW w:w="6278"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sz w:val="24"/>
              </w:rPr>
            </w:pPr>
            <w:r>
              <w:rPr>
                <w:rFonts w:ascii="宋体" w:hAnsi="宋体" w:cs="宋体"/>
                <w:sz w:val="24"/>
              </w:rPr>
              <w:t>1</w:t>
            </w:r>
          </w:p>
        </w:tc>
        <w:tc>
          <w:tcPr>
            <w:tcW w:w="2126" w:type="dxa"/>
            <w:vAlign w:val="center"/>
          </w:tcPr>
          <w:p>
            <w:pPr>
              <w:spacing w:line="280" w:lineRule="exact"/>
              <w:ind w:right="-107" w:rightChars="-51"/>
              <w:rPr>
                <w:rFonts w:ascii="宋体" w:hAnsi="宋体"/>
                <w:kern w:val="0"/>
                <w:sz w:val="24"/>
              </w:rPr>
            </w:pPr>
            <w:r>
              <w:rPr>
                <w:rFonts w:hint="eastAsia" w:ascii="宋体" w:hAnsi="宋体"/>
                <w:kern w:val="0"/>
                <w:sz w:val="24"/>
              </w:rPr>
              <w:t>投标人自评表</w:t>
            </w:r>
          </w:p>
        </w:tc>
        <w:tc>
          <w:tcPr>
            <w:tcW w:w="6278" w:type="dxa"/>
            <w:vAlign w:val="center"/>
          </w:tcPr>
          <w:p>
            <w:pPr>
              <w:spacing w:line="280" w:lineRule="exact"/>
              <w:ind w:right="-107" w:rightChars="-51"/>
              <w:rPr>
                <w:rFonts w:ascii="宋体" w:hAnsi="宋体"/>
                <w:kern w:val="0"/>
                <w:sz w:val="24"/>
              </w:rPr>
            </w:pPr>
            <w:r>
              <w:rPr>
                <w:rFonts w:hint="eastAsia" w:ascii="宋体" w:hAnsi="宋体"/>
                <w:kern w:val="0"/>
                <w:sz w:val="24"/>
              </w:rPr>
              <w:t>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2</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企业情况介绍</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《投标人及服务网点情况表》（附件5），投标人总公司和分公司，或者联合体公司相关情况介绍。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3</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企业偿付能力情况</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提供的第三方对总公司2021年度审计报告，包括投标人所属总公司2021年综合偿付能力充足率数据。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4</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实施方案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《技术及商务内容响应表》（附件6）</w:t>
            </w:r>
          </w:p>
          <w:p>
            <w:pPr>
              <w:widowControl/>
              <w:snapToGrid w:val="0"/>
              <w:spacing w:line="280" w:lineRule="exact"/>
              <w:jc w:val="left"/>
              <w:rPr>
                <w:rFonts w:ascii="宋体" w:hAnsi="宋体" w:cs="宋体"/>
                <w:color w:val="000000"/>
                <w:sz w:val="24"/>
              </w:rPr>
            </w:pPr>
            <w:r>
              <w:rPr>
                <w:rFonts w:hint="eastAsia" w:ascii="宋体" w:hAnsi="宋体" w:cs="宋体"/>
                <w:color w:val="000000"/>
                <w:sz w:val="24"/>
              </w:rPr>
              <w:t>根据本项目要求提供组织实施方案。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5</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经营情况相关业绩</w:t>
            </w:r>
          </w:p>
        </w:tc>
        <w:tc>
          <w:tcPr>
            <w:tcW w:w="6278" w:type="dxa"/>
            <w:vAlign w:val="center"/>
          </w:tcPr>
          <w:p>
            <w:pPr>
              <w:pStyle w:val="13"/>
              <w:widowControl/>
              <w:snapToGrid w:val="0"/>
              <w:spacing w:line="280" w:lineRule="exact"/>
              <w:jc w:val="left"/>
              <w:rPr>
                <w:rFonts w:hAnsi="宋体"/>
                <w:color w:val="000000"/>
                <w:sz w:val="24"/>
              </w:rPr>
            </w:pPr>
            <w:r>
              <w:rPr>
                <w:rFonts w:hint="eastAsia" w:hAnsi="宋体"/>
                <w:color w:val="000000"/>
                <w:sz w:val="24"/>
              </w:rPr>
              <w:t>《投标人与政府医保合作项目案例一览表》（附件7），</w:t>
            </w:r>
          </w:p>
          <w:p>
            <w:pPr>
              <w:widowControl/>
              <w:snapToGrid w:val="0"/>
              <w:spacing w:line="280" w:lineRule="exact"/>
              <w:jc w:val="left"/>
              <w:rPr>
                <w:rFonts w:ascii="宋体" w:hAnsi="宋体" w:cs="宋体"/>
                <w:color w:val="000000"/>
                <w:sz w:val="24"/>
              </w:rPr>
            </w:pPr>
            <w:r>
              <w:rPr>
                <w:rFonts w:hint="eastAsia" w:ascii="宋体" w:hAnsi="宋体" w:cs="宋体"/>
                <w:color w:val="000000"/>
                <w:sz w:val="24"/>
              </w:rPr>
              <w:t>提供投标人</w:t>
            </w:r>
            <w:r>
              <w:rPr>
                <w:rFonts w:ascii="宋体" w:hAnsi="宋体" w:cs="宋体"/>
                <w:color w:val="000000"/>
                <w:sz w:val="24"/>
              </w:rPr>
              <w:t>201</w:t>
            </w:r>
            <w:r>
              <w:rPr>
                <w:rFonts w:hint="eastAsia" w:ascii="宋体" w:hAnsi="宋体" w:cs="宋体"/>
                <w:color w:val="000000"/>
                <w:sz w:val="24"/>
              </w:rPr>
              <w:t>7年</w:t>
            </w:r>
            <w:r>
              <w:rPr>
                <w:rFonts w:ascii="宋体" w:hAnsi="宋体" w:cs="宋体"/>
                <w:color w:val="000000"/>
                <w:sz w:val="24"/>
              </w:rPr>
              <w:t>1</w:t>
            </w:r>
            <w:r>
              <w:rPr>
                <w:rFonts w:hint="eastAsia" w:ascii="宋体" w:hAnsi="宋体" w:cs="宋体"/>
                <w:color w:val="000000"/>
                <w:sz w:val="24"/>
              </w:rPr>
              <w:t>月至今有与政府合作项目（以签约项目合同或政府部门文件为依据）的业绩。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6</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调查细化方案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承诺按照医保相关规定及时客观的调查参保人员医疗情况，并提供具体实施细化方案。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7</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业务熟悉程度方案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根据温岭区域医保相关政策、业务流程提出的可行性方案。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8</w:t>
            </w:r>
          </w:p>
        </w:tc>
        <w:tc>
          <w:tcPr>
            <w:tcW w:w="2126" w:type="dxa"/>
            <w:vAlign w:val="center"/>
          </w:tcPr>
          <w:p>
            <w:pPr>
              <w:widowControl/>
              <w:snapToGrid w:val="0"/>
              <w:spacing w:line="280" w:lineRule="exact"/>
              <w:jc w:val="left"/>
              <w:rPr>
                <w:rFonts w:ascii="宋体" w:hAnsi="宋体" w:cs="宋体"/>
                <w:sz w:val="24"/>
              </w:rPr>
            </w:pPr>
            <w:r>
              <w:rPr>
                <w:rFonts w:hint="eastAsia" w:ascii="宋体" w:hAnsi="宋体" w:cs="宋体"/>
                <w:sz w:val="24"/>
              </w:rPr>
              <w:t>投标相关承诺</w:t>
            </w:r>
          </w:p>
        </w:tc>
        <w:tc>
          <w:tcPr>
            <w:tcW w:w="6278" w:type="dxa"/>
            <w:vAlign w:val="center"/>
          </w:tcPr>
          <w:p>
            <w:pPr>
              <w:widowControl/>
              <w:snapToGrid w:val="0"/>
              <w:spacing w:line="280" w:lineRule="exact"/>
              <w:jc w:val="left"/>
              <w:rPr>
                <w:rFonts w:ascii="宋体" w:hAnsi="宋体" w:cs="宋体"/>
                <w:sz w:val="24"/>
              </w:rPr>
            </w:pPr>
            <w:r>
              <w:rPr>
                <w:rFonts w:hint="eastAsia" w:ascii="宋体" w:hAnsi="宋体" w:cs="宋体"/>
                <w:sz w:val="24"/>
              </w:rPr>
              <w:t>《承诺书》格式自拟</w:t>
            </w:r>
          </w:p>
          <w:p>
            <w:pPr>
              <w:widowControl/>
              <w:snapToGrid w:val="0"/>
              <w:spacing w:line="280" w:lineRule="exact"/>
              <w:jc w:val="left"/>
              <w:rPr>
                <w:rFonts w:ascii="宋体" w:hAnsi="宋体" w:cs="宋体"/>
                <w:sz w:val="24"/>
              </w:rPr>
            </w:pPr>
            <w:r>
              <w:rPr>
                <w:rFonts w:hint="eastAsia" w:ascii="宋体" w:hAnsi="宋体" w:cs="宋体"/>
                <w:sz w:val="24"/>
              </w:rPr>
              <w:t>包括：车辆和勘查设备承诺、专业人员和调查团队配备承诺、专业机构设立承诺、医疗费用划拨承诺、核查承诺、上级风险承诺等。（请根据相关评分要求进行承诺）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9</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理</w:t>
            </w:r>
            <w:r>
              <w:rPr>
                <w:rFonts w:hint="default" w:ascii="宋体" w:hAnsi="宋体" w:cs="宋体"/>
                <w:color w:val="000000"/>
                <w:sz w:val="24"/>
              </w:rPr>
              <w:t>赔</w:t>
            </w:r>
            <w:r>
              <w:rPr>
                <w:rFonts w:hint="eastAsia" w:ascii="宋体" w:hAnsi="宋体" w:cs="宋体"/>
                <w:color w:val="000000"/>
                <w:sz w:val="24"/>
              </w:rPr>
              <w:t>规范调节机制方案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投标人日常的意外伤害理赔规范和纠纷调节机制方案，有效控制投诉人员投诉率。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10</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日常培训和管理方案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投标人日常人员绩效评价、作业管理、培训管理、薪酬管理系统，人员日常管理考核和专业知识培训的方案和措施。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11</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增值服务方案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提供其它针对医保及参保人员增值服务的措施或承诺。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12</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其它资料</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投标人提供的其它资料等。</w:t>
            </w:r>
          </w:p>
        </w:tc>
      </w:tr>
    </w:tbl>
    <w:p>
      <w:pPr>
        <w:snapToGrid w:val="0"/>
        <w:spacing w:line="360" w:lineRule="auto"/>
        <w:ind w:firstLine="482" w:firstLineChars="200"/>
        <w:rPr>
          <w:b/>
          <w:bCs/>
          <w:sz w:val="24"/>
        </w:rPr>
      </w:pPr>
      <w:r>
        <w:rPr>
          <w:rFonts w:hint="eastAsia"/>
          <w:b/>
          <w:bCs/>
          <w:sz w:val="24"/>
        </w:rPr>
        <w:t>3.报价文件的组成</w:t>
      </w:r>
    </w:p>
    <w:tbl>
      <w:tblPr>
        <w:tblStyle w:val="22"/>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72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hint="eastAsia" w:ascii="宋体" w:hAnsi="宋体" w:cs="宋体"/>
                <w:sz w:val="24"/>
              </w:rPr>
              <w:t>序号</w:t>
            </w:r>
          </w:p>
        </w:tc>
        <w:tc>
          <w:tcPr>
            <w:tcW w:w="3724" w:type="dxa"/>
            <w:vAlign w:val="center"/>
          </w:tcPr>
          <w:p>
            <w:pPr>
              <w:widowControl/>
              <w:snapToGrid w:val="0"/>
              <w:spacing w:line="340" w:lineRule="exact"/>
              <w:jc w:val="center"/>
              <w:rPr>
                <w:rFonts w:ascii="宋体" w:cs="宋体"/>
                <w:sz w:val="24"/>
              </w:rPr>
            </w:pPr>
            <w:r>
              <w:rPr>
                <w:rFonts w:hint="eastAsia" w:ascii="宋体" w:hAnsi="宋体" w:cs="宋体"/>
                <w:sz w:val="24"/>
              </w:rPr>
              <w:t>内容</w:t>
            </w:r>
          </w:p>
        </w:tc>
        <w:tc>
          <w:tcPr>
            <w:tcW w:w="4728" w:type="dxa"/>
            <w:vAlign w:val="center"/>
          </w:tcPr>
          <w:p>
            <w:pPr>
              <w:widowControl/>
              <w:snapToGrid w:val="0"/>
              <w:spacing w:line="340" w:lineRule="exact"/>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ascii="宋体" w:hAnsi="宋体" w:cs="宋体"/>
                <w:sz w:val="24"/>
              </w:rPr>
              <w:t>1</w:t>
            </w:r>
          </w:p>
        </w:tc>
        <w:tc>
          <w:tcPr>
            <w:tcW w:w="3724" w:type="dxa"/>
            <w:vAlign w:val="center"/>
          </w:tcPr>
          <w:p>
            <w:pPr>
              <w:widowControl/>
              <w:snapToGrid w:val="0"/>
              <w:spacing w:line="340" w:lineRule="exact"/>
              <w:rPr>
                <w:rFonts w:ascii="宋体" w:cs="宋体"/>
                <w:kern w:val="0"/>
                <w:sz w:val="24"/>
              </w:rPr>
            </w:pPr>
            <w:r>
              <w:rPr>
                <w:rFonts w:hint="eastAsia" w:ascii="宋体" w:hAnsi="宋体" w:cs="宋体"/>
                <w:kern w:val="0"/>
                <w:sz w:val="24"/>
              </w:rPr>
              <w:t>开标一览表</w:t>
            </w:r>
          </w:p>
        </w:tc>
        <w:tc>
          <w:tcPr>
            <w:tcW w:w="4728" w:type="dxa"/>
            <w:vAlign w:val="center"/>
          </w:tcPr>
          <w:p>
            <w:pPr>
              <w:widowControl/>
              <w:snapToGrid w:val="0"/>
              <w:spacing w:line="340" w:lineRule="exact"/>
              <w:rPr>
                <w:rFonts w:ascii="宋体" w:cs="宋体"/>
                <w:kern w:val="0"/>
                <w:sz w:val="24"/>
              </w:rPr>
            </w:pPr>
            <w:r>
              <w:rPr>
                <w:rFonts w:hint="eastAsia" w:ascii="宋体" w:hAnsi="宋体" w:cs="宋体"/>
                <w:kern w:val="0"/>
                <w:sz w:val="24"/>
              </w:rPr>
              <w:t>附件8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3724" w:type="dxa"/>
            <w:vAlign w:val="center"/>
          </w:tcPr>
          <w:p>
            <w:pPr>
              <w:snapToGrid w:val="0"/>
              <w:spacing w:line="340" w:lineRule="exact"/>
              <w:rPr>
                <w:rFonts w:ascii="宋体" w:hAnsi="宋体" w:cs="宋体"/>
                <w:kern w:val="0"/>
                <w:sz w:val="24"/>
              </w:rPr>
            </w:pPr>
            <w:r>
              <w:rPr>
                <w:rFonts w:hint="eastAsia" w:ascii="宋体" w:hAnsi="宋体" w:cs="宋体"/>
                <w:kern w:val="0"/>
                <w:sz w:val="24"/>
              </w:rPr>
              <w:t>投标人的《中小企业声明函》</w:t>
            </w:r>
          </w:p>
        </w:tc>
        <w:tc>
          <w:tcPr>
            <w:tcW w:w="4728" w:type="dxa"/>
            <w:vAlign w:val="center"/>
          </w:tcPr>
          <w:p>
            <w:pPr>
              <w:snapToGrid w:val="0"/>
              <w:spacing w:line="340" w:lineRule="exact"/>
              <w:rPr>
                <w:rFonts w:ascii="宋体" w:hAnsi="宋体" w:cs="宋体"/>
                <w:sz w:val="24"/>
              </w:rPr>
            </w:pPr>
            <w:r>
              <w:rPr>
                <w:rFonts w:hint="eastAsia" w:ascii="宋体" w:hAnsi="宋体" w:cs="宋体"/>
                <w:kern w:val="0"/>
                <w:sz w:val="24"/>
              </w:rPr>
              <w:t>投标人若参与小微企业评审的，格式见附件9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3</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残疾人福利性单位声明函</w:t>
            </w:r>
          </w:p>
        </w:tc>
        <w:tc>
          <w:tcPr>
            <w:tcW w:w="4728" w:type="dxa"/>
            <w:vAlign w:val="center"/>
          </w:tcPr>
          <w:p>
            <w:pPr>
              <w:widowControl/>
              <w:snapToGrid w:val="0"/>
              <w:spacing w:line="340" w:lineRule="exact"/>
              <w:rPr>
                <w:rFonts w:ascii="宋体" w:hAnsi="宋体" w:cs="宋体"/>
                <w:sz w:val="24"/>
              </w:rPr>
            </w:pPr>
            <w:r>
              <w:rPr>
                <w:rFonts w:hint="eastAsia" w:ascii="宋体" w:hAnsi="宋体" w:cs="宋体"/>
                <w:kern w:val="0"/>
                <w:sz w:val="24"/>
              </w:rPr>
              <w:t>投标人若参与残疾人福利性单位评审的，根据《关于促进残疾人就业政府采购政策的通知》（财库【</w:t>
            </w:r>
            <w:r>
              <w:rPr>
                <w:rFonts w:ascii="宋体" w:hAnsi="宋体" w:cs="宋体"/>
                <w:kern w:val="0"/>
                <w:sz w:val="24"/>
              </w:rPr>
              <w:t>2017</w:t>
            </w:r>
            <w:r>
              <w:rPr>
                <w:rFonts w:hint="eastAsia" w:ascii="宋体" w:hAnsi="宋体" w:cs="宋体"/>
                <w:kern w:val="0"/>
                <w:sz w:val="24"/>
              </w:rPr>
              <w:t>】</w:t>
            </w:r>
            <w:r>
              <w:rPr>
                <w:rFonts w:ascii="宋体" w:hAnsi="宋体" w:cs="宋体"/>
                <w:kern w:val="0"/>
                <w:sz w:val="24"/>
              </w:rPr>
              <w:t>141</w:t>
            </w:r>
            <w:r>
              <w:rPr>
                <w:rFonts w:hint="eastAsia" w:ascii="宋体" w:hAnsi="宋体" w:cs="宋体"/>
                <w:kern w:val="0"/>
                <w:sz w:val="24"/>
              </w:rPr>
              <w:t>号）的规定</w:t>
            </w:r>
            <w:r>
              <w:rPr>
                <w:rFonts w:ascii="宋体" w:cs="宋体"/>
                <w:kern w:val="0"/>
                <w:sz w:val="24"/>
              </w:rPr>
              <w:t>,</w:t>
            </w:r>
            <w:r>
              <w:rPr>
                <w:rFonts w:ascii="宋体" w:hAnsi="宋体" w:cs="宋体"/>
                <w:kern w:val="0"/>
                <w:sz w:val="24"/>
              </w:rPr>
              <w:t xml:space="preserve"> </w:t>
            </w:r>
            <w:r>
              <w:rPr>
                <w:rFonts w:hint="eastAsia" w:ascii="宋体" w:hAnsi="宋体" w:cs="宋体"/>
                <w:kern w:val="0"/>
                <w:sz w:val="24"/>
              </w:rPr>
              <w:t>提供残疾人福利性单位声明函，格式见附件11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snapToGrid w:val="0"/>
              <w:spacing w:line="340" w:lineRule="exact"/>
              <w:jc w:val="center"/>
              <w:rPr>
                <w:rFonts w:ascii="宋体" w:hAnsi="宋体" w:cs="宋体"/>
                <w:sz w:val="24"/>
              </w:rPr>
            </w:pPr>
            <w:r>
              <w:rPr>
                <w:rFonts w:hint="eastAsia" w:ascii="宋体" w:hAnsi="宋体" w:cs="宋体"/>
                <w:sz w:val="24"/>
              </w:rPr>
              <w:t>4</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省级以上监狱管理局、戒毒管理局（含新疆生产建设兵团）开具的属于监狱企业的证明文件</w:t>
            </w:r>
          </w:p>
        </w:tc>
        <w:tc>
          <w:tcPr>
            <w:tcW w:w="4728" w:type="dxa"/>
            <w:vAlign w:val="center"/>
          </w:tcPr>
          <w:p>
            <w:pPr>
              <w:widowControl/>
              <w:snapToGrid w:val="0"/>
              <w:spacing w:line="340" w:lineRule="exact"/>
              <w:rPr>
                <w:rFonts w:ascii="宋体" w:hAnsi="宋体" w:cs="宋体"/>
                <w:sz w:val="24"/>
              </w:rPr>
            </w:pPr>
            <w:r>
              <w:rPr>
                <w:rFonts w:hint="eastAsia" w:ascii="宋体" w:hAnsi="宋体" w:cs="宋体"/>
                <w:kern w:val="0"/>
                <w:sz w:val="24"/>
              </w:rPr>
              <w:t>投标人若参与监狱企业评审的，根据《财政部司法部关于政府采购支持监狱企业发展有关问题的通知》（财库【</w:t>
            </w:r>
            <w:r>
              <w:rPr>
                <w:rFonts w:ascii="宋体" w:hAnsi="宋体" w:cs="宋体"/>
                <w:kern w:val="0"/>
                <w:sz w:val="24"/>
              </w:rPr>
              <w:t>2014</w:t>
            </w:r>
            <w:r>
              <w:rPr>
                <w:rFonts w:hint="eastAsia" w:ascii="宋体" w:hAnsi="宋体" w:cs="宋体"/>
                <w:kern w:val="0"/>
                <w:sz w:val="24"/>
              </w:rPr>
              <w:t>】</w:t>
            </w:r>
            <w:r>
              <w:rPr>
                <w:rFonts w:ascii="宋体" w:hAnsi="宋体" w:cs="宋体"/>
                <w:kern w:val="0"/>
                <w:sz w:val="24"/>
              </w:rPr>
              <w:t>68</w:t>
            </w:r>
            <w:r>
              <w:rPr>
                <w:rFonts w:hint="eastAsia" w:ascii="宋体" w:hAnsi="宋体" w:cs="宋体"/>
                <w:kern w:val="0"/>
                <w:sz w:val="24"/>
              </w:rPr>
              <w:t>号）的规定</w:t>
            </w:r>
            <w:r>
              <w:rPr>
                <w:rFonts w:ascii="宋体" w:cs="宋体"/>
                <w:kern w:val="0"/>
                <w:sz w:val="24"/>
              </w:rPr>
              <w:t>,</w:t>
            </w:r>
            <w:r>
              <w:rPr>
                <w:rFonts w:hint="eastAsia" w:ascii="宋体" w:hAnsi="宋体" w:cs="宋体"/>
                <w:kern w:val="0"/>
                <w:sz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5</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投标人认为需要提供的其它文件和资料</w:t>
            </w:r>
          </w:p>
        </w:tc>
        <w:tc>
          <w:tcPr>
            <w:tcW w:w="4728" w:type="dxa"/>
            <w:vAlign w:val="center"/>
          </w:tcPr>
          <w:p>
            <w:pPr>
              <w:widowControl/>
              <w:snapToGrid w:val="0"/>
              <w:spacing w:line="340" w:lineRule="exact"/>
              <w:rPr>
                <w:rFonts w:ascii="宋体" w:hAnsi="宋体" w:cs="宋体"/>
                <w:kern w:val="0"/>
                <w:sz w:val="24"/>
              </w:rPr>
            </w:pPr>
            <w:r>
              <w:rPr>
                <w:rFonts w:hint="eastAsia" w:ascii="宋体" w:hAnsi="宋体" w:cs="宋体"/>
                <w:sz w:val="24"/>
              </w:rPr>
              <w:t>自行提供</w:t>
            </w:r>
          </w:p>
        </w:tc>
      </w:tr>
    </w:tbl>
    <w:p>
      <w:pPr>
        <w:pStyle w:val="8"/>
        <w:spacing w:line="360" w:lineRule="auto"/>
        <w:ind w:firstLine="482" w:firstLineChars="200"/>
        <w:rPr>
          <w:rFonts w:asciiTheme="minorEastAsia" w:hAnsiTheme="minorEastAsia" w:eastAsiaTheme="minorEastAsia"/>
          <w:b/>
          <w:kern w:val="0"/>
          <w:sz w:val="24"/>
        </w:rPr>
      </w:pP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 投标报价是包括人员工资、奖金、社会保险、餐饮与交通、专用设备及工具、器械、管理费用、税费、利润、完成合同所需的一切本身和不可或缺的所有工作开支、政策性文件规定即合同包含的所有风险、责任等各项全部费用并承担一切风险责任。凡投标人在报价中未列明但又为本次采购所必备的项目或遗漏项目，采购人将一律视为已包括在其报价中，在合同执行中将不予考虑。</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3"/>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评标委员会根据采购人的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10"/>
        <w:spacing w:line="360" w:lineRule="auto"/>
        <w:ind w:firstLine="480" w:firstLineChars="200"/>
        <w:jc w:val="both"/>
      </w:pPr>
      <w:r>
        <w:rPr>
          <w:rFonts w:hint="eastAsia" w:ascii="宋体" w:hAnsi="宋体"/>
          <w:kern w:val="0"/>
          <w:sz w:val="24"/>
        </w:rPr>
        <w:t>（三）发放中标通知书。采购组织机构在发布中标结果公告的同时，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9"/>
        <w:spacing w:before="0" w:beforeAutospacing="0" w:after="0" w:afterAutospacing="0" w:line="360" w:lineRule="auto"/>
        <w:ind w:firstLine="480" w:firstLineChars="200"/>
        <w:jc w:val="both"/>
        <w:rPr>
          <w:rFonts w:hint="default"/>
        </w:rPr>
      </w:pPr>
      <w:r>
        <w:t>3.中标人无故拖延、拒签合同的,将取消中标资格。</w:t>
      </w:r>
    </w:p>
    <w:p>
      <w:pPr>
        <w:pStyle w:val="19"/>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0"/>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0"/>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0"/>
        <w:spacing w:line="360" w:lineRule="auto"/>
        <w:ind w:firstLine="482" w:firstLineChars="200"/>
        <w:jc w:val="both"/>
        <w:rPr>
          <w:rFonts w:ascii="宋体" w:hAnsi="宋体"/>
          <w:b/>
          <w:bCs/>
          <w:sz w:val="24"/>
        </w:rPr>
      </w:pPr>
      <w:r>
        <w:rPr>
          <w:rFonts w:hint="eastAsia" w:ascii="宋体" w:hAnsi="宋体"/>
          <w:b/>
          <w:bCs/>
          <w:sz w:val="24"/>
        </w:rPr>
        <w:t>（一）询问</w:t>
      </w:r>
    </w:p>
    <w:p>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0"/>
        <w:spacing w:line="360" w:lineRule="auto"/>
        <w:ind w:firstLine="482" w:firstLineChars="200"/>
        <w:jc w:val="both"/>
        <w:rPr>
          <w:rFonts w:ascii="宋体" w:hAnsi="宋体"/>
          <w:b/>
          <w:bCs/>
          <w:sz w:val="24"/>
        </w:rPr>
      </w:pPr>
      <w:r>
        <w:rPr>
          <w:rFonts w:hint="eastAsia" w:ascii="宋体" w:hAnsi="宋体"/>
          <w:b/>
          <w:bCs/>
          <w:sz w:val="24"/>
        </w:rPr>
        <w:t>（二）质疑</w:t>
      </w:r>
    </w:p>
    <w:p>
      <w:pPr>
        <w:pStyle w:val="10"/>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0"/>
        <w:spacing w:line="360" w:lineRule="auto"/>
        <w:ind w:firstLine="480" w:firstLineChars="200"/>
        <w:jc w:val="both"/>
        <w:rPr>
          <w:rFonts w:ascii="宋体" w:hAnsi="宋体"/>
          <w:sz w:val="24"/>
        </w:rPr>
      </w:pPr>
      <w:r>
        <w:rPr>
          <w:rFonts w:hint="eastAsia" w:ascii="宋体" w:hAnsi="宋体"/>
          <w:sz w:val="24"/>
        </w:rPr>
        <w:t>（1）</w:t>
      </w:r>
      <w:r>
        <w:rPr>
          <w:rFonts w:hint="eastAsia"/>
          <w:sz w:val="23"/>
          <w:szCs w:val="23"/>
        </w:rPr>
        <w:t>投标人</w:t>
      </w:r>
      <w:r>
        <w:rPr>
          <w:sz w:val="23"/>
          <w:szCs w:val="23"/>
        </w:rPr>
        <w:t>认为招标文件使自己的权益受到损害的，可以自获取采购文件之日或者采购文件公告期限届满之日（公告期限届满后获取采购文件的，以公告期限届满之日为准）起7个工作日内，以书面形式提出质疑。</w:t>
      </w:r>
    </w:p>
    <w:p>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sz w:val="24"/>
        </w:rPr>
      </w:pPr>
      <w:r>
        <w:rPr>
          <w:rFonts w:hint="eastAsia" w:ascii="宋体" w:hAnsi="宋体"/>
          <w:b/>
          <w:bCs/>
          <w:sz w:val="24"/>
        </w:rPr>
        <w:t>（三）投诉</w:t>
      </w:r>
    </w:p>
    <w:p>
      <w:pPr>
        <w:pStyle w:val="10"/>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0"/>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9" w:name="_Toc13072_WPSOffice_Level1"/>
      <w:r>
        <w:rPr>
          <w:rFonts w:hint="eastAsia" w:asciiTheme="minorEastAsia" w:hAnsiTheme="minorEastAsia" w:eastAsiaTheme="minorEastAsia"/>
          <w:b/>
          <w:sz w:val="36"/>
          <w:szCs w:val="36"/>
        </w:rPr>
        <w:t>招标需求</w:t>
      </w:r>
      <w:bookmarkEnd w:id="39"/>
    </w:p>
    <w:p>
      <w:pPr>
        <w:numPr>
          <w:ilvl w:val="0"/>
          <w:numId w:val="5"/>
        </w:numPr>
        <w:ind w:firstLine="151" w:firstLineChars="50"/>
        <w:rPr>
          <w:rFonts w:asciiTheme="minorEastAsia" w:hAnsiTheme="minorEastAsia" w:eastAsiaTheme="minorEastAsia"/>
          <w:b/>
          <w:sz w:val="30"/>
          <w:szCs w:val="30"/>
        </w:rPr>
      </w:pPr>
      <w:r>
        <w:rPr>
          <w:rFonts w:hint="eastAsia" w:asciiTheme="minorEastAsia" w:hAnsiTheme="minorEastAsia" w:eastAsiaTheme="minorEastAsia"/>
          <w:b/>
          <w:sz w:val="30"/>
          <w:szCs w:val="30"/>
        </w:rPr>
        <w:t>招标项目</w:t>
      </w:r>
    </w:p>
    <w:p>
      <w:pPr>
        <w:rPr>
          <w:rFonts w:asciiTheme="minorEastAsia" w:hAnsiTheme="minorEastAsia" w:eastAsiaTheme="minorEastAsia"/>
          <w:b/>
          <w:color w:val="000000"/>
          <w:sz w:val="30"/>
          <w:szCs w:val="30"/>
        </w:rPr>
      </w:pPr>
      <w:r>
        <w:rPr>
          <w:rFonts w:hint="eastAsia" w:asciiTheme="minorEastAsia" w:hAnsiTheme="minorEastAsia" w:eastAsiaTheme="minorEastAsia"/>
          <w:b/>
          <w:sz w:val="30"/>
          <w:szCs w:val="30"/>
        </w:rPr>
        <w:t xml:space="preserve">   </w:t>
      </w:r>
      <w:r>
        <w:rPr>
          <w:rFonts w:hint="eastAsia" w:asciiTheme="minorEastAsia" w:hAnsiTheme="minorEastAsia" w:eastAsiaTheme="minorEastAsia"/>
          <w:b/>
          <w:color w:val="000000"/>
          <w:sz w:val="30"/>
          <w:szCs w:val="30"/>
        </w:rPr>
        <w:t xml:space="preserve"> </w:t>
      </w:r>
      <w:r>
        <w:rPr>
          <w:rFonts w:hint="eastAsia" w:cs="宋体" w:asciiTheme="minorEastAsia" w:hAnsiTheme="minorEastAsia" w:eastAsiaTheme="minorEastAsia"/>
          <w:color w:val="000000"/>
          <w:sz w:val="24"/>
        </w:rPr>
        <w:t xml:space="preserve"> 本次招标共两个标段，具体内容如下：</w:t>
      </w:r>
    </w:p>
    <w:p>
      <w:pPr>
        <w:numPr>
          <w:ilvl w:val="0"/>
          <w:numId w:val="6"/>
        </w:numPr>
        <w:shd w:val="clear" w:color="auto" w:fill="FFFFFF"/>
        <w:snapToGrid w:val="0"/>
        <w:spacing w:line="38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温岭市城乡居民基本医疗保险意外伤害住院医疗费用服务外包：</w:t>
      </w:r>
    </w:p>
    <w:p>
      <w:pPr>
        <w:widowControl/>
        <w:shd w:val="clear" w:color="auto" w:fill="FFFFFF"/>
        <w:snapToGrid w:val="0"/>
        <w:spacing w:line="380" w:lineRule="exact"/>
        <w:ind w:firstLine="480" w:firstLineChars="200"/>
        <w:jc w:val="left"/>
        <w:rPr>
          <w:rFonts w:asciiTheme="minorEastAsia" w:hAnsiTheme="minorEastAsia" w:eastAsiaTheme="minorEastAsia"/>
          <w:kern w:val="0"/>
          <w:sz w:val="24"/>
        </w:rPr>
      </w:pPr>
      <w:r>
        <w:rPr>
          <w:rFonts w:hint="eastAsia" w:cs="宋体" w:asciiTheme="minorEastAsia" w:hAnsiTheme="minorEastAsia" w:eastAsiaTheme="minorEastAsia"/>
          <w:color w:val="000000"/>
          <w:sz w:val="24"/>
        </w:rPr>
        <w:t>参保人数暂定78.5万人，年底时按照当年期末参保人数按实结算；保险费92.66元/人/年，一</w:t>
      </w:r>
      <w:r>
        <w:rPr>
          <w:rFonts w:hint="eastAsia" w:cs="宋体" w:asciiTheme="minorEastAsia" w:hAnsiTheme="minorEastAsia" w:eastAsiaTheme="minorEastAsia"/>
          <w:kern w:val="0"/>
          <w:sz w:val="24"/>
        </w:rPr>
        <w:t>年预算总金额为7273.81万元。本次招标合作期为</w:t>
      </w:r>
      <w:r>
        <w:rPr>
          <w:rFonts w:cs="宋体" w:asciiTheme="minorEastAsia" w:hAnsiTheme="minorEastAsia" w:eastAsiaTheme="minorEastAsia"/>
          <w:kern w:val="0"/>
          <w:sz w:val="24"/>
        </w:rPr>
        <w:t>20</w:t>
      </w:r>
      <w:r>
        <w:rPr>
          <w:rFonts w:hint="eastAsia" w:cs="宋体" w:asciiTheme="minorEastAsia" w:hAnsiTheme="minorEastAsia" w:eastAsiaTheme="minorEastAsia"/>
          <w:kern w:val="0"/>
          <w:sz w:val="24"/>
        </w:rPr>
        <w:t>23年1月1日到2023年12月31日。</w:t>
      </w:r>
    </w:p>
    <w:p>
      <w:pPr>
        <w:shd w:val="clear" w:color="auto" w:fill="FFFFFF"/>
        <w:snapToGrid w:val="0"/>
        <w:spacing w:line="380" w:lineRule="exact"/>
        <w:ind w:firstLine="720" w:firstLineChars="300"/>
        <w:rPr>
          <w:rFonts w:cs="宋体" w:asciiTheme="minorEastAsia" w:hAnsiTheme="minorEastAsia" w:eastAsiaTheme="minorEastAsia"/>
          <w:color w:val="000000"/>
          <w:sz w:val="24"/>
        </w:rPr>
      </w:pPr>
    </w:p>
    <w:p>
      <w:pPr>
        <w:shd w:val="clear" w:color="auto" w:fill="FFFFFF"/>
        <w:snapToGrid w:val="0"/>
        <w:spacing w:line="38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（二）温岭市职工基本医疗保险意外伤害住院医疗费用服务外包：</w:t>
      </w:r>
    </w:p>
    <w:p>
      <w:pPr>
        <w:widowControl/>
        <w:shd w:val="clear" w:color="auto" w:fill="FFFFFF"/>
        <w:snapToGrid w:val="0"/>
        <w:spacing w:line="380" w:lineRule="exact"/>
        <w:ind w:firstLine="480" w:firstLineChars="200"/>
        <w:jc w:val="left"/>
        <w:rPr>
          <w:rFonts w:asciiTheme="minorEastAsia" w:hAnsiTheme="minorEastAsia" w:eastAsiaTheme="minorEastAsia"/>
          <w:kern w:val="0"/>
          <w:sz w:val="24"/>
        </w:rPr>
      </w:pPr>
      <w:r>
        <w:rPr>
          <w:rFonts w:hint="eastAsia" w:cs="宋体" w:asciiTheme="minorEastAsia" w:hAnsiTheme="minorEastAsia" w:eastAsiaTheme="minorEastAsia"/>
          <w:color w:val="000000"/>
          <w:sz w:val="24"/>
        </w:rPr>
        <w:t>参保人数暂定39.5万人，年底时按照月平均参保人数按实结算；保险费62.06元/人/年，一</w:t>
      </w:r>
      <w:r>
        <w:rPr>
          <w:rFonts w:hint="eastAsia" w:cs="宋体" w:asciiTheme="minorEastAsia" w:hAnsiTheme="minorEastAsia" w:eastAsiaTheme="minorEastAsia"/>
          <w:kern w:val="0"/>
          <w:sz w:val="24"/>
        </w:rPr>
        <w:t>年预算总金额为2451.37万元。本次招标合作期为</w:t>
      </w:r>
      <w:r>
        <w:rPr>
          <w:rFonts w:cs="宋体" w:asciiTheme="minorEastAsia" w:hAnsiTheme="minorEastAsia" w:eastAsiaTheme="minorEastAsia"/>
          <w:kern w:val="0"/>
          <w:sz w:val="24"/>
        </w:rPr>
        <w:t>20</w:t>
      </w:r>
      <w:r>
        <w:rPr>
          <w:rFonts w:hint="eastAsia" w:cs="宋体" w:asciiTheme="minorEastAsia" w:hAnsiTheme="minorEastAsia" w:eastAsiaTheme="minorEastAsia"/>
          <w:kern w:val="0"/>
          <w:sz w:val="24"/>
        </w:rPr>
        <w:t>23年1月1日到2023年12月31日。</w:t>
      </w:r>
    </w:p>
    <w:p>
      <w:pPr>
        <w:shd w:val="clear" w:color="auto" w:fill="FFFFFF"/>
        <w:snapToGrid w:val="0"/>
        <w:spacing w:line="380" w:lineRule="exact"/>
        <w:ind w:firstLine="480" w:firstLineChars="200"/>
        <w:rPr>
          <w:rFonts w:cs="宋体" w:asciiTheme="minorEastAsia" w:hAnsiTheme="minorEastAsia" w:eastAsiaTheme="minorEastAsia"/>
          <w:color w:val="000000"/>
          <w:sz w:val="24"/>
        </w:rPr>
      </w:pPr>
    </w:p>
    <w:p>
      <w:pPr>
        <w:shd w:val="clear" w:color="auto" w:fill="FFFFFF"/>
        <w:snapToGrid w:val="0"/>
        <w:spacing w:line="3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注：1、本项目两个标段只能中一个标段，不能兼得兼中。</w:t>
      </w:r>
    </w:p>
    <w:p>
      <w:pPr>
        <w:numPr>
          <w:ilvl w:val="0"/>
          <w:numId w:val="7"/>
        </w:numPr>
        <w:shd w:val="clear" w:color="auto" w:fill="FFFFFF"/>
        <w:snapToGrid w:val="0"/>
        <w:spacing w:line="380" w:lineRule="exact"/>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保险费单价具体是指统筹基金。</w:t>
      </w:r>
    </w:p>
    <w:p>
      <w:pPr>
        <w:shd w:val="clear" w:color="auto" w:fill="FFFFFF"/>
        <w:snapToGrid w:val="0"/>
        <w:spacing w:line="380" w:lineRule="exact"/>
        <w:rPr>
          <w:b/>
          <w:color w:val="FF0000"/>
          <w:u w:val="single"/>
        </w:rPr>
      </w:pPr>
      <w:r>
        <w:rPr>
          <w:rFonts w:hint="eastAsia" w:cs="宋体" w:asciiTheme="minorEastAsia" w:hAnsiTheme="minorEastAsia" w:eastAsiaTheme="minorEastAsia"/>
          <w:sz w:val="24"/>
        </w:rPr>
        <w:t xml:space="preserve">      </w:t>
      </w:r>
    </w:p>
    <w:p/>
    <w:p>
      <w:pPr>
        <w:numPr>
          <w:ilvl w:val="0"/>
          <w:numId w:val="5"/>
        </w:numPr>
        <w:ind w:firstLine="151" w:firstLineChars="50"/>
        <w:rPr>
          <w:rFonts w:asciiTheme="minorEastAsia" w:hAnsiTheme="minorEastAsia" w:eastAsiaTheme="minorEastAsia"/>
          <w:b/>
          <w:sz w:val="30"/>
          <w:szCs w:val="30"/>
        </w:rPr>
      </w:pPr>
      <w:r>
        <w:rPr>
          <w:rFonts w:hint="eastAsia" w:asciiTheme="minorEastAsia" w:hAnsiTheme="minorEastAsia" w:eastAsiaTheme="minorEastAsia"/>
          <w:b/>
          <w:sz w:val="30"/>
          <w:szCs w:val="30"/>
        </w:rPr>
        <w:t>招标要求</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r>
        <w:rPr>
          <w:rFonts w:hint="eastAsia" w:asciiTheme="minorEastAsia" w:hAnsiTheme="minorEastAsia" w:eastAsiaTheme="minorEastAsia"/>
          <w:b/>
          <w:sz w:val="28"/>
          <w:szCs w:val="28"/>
        </w:rPr>
        <w:t>标段一</w:t>
      </w:r>
      <w:r>
        <w:rPr>
          <w:rFonts w:hint="eastAsia" w:asciiTheme="minorEastAsia" w:hAnsiTheme="minorEastAsia" w:eastAsiaTheme="minorEastAsia"/>
          <w:b/>
          <w:sz w:val="30"/>
          <w:szCs w:val="30"/>
        </w:rPr>
        <w:t>：</w:t>
      </w:r>
    </w:p>
    <w:p>
      <w:pPr>
        <w:shd w:val="clear" w:color="auto" w:fill="FFFFFF"/>
        <w:snapToGrid w:val="0"/>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（一）责任范围</w:t>
      </w:r>
    </w:p>
    <w:p>
      <w:pPr>
        <w:shd w:val="clear" w:color="auto" w:fill="FFFFFF"/>
        <w:snapToGrid w:val="0"/>
        <w:spacing w:line="3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意外伤害是指因非疾病意外导致身体受到伤害的事件，意外伤害的住院医疗费用包括本次意外伤害住院治疗过程中治疗其它相关疾病的合理费用。责任范围按《台州市人民政府办公室关于印发台州市全民医疗保险办法的通知》（台政办发[2018]79号）、《台州市全民医疗保险办法实施细则》（台医保发〔2018〕1号）及省市有关医保政策等文件的规定执行。合作期间如遇政策变化导致待遇调整所引起的医疗费用变化，均由采购方承担。</w:t>
      </w:r>
    </w:p>
    <w:p>
      <w:pPr>
        <w:shd w:val="clear" w:color="auto" w:fill="FFFFFF"/>
        <w:snapToGrid w:val="0"/>
        <w:spacing w:line="380" w:lineRule="exact"/>
        <w:ind w:firstLine="480" w:firstLineChars="200"/>
        <w:rPr>
          <w:rFonts w:cs="宋体" w:asciiTheme="minorEastAsia" w:hAnsiTheme="minorEastAsia" w:eastAsiaTheme="minorEastAsia"/>
          <w:sz w:val="24"/>
        </w:rPr>
      </w:pPr>
    </w:p>
    <w:p>
      <w:pPr>
        <w:shd w:val="clear" w:color="auto" w:fill="FFFFFF"/>
        <w:snapToGrid w:val="0"/>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（二）责任免除</w:t>
      </w:r>
    </w:p>
    <w:p>
      <w:pPr>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1、应当从工伤保险基金中支付的；</w:t>
      </w:r>
    </w:p>
    <w:p>
      <w:pPr>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2、应当由第三人负担的；</w:t>
      </w:r>
    </w:p>
    <w:p>
      <w:pPr>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3、应当由公共卫生负担的；</w:t>
      </w:r>
    </w:p>
    <w:p>
      <w:pPr>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4、在境外就医的。</w:t>
      </w:r>
    </w:p>
    <w:p>
      <w:pPr>
        <w:pStyle w:val="19"/>
        <w:spacing w:line="380" w:lineRule="exact"/>
        <w:ind w:firstLine="240" w:firstLineChars="100"/>
        <w:rPr>
          <w:rFonts w:hint="default" w:cs="宋体" w:asciiTheme="minorEastAsia" w:hAnsiTheme="minorEastAsia" w:eastAsiaTheme="minorEastAsia"/>
        </w:rPr>
      </w:pPr>
      <w:r>
        <w:rPr>
          <w:rFonts w:cs="宋体" w:asciiTheme="minorEastAsia" w:hAnsiTheme="minorEastAsia" w:eastAsiaTheme="minorEastAsia"/>
        </w:rPr>
        <w:t>（三）保险期限</w:t>
      </w:r>
    </w:p>
    <w:p>
      <w:pPr>
        <w:spacing w:line="380" w:lineRule="exact"/>
        <w:ind w:right="-153" w:rightChars="-73"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从2023年1月1日起至2023年12月31日止。</w:t>
      </w:r>
      <w:r>
        <w:rPr>
          <w:rFonts w:hint="eastAsia" w:cs="宋体" w:asciiTheme="minorEastAsia" w:hAnsiTheme="minorEastAsia" w:eastAsiaTheme="minorEastAsia"/>
          <w:kern w:val="0"/>
          <w:sz w:val="24"/>
        </w:rPr>
        <w:t>本项目采用 1+1 +1（即3年）模式，服务期 1年满后甲方有权单方决定是否续签合同，如甲乙双方商定续签，乙方每年保费单价在上一年基础上上浮2个百分点。</w:t>
      </w:r>
      <w:r>
        <w:rPr>
          <w:rFonts w:hint="eastAsia" w:cs="宋体" w:asciiTheme="minorEastAsia" w:hAnsiTheme="minorEastAsia" w:eastAsiaTheme="minorEastAsia"/>
          <w:sz w:val="24"/>
        </w:rPr>
        <w:t>责任期限时间均以被保险人出院日期为准（法院判决或者调解的案件超过结算期后以医保窗口受理日为准）。</w:t>
      </w:r>
    </w:p>
    <w:p>
      <w:pPr>
        <w:spacing w:line="380" w:lineRule="exact"/>
        <w:ind w:right="-153" w:rightChars="-73"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近年温岭市内意外伤害住院相关数据如下：</w:t>
      </w:r>
    </w:p>
    <w:tbl>
      <w:tblPr>
        <w:tblStyle w:val="2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200"/>
        <w:gridCol w:w="228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29"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城乡医保</w:t>
            </w:r>
          </w:p>
        </w:tc>
        <w:tc>
          <w:tcPr>
            <w:tcW w:w="1200"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参保人数</w:t>
            </w:r>
          </w:p>
        </w:tc>
        <w:tc>
          <w:tcPr>
            <w:tcW w:w="2280"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统筹基金支出(元)</w:t>
            </w:r>
          </w:p>
        </w:tc>
        <w:tc>
          <w:tcPr>
            <w:tcW w:w="3000"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人均统筹基金支出(元)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2019年度</w:t>
            </w:r>
          </w:p>
        </w:tc>
        <w:tc>
          <w:tcPr>
            <w:tcW w:w="1200" w:type="dxa"/>
          </w:tcPr>
          <w:p>
            <w:pPr>
              <w:widowControl/>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937729</w:t>
            </w:r>
          </w:p>
        </w:tc>
        <w:tc>
          <w:tcPr>
            <w:tcW w:w="2280" w:type="dxa"/>
            <w:vAlign w:val="center"/>
          </w:tcPr>
          <w:p>
            <w:pPr>
              <w:widowControl/>
              <w:jc w:val="righ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86257416.92</w:t>
            </w:r>
          </w:p>
        </w:tc>
        <w:tc>
          <w:tcPr>
            <w:tcW w:w="3000" w:type="dxa"/>
            <w:vAlign w:val="bottom"/>
          </w:tcPr>
          <w:p>
            <w:pPr>
              <w:widowControl/>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 xml:space="preserve">91.99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2020年度</w:t>
            </w:r>
          </w:p>
        </w:tc>
        <w:tc>
          <w:tcPr>
            <w:tcW w:w="1200" w:type="dxa"/>
          </w:tcPr>
          <w:p>
            <w:pPr>
              <w:widowControl/>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887473</w:t>
            </w:r>
          </w:p>
        </w:tc>
        <w:tc>
          <w:tcPr>
            <w:tcW w:w="2280" w:type="dxa"/>
            <w:vAlign w:val="center"/>
          </w:tcPr>
          <w:p>
            <w:pPr>
              <w:widowControl/>
              <w:jc w:val="righ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72618372.15</w:t>
            </w:r>
          </w:p>
        </w:tc>
        <w:tc>
          <w:tcPr>
            <w:tcW w:w="3000" w:type="dxa"/>
            <w:vAlign w:val="bottom"/>
          </w:tcPr>
          <w:p>
            <w:pPr>
              <w:widowControl/>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 xml:space="preserve">81.83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2021年度</w:t>
            </w:r>
          </w:p>
        </w:tc>
        <w:tc>
          <w:tcPr>
            <w:tcW w:w="1200" w:type="dxa"/>
          </w:tcPr>
          <w:p>
            <w:pPr>
              <w:widowControl/>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849890</w:t>
            </w:r>
          </w:p>
        </w:tc>
        <w:tc>
          <w:tcPr>
            <w:tcW w:w="2280" w:type="dxa"/>
            <w:vAlign w:val="center"/>
          </w:tcPr>
          <w:p>
            <w:pPr>
              <w:widowControl/>
              <w:jc w:val="righ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74977801.28</w:t>
            </w:r>
          </w:p>
        </w:tc>
        <w:tc>
          <w:tcPr>
            <w:tcW w:w="3000" w:type="dxa"/>
            <w:vAlign w:val="bottom"/>
          </w:tcPr>
          <w:p>
            <w:pPr>
              <w:widowControl/>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 xml:space="preserve">88.22 </w:t>
            </w:r>
          </w:p>
        </w:tc>
      </w:tr>
    </w:tbl>
    <w:p>
      <w:pPr>
        <w:spacing w:line="380" w:lineRule="exact"/>
        <w:ind w:right="-153" w:rightChars="-73"/>
        <w:rPr>
          <w:rFonts w:cs="宋体" w:asciiTheme="minorEastAsia" w:hAnsiTheme="minorEastAsia" w:eastAsiaTheme="minorEastAsia"/>
          <w:sz w:val="24"/>
        </w:rPr>
      </w:pPr>
    </w:p>
    <w:p>
      <w:pPr>
        <w:shd w:val="clear" w:color="auto" w:fill="FFFFFF"/>
        <w:snapToGrid w:val="0"/>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（四）人员及设施保障</w:t>
      </w:r>
    </w:p>
    <w:p>
      <w:pPr>
        <w:pStyle w:val="59"/>
        <w:shd w:val="clear" w:color="auto" w:fill="FFFFFF"/>
        <w:snapToGrid w:val="0"/>
        <w:spacing w:line="3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中标人应具有专业调查能力和力量，包括：</w:t>
      </w:r>
    </w:p>
    <w:p>
      <w:pPr>
        <w:pStyle w:val="59"/>
        <w:shd w:val="clear" w:color="auto" w:fill="FFFFFF"/>
        <w:snapToGrid w:val="0"/>
        <w:spacing w:line="3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1、人员配备：人数24人，年龄在45周岁以下。</w:t>
      </w:r>
    </w:p>
    <w:p>
      <w:pPr>
        <w:pStyle w:val="30"/>
        <w:shd w:val="clear" w:color="auto" w:fill="FFFFFF"/>
        <w:snapToGrid w:val="0"/>
        <w:spacing w:line="3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2、设施配置：稽查车辆9辆（要求使用三年以内且行驶公里数不得超过10万公里），中标方必须具备调查器材、电脑、打印机、复印机等相关设备设施。</w:t>
      </w:r>
    </w:p>
    <w:p>
      <w:pPr>
        <w:autoSpaceDE w:val="0"/>
        <w:autoSpaceDN w:val="0"/>
        <w:spacing w:line="440" w:lineRule="exact"/>
        <w:ind w:firstLine="480" w:firstLineChars="200"/>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中标单位派出人员纳入中标单位和温岭市医疗保障局双重管理（派出人员日常所需办公设备、稽核车辆、驾驶人员及办公经费等由中标单位自行负责）。温岭市医疗保障局为中标单位提供合作项目所需的业务和财务操作规程，中标单位必须严格遵照执行。</w:t>
      </w:r>
    </w:p>
    <w:p>
      <w:pPr>
        <w:autoSpaceDE w:val="0"/>
        <w:autoSpaceDN w:val="0"/>
        <w:spacing w:line="440" w:lineRule="exact"/>
        <w:ind w:firstLine="480" w:firstLineChars="200"/>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4、保险公司中标后，需在一个月内派遣24名（可通过劳务派遣方式）人员，安排6名（其中3名人员需具有大专及以上医学相关专业）进驻</w:t>
      </w:r>
      <w:r>
        <w:rPr>
          <w:rFonts w:hint="eastAsia" w:cs="宋体" w:asciiTheme="minorEastAsia" w:hAnsiTheme="minorEastAsia" w:eastAsiaTheme="minorEastAsia"/>
          <w:color w:val="000000"/>
          <w:sz w:val="24"/>
        </w:rPr>
        <w:t>温岭市医疗保障局</w:t>
      </w:r>
      <w:r>
        <w:rPr>
          <w:rFonts w:hint="eastAsia" w:cs="宋体" w:asciiTheme="minorEastAsia" w:hAnsiTheme="minorEastAsia" w:eastAsiaTheme="minorEastAsia"/>
          <w:color w:val="000000"/>
          <w:kern w:val="0"/>
          <w:sz w:val="24"/>
        </w:rPr>
        <w:t>，代表</w:t>
      </w:r>
      <w:r>
        <w:rPr>
          <w:rFonts w:hint="eastAsia" w:cs="宋体" w:asciiTheme="minorEastAsia" w:hAnsiTheme="minorEastAsia" w:eastAsiaTheme="minorEastAsia"/>
          <w:color w:val="000000"/>
          <w:sz w:val="24"/>
        </w:rPr>
        <w:t>温岭市医疗保障局</w:t>
      </w:r>
      <w:r>
        <w:rPr>
          <w:rFonts w:hint="eastAsia" w:cs="宋体" w:asciiTheme="minorEastAsia" w:hAnsiTheme="minorEastAsia" w:eastAsiaTheme="minorEastAsia"/>
          <w:color w:val="000000"/>
          <w:kern w:val="0"/>
          <w:sz w:val="24"/>
        </w:rPr>
        <w:t>负责受理、解释、日常待遇结算等工作，业务上接受</w:t>
      </w:r>
      <w:r>
        <w:rPr>
          <w:rFonts w:hint="eastAsia" w:cs="宋体" w:asciiTheme="minorEastAsia" w:hAnsiTheme="minorEastAsia" w:eastAsiaTheme="minorEastAsia"/>
          <w:color w:val="000000"/>
          <w:sz w:val="24"/>
        </w:rPr>
        <w:t>温岭市医疗保障局</w:t>
      </w:r>
      <w:r>
        <w:rPr>
          <w:rFonts w:hint="eastAsia" w:cs="宋体" w:asciiTheme="minorEastAsia" w:hAnsiTheme="minorEastAsia" w:eastAsiaTheme="minorEastAsia"/>
          <w:color w:val="000000"/>
          <w:kern w:val="0"/>
          <w:sz w:val="24"/>
        </w:rPr>
        <w:t>的指导和决定，其余18名（其中3名人员需具有大专及以上医学相关专业）主要负责调查稽核等工作，办公场所由中标人自理。</w:t>
      </w:r>
    </w:p>
    <w:p>
      <w:pPr>
        <w:spacing w:line="440" w:lineRule="exact"/>
        <w:ind w:right="-153" w:rightChars="-73"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5、保险公司所派人员必须遵守</w:t>
      </w:r>
      <w:r>
        <w:rPr>
          <w:rFonts w:hint="eastAsia" w:cs="宋体" w:asciiTheme="minorEastAsia" w:hAnsiTheme="minorEastAsia" w:eastAsiaTheme="minorEastAsia"/>
          <w:color w:val="000000"/>
          <w:sz w:val="24"/>
        </w:rPr>
        <w:t>温岭市医疗保障局</w:t>
      </w:r>
      <w:r>
        <w:rPr>
          <w:rFonts w:hint="eastAsia" w:cs="宋体" w:asciiTheme="minorEastAsia" w:hAnsiTheme="minorEastAsia" w:eastAsiaTheme="minorEastAsia"/>
          <w:color w:val="000000"/>
          <w:kern w:val="0"/>
          <w:sz w:val="24"/>
        </w:rPr>
        <w:t>的各项规章制度，如有不胜任此岗位的，</w:t>
      </w:r>
      <w:r>
        <w:rPr>
          <w:rFonts w:hint="eastAsia" w:cs="宋体" w:asciiTheme="minorEastAsia" w:hAnsiTheme="minorEastAsia" w:eastAsiaTheme="minorEastAsia"/>
          <w:color w:val="000000"/>
          <w:sz w:val="24"/>
        </w:rPr>
        <w:t>温岭市医疗保障局</w:t>
      </w:r>
      <w:r>
        <w:rPr>
          <w:rFonts w:hint="eastAsia" w:cs="宋体" w:asciiTheme="minorEastAsia" w:hAnsiTheme="minorEastAsia" w:eastAsiaTheme="minorEastAsia"/>
          <w:color w:val="000000"/>
          <w:kern w:val="0"/>
          <w:sz w:val="24"/>
        </w:rPr>
        <w:t>有权要求保险公司在一个月内更换工作人员；保险公司所派人员的工资福利等一切待遇均由保险公司负责。</w:t>
      </w:r>
    </w:p>
    <w:p>
      <w:pPr>
        <w:pStyle w:val="30"/>
        <w:shd w:val="clear" w:color="auto" w:fill="FFFFFF"/>
        <w:snapToGrid w:val="0"/>
        <w:spacing w:line="380" w:lineRule="exact"/>
        <w:ind w:firstLine="480"/>
        <w:rPr>
          <w:rFonts w:cs="宋体" w:asciiTheme="minorEastAsia" w:hAnsiTheme="minorEastAsia" w:eastAsiaTheme="minorEastAsia"/>
          <w:sz w:val="24"/>
          <w:szCs w:val="24"/>
        </w:rPr>
      </w:pPr>
    </w:p>
    <w:p>
      <w:pPr>
        <w:shd w:val="clear" w:color="auto" w:fill="FFFFFF"/>
        <w:snapToGrid w:val="0"/>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（五）项目合作方式</w:t>
      </w:r>
    </w:p>
    <w:p>
      <w:pPr>
        <w:spacing w:line="380" w:lineRule="exact"/>
        <w:ind w:right="-153" w:rightChars="-73" w:firstLine="460" w:firstLineChars="192"/>
        <w:rPr>
          <w:rFonts w:cs="宋体" w:asciiTheme="minorEastAsia" w:hAnsiTheme="minorEastAsia" w:eastAsiaTheme="minorEastAsia"/>
          <w:sz w:val="24"/>
        </w:rPr>
      </w:pPr>
      <w:r>
        <w:rPr>
          <w:rFonts w:hint="eastAsia" w:cs="宋体" w:asciiTheme="minorEastAsia" w:hAnsiTheme="minorEastAsia" w:eastAsiaTheme="minorEastAsia"/>
          <w:sz w:val="24"/>
        </w:rPr>
        <w:t>1. 以政府购买服务的方式合作。即采购人将意外伤害保险的受理、审核、结报、备案等内容委托商业保险公司进行管理运作的方式，其服务过程接受委托部门和相关部门的全程监管。</w:t>
      </w:r>
    </w:p>
    <w:p>
      <w:pPr>
        <w:spacing w:line="380" w:lineRule="exact"/>
        <w:ind w:right="-153" w:rightChars="-73" w:firstLine="460" w:firstLineChars="192"/>
        <w:rPr>
          <w:rFonts w:cs="宋体" w:asciiTheme="minorEastAsia" w:hAnsiTheme="minorEastAsia" w:eastAsiaTheme="minorEastAsia"/>
          <w:sz w:val="24"/>
        </w:rPr>
      </w:pPr>
    </w:p>
    <w:p>
      <w:pPr>
        <w:spacing w:line="380" w:lineRule="exact"/>
        <w:ind w:right="-153" w:rightChars="-73" w:firstLine="460" w:firstLineChars="192"/>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2、意外伤害案件办理流程（详见下表）：</w:t>
      </w:r>
    </w:p>
    <w:tbl>
      <w:tblPr>
        <w:tblStyle w:val="22"/>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76"/>
        <w:gridCol w:w="2004"/>
        <w:gridCol w:w="2076"/>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5" w:type="dxa"/>
            <w:vAlign w:val="center"/>
          </w:tcPr>
          <w:p>
            <w:pPr>
              <w:spacing w:line="380" w:lineRule="exact"/>
              <w:ind w:right="-153" w:rightChars="-73"/>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序号</w:t>
            </w:r>
          </w:p>
        </w:tc>
        <w:tc>
          <w:tcPr>
            <w:tcW w:w="876" w:type="dxa"/>
            <w:vAlign w:val="center"/>
          </w:tcPr>
          <w:p>
            <w:pPr>
              <w:spacing w:line="380" w:lineRule="exact"/>
              <w:ind w:right="-153" w:rightChars="-73"/>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程序</w:t>
            </w:r>
          </w:p>
        </w:tc>
        <w:tc>
          <w:tcPr>
            <w:tcW w:w="2004" w:type="dxa"/>
            <w:vAlign w:val="center"/>
          </w:tcPr>
          <w:p>
            <w:pPr>
              <w:spacing w:line="380" w:lineRule="exact"/>
              <w:ind w:right="76" w:rightChars="36"/>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内容</w:t>
            </w:r>
          </w:p>
        </w:tc>
        <w:tc>
          <w:tcPr>
            <w:tcW w:w="2076" w:type="dxa"/>
            <w:vAlign w:val="center"/>
          </w:tcPr>
          <w:p>
            <w:pPr>
              <w:spacing w:line="380" w:lineRule="exact"/>
              <w:ind w:right="-153" w:rightChars="-73"/>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承诺时效</w:t>
            </w:r>
          </w:p>
        </w:tc>
        <w:tc>
          <w:tcPr>
            <w:tcW w:w="3173" w:type="dxa"/>
            <w:vAlign w:val="center"/>
          </w:tcPr>
          <w:p>
            <w:pPr>
              <w:spacing w:line="380" w:lineRule="exact"/>
              <w:ind w:right="-153" w:rightChars="-73"/>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25"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w:t>
            </w:r>
          </w:p>
        </w:tc>
        <w:tc>
          <w:tcPr>
            <w:tcW w:w="876"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受理</w:t>
            </w:r>
          </w:p>
        </w:tc>
        <w:tc>
          <w:tcPr>
            <w:tcW w:w="2004" w:type="dxa"/>
          </w:tcPr>
          <w:p>
            <w:pPr>
              <w:spacing w:line="380" w:lineRule="exact"/>
              <w:ind w:right="76" w:rightChars="36"/>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中心窗口办理、医院诊间办理</w:t>
            </w:r>
          </w:p>
        </w:tc>
        <w:tc>
          <w:tcPr>
            <w:tcW w:w="2076" w:type="dxa"/>
          </w:tcPr>
          <w:p>
            <w:pPr>
              <w:spacing w:line="3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即时办理</w:t>
            </w:r>
          </w:p>
        </w:tc>
        <w:tc>
          <w:tcPr>
            <w:tcW w:w="3173" w:type="dxa"/>
          </w:tcPr>
          <w:p>
            <w:pPr>
              <w:spacing w:line="380" w:lineRule="exact"/>
              <w:ind w:right="76" w:rightChars="36"/>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填写被保险人（或被委托人）《基本医疗保险意外伤害人员情况登记表》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25"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w:t>
            </w:r>
          </w:p>
        </w:tc>
        <w:tc>
          <w:tcPr>
            <w:tcW w:w="876"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审核</w:t>
            </w:r>
          </w:p>
        </w:tc>
        <w:tc>
          <w:tcPr>
            <w:tcW w:w="2004" w:type="dxa"/>
          </w:tcPr>
          <w:p>
            <w:pPr>
              <w:spacing w:line="380" w:lineRule="exact"/>
              <w:ind w:right="76" w:rightChars="36"/>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现场稽查、资料审核</w:t>
            </w:r>
          </w:p>
        </w:tc>
        <w:tc>
          <w:tcPr>
            <w:tcW w:w="2076" w:type="dxa"/>
          </w:tcPr>
          <w:p>
            <w:pPr>
              <w:spacing w:line="3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市内两个工作日、市外十个工作日</w:t>
            </w:r>
          </w:p>
        </w:tc>
        <w:tc>
          <w:tcPr>
            <w:tcW w:w="3173"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符合报销要求的开具</w:t>
            </w:r>
          </w:p>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《温岭市城乡居民基本医</w:t>
            </w:r>
          </w:p>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疗保险意外伤害住院刷卡</w:t>
            </w:r>
          </w:p>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结算介绍信》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25"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p>
        </w:tc>
        <w:tc>
          <w:tcPr>
            <w:tcW w:w="876"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结报</w:t>
            </w:r>
          </w:p>
        </w:tc>
        <w:tc>
          <w:tcPr>
            <w:tcW w:w="2004" w:type="dxa"/>
          </w:tcPr>
          <w:p>
            <w:pPr>
              <w:spacing w:line="380" w:lineRule="exact"/>
              <w:ind w:right="76" w:rightChars="36"/>
              <w:rPr>
                <w:rFonts w:cs="宋体" w:asciiTheme="minorEastAsia" w:hAnsiTheme="minorEastAsia" w:eastAsiaTheme="minorEastAsia"/>
                <w:color w:val="000000"/>
                <w:sz w:val="24"/>
              </w:rPr>
            </w:pPr>
            <w:r>
              <w:rPr>
                <w:rFonts w:hint="eastAsia" w:cs="宋体" w:asciiTheme="minorEastAsia" w:hAnsiTheme="minorEastAsia" w:eastAsiaTheme="minorEastAsia"/>
                <w:sz w:val="24"/>
              </w:rPr>
              <w:t>与医保中心进行结算（含刷卡和手工结算）</w:t>
            </w:r>
          </w:p>
        </w:tc>
        <w:tc>
          <w:tcPr>
            <w:tcW w:w="2076" w:type="dxa"/>
          </w:tcPr>
          <w:p>
            <w:pPr>
              <w:spacing w:line="380" w:lineRule="exact"/>
              <w:rPr>
                <w:rFonts w:cs="宋体" w:asciiTheme="minorEastAsia" w:hAnsiTheme="minorEastAsia" w:eastAsiaTheme="minorEastAsia"/>
                <w:color w:val="000000"/>
                <w:sz w:val="24"/>
              </w:rPr>
            </w:pPr>
          </w:p>
        </w:tc>
        <w:tc>
          <w:tcPr>
            <w:tcW w:w="3173" w:type="dxa"/>
          </w:tcPr>
          <w:p>
            <w:pPr>
              <w:spacing w:line="380" w:lineRule="exact"/>
              <w:ind w:right="-153" w:rightChars="-73"/>
              <w:rPr>
                <w:rFonts w:cs="宋体"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25"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w:t>
            </w:r>
          </w:p>
        </w:tc>
        <w:tc>
          <w:tcPr>
            <w:tcW w:w="876"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备案</w:t>
            </w:r>
          </w:p>
        </w:tc>
        <w:tc>
          <w:tcPr>
            <w:tcW w:w="2004" w:type="dxa"/>
          </w:tcPr>
          <w:p>
            <w:pPr>
              <w:ind w:right="-153" w:rightChars="-73"/>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整理资料向采购</w:t>
            </w:r>
          </w:p>
          <w:p>
            <w:pPr>
              <w:ind w:right="-153" w:rightChars="-73"/>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人进行备案登记</w:t>
            </w:r>
          </w:p>
        </w:tc>
        <w:tc>
          <w:tcPr>
            <w:tcW w:w="2076" w:type="dxa"/>
          </w:tcPr>
          <w:p>
            <w:pPr>
              <w:spacing w:line="380" w:lineRule="exac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每月报备（特殊情况单独报备）</w:t>
            </w:r>
          </w:p>
        </w:tc>
        <w:tc>
          <w:tcPr>
            <w:tcW w:w="3173" w:type="dxa"/>
          </w:tcPr>
          <w:p>
            <w:pPr>
              <w:spacing w:line="380" w:lineRule="exact"/>
              <w:ind w:right="-153" w:rightChars="-73"/>
              <w:rPr>
                <w:rFonts w:cs="宋体" w:asciiTheme="minorEastAsia" w:hAnsiTheme="minorEastAsia" w:eastAsiaTheme="minorEastAsia"/>
                <w:color w:val="000000"/>
                <w:sz w:val="24"/>
              </w:rPr>
            </w:pPr>
          </w:p>
        </w:tc>
      </w:tr>
    </w:tbl>
    <w:p>
      <w:pPr>
        <w:spacing w:line="380" w:lineRule="exact"/>
        <w:ind w:right="-153" w:rightChars="-73" w:firstLine="460" w:firstLineChars="192"/>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cs="宋体" w:asciiTheme="minorEastAsia" w:hAnsiTheme="minorEastAsia" w:eastAsiaTheme="minorEastAsia"/>
          <w:sz w:val="24"/>
          <w:u w:val="single"/>
        </w:rPr>
        <w:t>项目承包总费用＝支付（补偿）给被保险人的保险费+盈亏奖赔部分。</w:t>
      </w:r>
      <w:r>
        <w:rPr>
          <w:rFonts w:hint="eastAsia" w:cs="宋体" w:asciiTheme="minorEastAsia" w:hAnsiTheme="minorEastAsia" w:eastAsiaTheme="minorEastAsia"/>
          <w:sz w:val="24"/>
        </w:rPr>
        <w:t xml:space="preserve"> 投标人须经测算后，报价每年投保费用金额。 </w:t>
      </w:r>
    </w:p>
    <w:p>
      <w:pPr>
        <w:spacing w:line="380" w:lineRule="exact"/>
        <w:ind w:firstLine="463" w:firstLineChars="192"/>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p>
      <w:pPr>
        <w:spacing w:line="380" w:lineRule="exact"/>
        <w:ind w:firstLine="460" w:firstLineChars="192"/>
        <w:rPr>
          <w:rFonts w:cs="宋体" w:asciiTheme="minorEastAsia" w:hAnsiTheme="minorEastAsia" w:eastAsiaTheme="minorEastAsia"/>
          <w:sz w:val="24"/>
        </w:rPr>
      </w:pPr>
      <w:r>
        <w:rPr>
          <w:rFonts w:hint="eastAsia" w:cs="宋体" w:asciiTheme="minorEastAsia" w:hAnsiTheme="minorEastAsia" w:eastAsiaTheme="minorEastAsia"/>
          <w:sz w:val="24"/>
        </w:rPr>
        <w:t>①支付（补偿）给被保险人的保费在基本医疗保险基金中列支，该支付暂定免缴增值税，如果结算时出现支付增值税的情况，采购人将在投标费用中予以相应调整。</w:t>
      </w:r>
    </w:p>
    <w:p>
      <w:pPr>
        <w:spacing w:line="380" w:lineRule="exact"/>
        <w:ind w:firstLine="460" w:firstLineChars="192"/>
        <w:rPr>
          <w:rFonts w:cs="宋体" w:asciiTheme="minorEastAsia" w:hAnsiTheme="minorEastAsia" w:eastAsiaTheme="minorEastAsia"/>
          <w:sz w:val="24"/>
        </w:rPr>
      </w:pPr>
      <w:r>
        <w:rPr>
          <w:rFonts w:hint="eastAsia" w:cs="宋体" w:asciiTheme="minorEastAsia" w:hAnsiTheme="minorEastAsia" w:eastAsiaTheme="minorEastAsia"/>
          <w:sz w:val="24"/>
        </w:rPr>
        <w:t>②盈亏分成的超支部分在基本医疗保险基金中列支。</w:t>
      </w:r>
    </w:p>
    <w:p>
      <w:pPr>
        <w:spacing w:line="380" w:lineRule="exact"/>
        <w:ind w:firstLine="460" w:firstLineChars="192"/>
        <w:rPr>
          <w:rFonts w:cs="宋体" w:asciiTheme="minorEastAsia" w:hAnsiTheme="minorEastAsia" w:eastAsiaTheme="minorEastAsia"/>
          <w:color w:val="FF0000"/>
          <w:sz w:val="24"/>
        </w:rPr>
      </w:pPr>
      <w:r>
        <w:rPr>
          <w:rFonts w:hint="eastAsia" w:cs="宋体" w:asciiTheme="minorEastAsia" w:hAnsiTheme="minorEastAsia" w:eastAsiaTheme="minorEastAsia"/>
          <w:sz w:val="24"/>
        </w:rPr>
        <w:t>4、保险公司与温岭市医疗保障局签订正式合同后，</w:t>
      </w:r>
      <w:r>
        <w:rPr>
          <w:rFonts w:hint="eastAsia" w:cs="宋体" w:asciiTheme="minorEastAsia" w:hAnsiTheme="minorEastAsia" w:eastAsiaTheme="minorEastAsia"/>
          <w:color w:val="auto"/>
          <w:sz w:val="24"/>
        </w:rPr>
        <w:t>保险公司需在五个工作日内划入温岭市医疗保障局指定专户70万元作为履约保证金或者提供相应金额保函。</w:t>
      </w:r>
    </w:p>
    <w:p>
      <w:pPr>
        <w:spacing w:line="380" w:lineRule="exact"/>
        <w:ind w:right="-153" w:rightChars="-73"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温岭市医疗保障局每月支付当年度保费的7.5%。2025年1月支付2023年度保费的8%，2026年1月支付2024年度保费的8%，2027年度1月支付2025年度保费的8%，剩余当年度保费的2%作为考核保证金，考核保证金经考核合格后15日内支付。2023年度考核以及清算时间暂定为2024年7月，考核后中标方应继续支付2023年度的意外伤害费用（由于清算后仍有部分意外伤害费用产生，温岭市医疗保障局应于2025年</w:t>
      </w:r>
      <w:r>
        <w:rPr>
          <w:rFonts w:hint="eastAsia" w:cs="宋体" w:asciiTheme="minorEastAsia" w:hAnsiTheme="minorEastAsia" w:eastAsiaTheme="minorEastAsia"/>
          <w:color w:val="auto"/>
          <w:sz w:val="24"/>
          <w:lang w:eastAsia="zh-CN"/>
        </w:rPr>
        <w:t>年</w:t>
      </w:r>
      <w:r>
        <w:rPr>
          <w:rFonts w:hint="eastAsia" w:cs="宋体" w:asciiTheme="minorEastAsia" w:hAnsiTheme="minorEastAsia" w:eastAsiaTheme="minorEastAsia"/>
          <w:color w:val="auto"/>
          <w:sz w:val="24"/>
        </w:rPr>
        <w:t>中对2023年度意外伤害费用再次进行清算作为最终清算）。2024年度考核以及清算时间暂定为2025年7月，最终清算时间为2026年</w:t>
      </w:r>
      <w:r>
        <w:rPr>
          <w:rFonts w:hint="eastAsia" w:cs="宋体" w:asciiTheme="minorEastAsia" w:hAnsiTheme="minorEastAsia" w:eastAsiaTheme="minorEastAsia"/>
          <w:color w:val="auto"/>
          <w:sz w:val="24"/>
          <w:lang w:eastAsia="zh-CN"/>
        </w:rPr>
        <w:t>年</w:t>
      </w:r>
      <w:r>
        <w:rPr>
          <w:rFonts w:hint="eastAsia" w:cs="宋体" w:asciiTheme="minorEastAsia" w:hAnsiTheme="minorEastAsia" w:eastAsiaTheme="minorEastAsia"/>
          <w:color w:val="auto"/>
          <w:sz w:val="24"/>
        </w:rPr>
        <w:t>中。2025年度考核以及清算时间暂定为2026年7月，最终清算时间为2027年</w:t>
      </w:r>
      <w:r>
        <w:rPr>
          <w:rFonts w:hint="eastAsia" w:cs="宋体" w:asciiTheme="minorEastAsia" w:hAnsiTheme="minorEastAsia" w:eastAsiaTheme="minorEastAsia"/>
          <w:color w:val="auto"/>
          <w:sz w:val="24"/>
          <w:lang w:eastAsia="zh-CN"/>
        </w:rPr>
        <w:t>年</w:t>
      </w:r>
      <w:r>
        <w:rPr>
          <w:rFonts w:hint="eastAsia" w:cs="宋体" w:asciiTheme="minorEastAsia" w:hAnsiTheme="minorEastAsia" w:eastAsiaTheme="minorEastAsia"/>
          <w:color w:val="auto"/>
          <w:sz w:val="24"/>
        </w:rPr>
        <w:t>中。</w:t>
      </w:r>
    </w:p>
    <w:p>
      <w:pPr>
        <w:spacing w:line="380" w:lineRule="exact"/>
        <w:ind w:right="-153" w:rightChars="-73"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5、投标人提供服务承诺和具体措施。</w:t>
      </w:r>
    </w:p>
    <w:p>
      <w:pPr>
        <w:spacing w:line="380" w:lineRule="exact"/>
        <w:ind w:firstLine="460" w:firstLineChars="192"/>
        <w:rPr>
          <w:rFonts w:cs="宋体" w:asciiTheme="minorEastAsia" w:hAnsiTheme="minorEastAsia" w:eastAsiaTheme="minorEastAsia"/>
          <w:sz w:val="24"/>
        </w:rPr>
      </w:pPr>
      <w:r>
        <w:rPr>
          <w:rFonts w:hint="eastAsia" w:cs="宋体" w:asciiTheme="minorEastAsia" w:hAnsiTheme="minorEastAsia" w:eastAsiaTheme="minorEastAsia"/>
          <w:sz w:val="24"/>
        </w:rPr>
        <w:t>6、盈亏分摊办法。投标人承诺与采购人共担风险与利益，具体方法如下：</w:t>
      </w:r>
    </w:p>
    <w:p>
      <w:pPr>
        <w:spacing w:line="380" w:lineRule="exact"/>
        <w:ind w:right="-153" w:rightChars="-73"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个年度内，盈亏率【（当年保费总金额-意外伤害当年赔付支出）/当年保费总金额】在±5%（含）以内的部分，由中标单位承担（或享受）50%；盈亏率在±5%-±10%（含）以内部分，由中标单位承担（或享受）30%；盈亏率在±10%以上部分，不需承担（或享受）。</w:t>
      </w:r>
    </w:p>
    <w:p>
      <w:pPr>
        <w:spacing w:line="380" w:lineRule="exact"/>
        <w:ind w:right="-153" w:rightChars="-73"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7、如中标人以明显低于合理价格中标的（中标价低于预算价15%以上），年度结算过程中，实际支出超出中标价10%以上部分，医保基金不予支付，由中标人全额承担。</w:t>
      </w:r>
    </w:p>
    <w:p>
      <w:pPr>
        <w:pStyle w:val="59"/>
        <w:shd w:val="clear" w:color="auto" w:fill="FFFFFF"/>
        <w:snapToGrid w:val="0"/>
        <w:spacing w:line="380" w:lineRule="exact"/>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w:t>
      </w:r>
      <w:r>
        <w:rPr>
          <w:rFonts w:hint="eastAsia" w:cs="宋体" w:asciiTheme="minorEastAsia" w:hAnsiTheme="minorEastAsia" w:eastAsiaTheme="minorEastAsia"/>
          <w:sz w:val="24"/>
          <w:szCs w:val="24"/>
          <w:u w:val="single"/>
        </w:rPr>
        <w:t>中标人对保险费进行专账核算</w:t>
      </w:r>
      <w:r>
        <w:rPr>
          <w:rFonts w:hint="eastAsia" w:cs="宋体" w:asciiTheme="minorEastAsia" w:hAnsiTheme="minorEastAsia" w:eastAsiaTheme="minorEastAsia"/>
          <w:sz w:val="24"/>
          <w:szCs w:val="24"/>
        </w:rPr>
        <w:t>，实行专款专用，并随时接受采购人和相关部门的监督和核查。</w:t>
      </w:r>
    </w:p>
    <w:p>
      <w:pPr>
        <w:pStyle w:val="59"/>
        <w:shd w:val="clear" w:color="auto" w:fill="FFFFFF"/>
        <w:snapToGrid w:val="0"/>
        <w:spacing w:line="380" w:lineRule="exact"/>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（六）意外伤害调查要求</w:t>
      </w:r>
    </w:p>
    <w:p>
      <w:pPr>
        <w:numPr>
          <w:ilvl w:val="0"/>
          <w:numId w:val="8"/>
        </w:numPr>
        <w:rPr>
          <w:rFonts w:cs="宋体" w:asciiTheme="minorEastAsia" w:hAnsiTheme="minorEastAsia" w:eastAsiaTheme="minorEastAsia"/>
          <w:sz w:val="24"/>
        </w:rPr>
      </w:pPr>
      <w:r>
        <w:rPr>
          <w:rFonts w:hint="eastAsia" w:cs="宋体" w:asciiTheme="minorEastAsia" w:hAnsiTheme="minorEastAsia" w:eastAsiaTheme="minorEastAsia"/>
          <w:sz w:val="24"/>
        </w:rPr>
        <w:t>意外伤害调查需做到应查尽查，除常规的当事人、知情人笔录外，大额案件及可疑案件还需现场核查，调查需留痕，核查结果准确可信，并按要求做好核查、统计台账。</w:t>
      </w:r>
    </w:p>
    <w:p>
      <w:pPr>
        <w:shd w:val="clear" w:color="auto" w:fill="FFFFFF"/>
        <w:snapToGrid w:val="0"/>
        <w:spacing w:line="380" w:lineRule="exact"/>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（七）其它服务要求</w:t>
      </w:r>
    </w:p>
    <w:p>
      <w:pPr>
        <w:pStyle w:val="59"/>
        <w:shd w:val="clear" w:color="auto" w:fill="FFFFFF"/>
        <w:snapToGrid w:val="0"/>
        <w:spacing w:line="380" w:lineRule="exact"/>
        <w:ind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1、中标人配合采购人做好城乡居民基本医疗保险政策宣传工作，并提供人员、车辆协助做好温岭市外意外伤害住院调查工作。</w:t>
      </w:r>
    </w:p>
    <w:p>
      <w:pPr>
        <w:pStyle w:val="59"/>
        <w:shd w:val="clear" w:color="auto" w:fill="FFFFFF"/>
        <w:snapToGrid w:val="0"/>
        <w:spacing w:line="380" w:lineRule="exact"/>
        <w:ind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2、中标人对审核的资料、信息操作系统必须落实安全和保密责任，承诺所有涉及相关项目内容不用于其它领域。        </w:t>
      </w:r>
    </w:p>
    <w:p>
      <w:pPr>
        <w:pStyle w:val="59"/>
        <w:shd w:val="clear" w:color="auto" w:fill="FFFFFF"/>
        <w:snapToGrid w:val="0"/>
        <w:spacing w:line="380" w:lineRule="exact"/>
        <w:ind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3.中标人开展医疗费用调查，经调查审核，对被保险人不符合意外伤害补偿者，中标人必须出具有效结论并负责解释，报采购人备案。若被保险人有争议，由采购人进行核实确定。</w:t>
      </w:r>
    </w:p>
    <w:p>
      <w:pPr>
        <w:pStyle w:val="59"/>
        <w:shd w:val="clear" w:color="auto" w:fill="FFFFFF"/>
        <w:snapToGrid w:val="0"/>
        <w:spacing w:line="380" w:lineRule="exact"/>
        <w:ind w:left="420"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4、中标人要向采购人每月提供项目营运分析报告以及被保险人详细资料和报表等；</w:t>
      </w:r>
    </w:p>
    <w:p>
      <w:pPr>
        <w:pStyle w:val="59"/>
        <w:shd w:val="clear" w:color="auto" w:fill="FFFFFF"/>
        <w:snapToGrid w:val="0"/>
        <w:spacing w:line="380" w:lineRule="exact"/>
        <w:ind w:left="420"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5、其他采购方要求的医保业务。</w:t>
      </w:r>
    </w:p>
    <w:p>
      <w:pPr>
        <w:pStyle w:val="59"/>
        <w:shd w:val="clear" w:color="auto" w:fill="FFFFFF"/>
        <w:snapToGrid w:val="0"/>
        <w:spacing w:line="380" w:lineRule="exact"/>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（八）实行年终考核制度。年终时采购人对中标人在投标时的承诺实行考核，考核结果与年度保险费的2%挂钩。</w:t>
      </w:r>
    </w:p>
    <w:p>
      <w:pPr>
        <w:pStyle w:val="59"/>
        <w:shd w:val="clear" w:color="auto" w:fill="FFFFFF"/>
        <w:snapToGrid w:val="0"/>
        <w:spacing w:line="380" w:lineRule="exact"/>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考核得分80分及以上的，全额返还剩余2%的年度保险费；得分在80分以下60分及以上的，每减少1分，扣减2%的年度保险费的3%；考核低于60分的，剩余2%的年度保险费不予返还。</w:t>
      </w:r>
    </w:p>
    <w:p>
      <w:pPr>
        <w:pStyle w:val="59"/>
        <w:shd w:val="clear" w:color="auto" w:fill="FFFFFF"/>
        <w:snapToGrid w:val="0"/>
        <w:spacing w:line="380" w:lineRule="exact"/>
        <w:ind w:firstLineChars="0"/>
        <w:rPr>
          <w:rFonts w:cs="宋体" w:asciiTheme="minorEastAsia" w:hAnsiTheme="minorEastAsia" w:eastAsiaTheme="minorEastAsia"/>
          <w:sz w:val="24"/>
          <w:szCs w:val="24"/>
        </w:rPr>
      </w:pPr>
    </w:p>
    <w:tbl>
      <w:tblPr>
        <w:tblStyle w:val="22"/>
        <w:tblW w:w="9070" w:type="dxa"/>
        <w:tblInd w:w="0" w:type="dxa"/>
        <w:tblLayout w:type="fixed"/>
        <w:tblCellMar>
          <w:top w:w="0" w:type="dxa"/>
          <w:left w:w="0" w:type="dxa"/>
          <w:bottom w:w="0" w:type="dxa"/>
          <w:right w:w="0" w:type="dxa"/>
        </w:tblCellMar>
      </w:tblPr>
      <w:tblGrid>
        <w:gridCol w:w="722"/>
        <w:gridCol w:w="3956"/>
        <w:gridCol w:w="3532"/>
        <w:gridCol w:w="860"/>
      </w:tblGrid>
      <w:tr>
        <w:tblPrEx>
          <w:tblCellMar>
            <w:top w:w="0" w:type="dxa"/>
            <w:left w:w="0" w:type="dxa"/>
            <w:bottom w:w="0" w:type="dxa"/>
            <w:right w:w="0" w:type="dxa"/>
          </w:tblCellMar>
        </w:tblPrEx>
        <w:trPr>
          <w:trHeight w:val="624" w:hRule="atLeast"/>
        </w:trPr>
        <w:tc>
          <w:tcPr>
            <w:tcW w:w="9070"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b/>
                <w:color w:val="000000"/>
                <w:sz w:val="32"/>
                <w:szCs w:val="32"/>
              </w:rPr>
            </w:pPr>
            <w:r>
              <w:rPr>
                <w:rFonts w:hint="eastAsia" w:cs="仿宋" w:asciiTheme="minorEastAsia" w:hAnsiTheme="minorEastAsia" w:eastAsiaTheme="minorEastAsia"/>
                <w:b/>
                <w:color w:val="000000"/>
                <w:kern w:val="0"/>
                <w:sz w:val="32"/>
                <w:szCs w:val="32"/>
              </w:rPr>
              <w:t>城乡居民医保意外伤害承保合作项目管理考核标准表</w:t>
            </w:r>
          </w:p>
        </w:tc>
      </w:tr>
      <w:tr>
        <w:tblPrEx>
          <w:tblCellMar>
            <w:top w:w="0" w:type="dxa"/>
            <w:left w:w="0" w:type="dxa"/>
            <w:bottom w:w="0" w:type="dxa"/>
            <w:right w:w="0" w:type="dxa"/>
          </w:tblCellMar>
        </w:tblPrEx>
        <w:trPr>
          <w:trHeight w:val="624" w:hRule="atLeast"/>
        </w:trPr>
        <w:tc>
          <w:tcPr>
            <w:tcW w:w="9070"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inorEastAsia" w:hAnsiTheme="minorEastAsia" w:eastAsiaTheme="minorEastAsia"/>
                <w:b/>
                <w:color w:val="000000"/>
                <w:sz w:val="32"/>
                <w:szCs w:val="32"/>
              </w:rPr>
            </w:pPr>
          </w:p>
        </w:tc>
      </w:tr>
      <w:tr>
        <w:tblPrEx>
          <w:tblCellMar>
            <w:top w:w="0" w:type="dxa"/>
            <w:left w:w="0" w:type="dxa"/>
            <w:bottom w:w="0" w:type="dxa"/>
            <w:right w:w="0"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序号</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考核内容</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考核评分方法</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分值</w:t>
            </w:r>
          </w:p>
        </w:tc>
      </w:tr>
      <w:tr>
        <w:tblPrEx>
          <w:tblCellMar>
            <w:top w:w="0" w:type="dxa"/>
            <w:left w:w="0" w:type="dxa"/>
            <w:bottom w:w="0" w:type="dxa"/>
            <w:right w:w="0" w:type="dxa"/>
          </w:tblCellMar>
        </w:tblPrEx>
        <w:trPr>
          <w:trHeight w:val="2184"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保险公司必须严格执行《台州市人民政府办公室关于印发台州市全民医疗保险办法的通知》（台政办发[2018]79号）、《台州市全民医疗保险办法实施细则》（台医保发〔2018〕1号）等文件精神，按照规定办理参保人员意外伤害保险业务。</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未按实施细则要求操作的，每次扣2分。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6</w:t>
            </w:r>
          </w:p>
        </w:tc>
      </w:tr>
      <w:tr>
        <w:tblPrEx>
          <w:tblCellMar>
            <w:top w:w="0" w:type="dxa"/>
            <w:left w:w="0" w:type="dxa"/>
            <w:bottom w:w="0" w:type="dxa"/>
            <w:right w:w="0" w:type="dxa"/>
          </w:tblCellMar>
        </w:tblPrEx>
        <w:trPr>
          <w:trHeight w:val="1256"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2</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成立项目服务小组，成员须包括总经理或分管副总经理和相关人员，专门设立意外伤害查勘机构，并配备专人具体负责勘查机构管理工作。</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听取中标公司介绍，查阅有关文件记录。没有明确分管领导的扣1分；未设查勘机构的扣1分；无专人负责的扣1分；已出台文件，但人员落实未到位的扣1分。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3</w:t>
            </w:r>
          </w:p>
        </w:tc>
      </w:tr>
      <w:tr>
        <w:tblPrEx>
          <w:tblCellMar>
            <w:top w:w="0" w:type="dxa"/>
            <w:left w:w="0" w:type="dxa"/>
            <w:bottom w:w="0" w:type="dxa"/>
            <w:right w:w="0" w:type="dxa"/>
          </w:tblCellMar>
        </w:tblPrEx>
        <w:trPr>
          <w:trHeight w:val="2184"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3</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中标公司原则上需配备24名以上专职人员，其中6名以上具有医学相关专业的人员专门负责意外伤害调查取证和材料审核等工作。</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配备到岗人员每缺1名扣1分。中标保险公司须提供相关人员的毕业证书、职称证书、执业证书及复印件。人员调整未及时告知的，每例扣0.5分。未提供相关证件的扣1分。若有违反工作纪律的，每例扣1分。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8</w:t>
            </w:r>
          </w:p>
        </w:tc>
      </w:tr>
      <w:tr>
        <w:tblPrEx>
          <w:tblCellMar>
            <w:top w:w="0" w:type="dxa"/>
            <w:left w:w="0" w:type="dxa"/>
            <w:bottom w:w="0" w:type="dxa"/>
            <w:right w:w="0" w:type="dxa"/>
          </w:tblCellMar>
        </w:tblPrEx>
        <w:trPr>
          <w:trHeight w:val="1422"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4</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中标公司配备一定数量的专职车辆用于意外伤害业务的日常查勘稽核。</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中标公司能够提供9辆专门用于查勘稽核监管车辆的得9分，每减少一辆扣1分，不提供的不得分。因车况问题导致不能正常使用的，每次扣0.5分。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9</w:t>
            </w:r>
          </w:p>
        </w:tc>
      </w:tr>
      <w:tr>
        <w:tblPrEx>
          <w:tblCellMar>
            <w:top w:w="0" w:type="dxa"/>
            <w:left w:w="0" w:type="dxa"/>
            <w:bottom w:w="0" w:type="dxa"/>
            <w:right w:w="0" w:type="dxa"/>
          </w:tblCellMar>
        </w:tblPrEx>
        <w:trPr>
          <w:trHeight w:val="836"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5</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中标公司受理参保人员申请后，需及时进行现场核查、资料审核，办理时效为市内两个工作日。</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结合医保经办机构平时记录情况扣分，参保人对查勘、审核时效提出异议的有效投诉每一例扣1分。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3</w:t>
            </w:r>
          </w:p>
        </w:tc>
      </w:tr>
      <w:tr>
        <w:tblPrEx>
          <w:tblCellMar>
            <w:top w:w="0" w:type="dxa"/>
            <w:left w:w="0" w:type="dxa"/>
            <w:bottom w:w="0" w:type="dxa"/>
            <w:right w:w="0" w:type="dxa"/>
          </w:tblCellMar>
        </w:tblPrEx>
        <w:trPr>
          <w:trHeight w:val="1303"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6</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现场核查率：现场核查需留痕，需提供现场核查照片、当事人及知情人笔录、调查台账。</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总费用&gt;3万的达100%的得18分，总费用&gt;1万且&lt;3万的达30%的得8分，总费用&lt;1万的达5%的得4分。每减少1%扣1分，每增加5%加1分。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30</w:t>
            </w:r>
          </w:p>
        </w:tc>
      </w:tr>
      <w:tr>
        <w:tblPrEx>
          <w:tblCellMar>
            <w:top w:w="0" w:type="dxa"/>
            <w:left w:w="0" w:type="dxa"/>
            <w:bottom w:w="0" w:type="dxa"/>
            <w:right w:w="0" w:type="dxa"/>
          </w:tblCellMar>
        </w:tblPrEx>
        <w:trPr>
          <w:trHeight w:val="843"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7</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意外伤害核查差错率。</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低于0.1%的得15分，每增加1例扣1分。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15</w:t>
            </w:r>
          </w:p>
        </w:tc>
      </w:tr>
      <w:tr>
        <w:tblPrEx>
          <w:tblCellMar>
            <w:top w:w="0" w:type="dxa"/>
            <w:left w:w="0" w:type="dxa"/>
            <w:bottom w:w="0" w:type="dxa"/>
            <w:right w:w="0" w:type="dxa"/>
          </w:tblCellMar>
        </w:tblPrEx>
        <w:trPr>
          <w:trHeight w:val="1678"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8</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中标保险公司须每月提供项目营运分析报告以及被保险人详细资料和报表等资料。</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听取中标保险公司介绍，询问相关人员，查看有关报表资料。不进行定期分析的扣1分；参保人员资料管理不规范的扣1分；有关报告、报表不及时上报或不准确的分别扣1分。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3</w:t>
            </w:r>
          </w:p>
        </w:tc>
      </w:tr>
      <w:tr>
        <w:tblPrEx>
          <w:tblCellMar>
            <w:top w:w="0" w:type="dxa"/>
            <w:left w:w="0" w:type="dxa"/>
            <w:bottom w:w="0" w:type="dxa"/>
            <w:right w:w="0" w:type="dxa"/>
          </w:tblCellMar>
        </w:tblPrEx>
        <w:trPr>
          <w:trHeight w:val="783" w:hRule="atLeast"/>
        </w:trPr>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kern w:val="0"/>
                <w:sz w:val="22"/>
                <w:szCs w:val="22"/>
              </w:rPr>
              <w:t>9</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中标公司承诺方案实施。</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对中标公司服务保障方案等承诺的情况进行检查，未兑现的每项扣2分。</w:t>
            </w: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color w:val="000000"/>
                <w:kern w:val="0"/>
                <w:sz w:val="24"/>
              </w:rPr>
              <w:t>6</w:t>
            </w:r>
          </w:p>
        </w:tc>
      </w:tr>
      <w:tr>
        <w:tblPrEx>
          <w:tblCellMar>
            <w:top w:w="0" w:type="dxa"/>
            <w:left w:w="0" w:type="dxa"/>
            <w:bottom w:w="0" w:type="dxa"/>
            <w:right w:w="0" w:type="dxa"/>
          </w:tblCellMar>
        </w:tblPrEx>
        <w:trPr>
          <w:trHeight w:val="831"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10</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中标公司在无特殊情况下收到赔款结算表10个工作日内，须将实际发生的该期赔款结算费用划到医保经办机构。</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中标公司须在规定的时间内完成，若超过规定时间，每次扣2分。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6</w:t>
            </w:r>
          </w:p>
        </w:tc>
      </w:tr>
      <w:tr>
        <w:tblPrEx>
          <w:tblCellMar>
            <w:top w:w="0" w:type="dxa"/>
            <w:left w:w="0" w:type="dxa"/>
            <w:bottom w:w="0" w:type="dxa"/>
            <w:right w:w="0" w:type="dxa"/>
          </w:tblCellMar>
        </w:tblPrEx>
        <w:trPr>
          <w:trHeight w:val="973"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11</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建立配套信访投诉台账资料。积极调解医疗保险纠纷，有效控制服务对象投诉。在医保政策允许范围内，接受医保经办机构调解建议方案。</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查看有关台账资料。未建立信访投诉台账资料的扣1分；纠纷调解、投诉举报未及时妥善处理的，每次扣1分；未接受医保经办机构调解建议方案每例扣1分。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5</w:t>
            </w:r>
          </w:p>
        </w:tc>
      </w:tr>
      <w:tr>
        <w:tblPrEx>
          <w:tblCellMar>
            <w:top w:w="0" w:type="dxa"/>
            <w:left w:w="0" w:type="dxa"/>
            <w:bottom w:w="0" w:type="dxa"/>
            <w:right w:w="0" w:type="dxa"/>
          </w:tblCellMar>
        </w:tblPrEx>
        <w:trPr>
          <w:trHeight w:val="527"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12</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对意外伤害审核的资料、信息操作系统落实安全和保密责任，所有涉及的相关项目内容不得用于其它领域。</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对相关资料及信息操作系统未落实安全和保密责任的，不得分。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4</w:t>
            </w:r>
          </w:p>
        </w:tc>
      </w:tr>
      <w:tr>
        <w:tblPrEx>
          <w:tblCellMar>
            <w:top w:w="0" w:type="dxa"/>
            <w:left w:w="0" w:type="dxa"/>
            <w:bottom w:w="0" w:type="dxa"/>
            <w:right w:w="0" w:type="dxa"/>
          </w:tblCellMar>
        </w:tblPrEx>
        <w:trPr>
          <w:trHeight w:val="1121" w:hRule="atLeast"/>
        </w:trPr>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13</w:t>
            </w:r>
          </w:p>
        </w:tc>
        <w:tc>
          <w:tcPr>
            <w:tcW w:w="3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能为基本医疗保险业务提供增值服务。</w:t>
            </w:r>
          </w:p>
        </w:tc>
        <w:tc>
          <w:tcPr>
            <w:tcW w:w="3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询问有关人员，抽查有关资料，能提供相关增值服务的得2分。增值服务未及时完成的每例（项）扣1分。没有增值服务的不得分。</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w:t>
            </w:r>
          </w:p>
        </w:tc>
      </w:tr>
      <w:tr>
        <w:tblPrEx>
          <w:tblCellMar>
            <w:top w:w="0" w:type="dxa"/>
            <w:left w:w="0" w:type="dxa"/>
            <w:bottom w:w="0" w:type="dxa"/>
            <w:right w:w="0" w:type="dxa"/>
          </w:tblCellMar>
        </w:tblPrEx>
        <w:trPr>
          <w:trHeight w:val="675" w:hRule="atLeast"/>
        </w:trPr>
        <w:tc>
          <w:tcPr>
            <w:tcW w:w="82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合计</w:t>
            </w: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100</w:t>
            </w:r>
          </w:p>
        </w:tc>
      </w:tr>
    </w:tbl>
    <w:p>
      <w:pPr>
        <w:shd w:val="clear" w:color="auto" w:fill="FFFFFF"/>
        <w:snapToGrid w:val="0"/>
        <w:spacing w:line="380" w:lineRule="exact"/>
        <w:ind w:firstLine="360" w:firstLineChars="150"/>
        <w:rPr>
          <w:rFonts w:cs="宋体" w:asciiTheme="minorEastAsia" w:hAnsiTheme="minorEastAsia" w:eastAsiaTheme="minorEastAsia"/>
          <w:sz w:val="24"/>
        </w:rPr>
      </w:pPr>
    </w:p>
    <w:p>
      <w:pPr>
        <w:shd w:val="clear" w:color="auto" w:fill="FFFFFF"/>
        <w:snapToGrid w:val="0"/>
        <w:spacing w:line="380" w:lineRule="exact"/>
        <w:ind w:firstLine="360" w:firstLineChars="150"/>
        <w:rPr>
          <w:rFonts w:cs="宋体" w:asciiTheme="minorEastAsia" w:hAnsiTheme="minorEastAsia" w:eastAsiaTheme="minorEastAsia"/>
          <w:sz w:val="24"/>
        </w:rPr>
      </w:pPr>
    </w:p>
    <w:p>
      <w:pPr>
        <w:pStyle w:val="59"/>
        <w:shd w:val="clear" w:color="auto" w:fill="FFFFFF"/>
        <w:snapToGrid w:val="0"/>
        <w:spacing w:line="380" w:lineRule="exact"/>
        <w:ind w:left="420" w:firstLine="0" w:firstLineChars="0"/>
        <w:rPr>
          <w:rFonts w:cs="宋体" w:asciiTheme="minorEastAsia" w:hAnsiTheme="minorEastAsia" w:eastAsiaTheme="minorEastAsia"/>
          <w:sz w:val="24"/>
          <w:szCs w:val="24"/>
        </w:rPr>
      </w:pPr>
    </w:p>
    <w:p>
      <w:pPr>
        <w:rPr>
          <w:rFonts w:asciiTheme="minorEastAsia" w:hAnsiTheme="minorEastAsia" w:eastAsiaTheme="minorEastAsia"/>
          <w:b/>
          <w:sz w:val="30"/>
          <w:szCs w:val="30"/>
        </w:rPr>
      </w:pPr>
      <w:r>
        <w:rPr>
          <w:rFonts w:hint="eastAsia" w:asciiTheme="minorEastAsia" w:hAnsiTheme="minorEastAsia" w:eastAsiaTheme="minorEastAsia"/>
          <w:b/>
          <w:sz w:val="30"/>
          <w:szCs w:val="30"/>
        </w:rPr>
        <w:t>标段二：</w:t>
      </w:r>
    </w:p>
    <w:p>
      <w:pPr>
        <w:shd w:val="clear" w:color="auto" w:fill="FFFFFF"/>
        <w:snapToGrid w:val="0"/>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（一）责任范围</w:t>
      </w:r>
    </w:p>
    <w:p>
      <w:pPr>
        <w:shd w:val="clear" w:color="auto" w:fill="FFFFFF"/>
        <w:snapToGrid w:val="0"/>
        <w:spacing w:line="3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意外伤害是指因非疾病意外导致身体受到伤害的事件，意外伤害的住院医疗费用包括本次意外伤害住院治疗过程中治疗其它相关疾病的合理费用。</w:t>
      </w:r>
    </w:p>
    <w:p>
      <w:pPr>
        <w:shd w:val="clear" w:color="auto" w:fill="FFFFFF"/>
        <w:snapToGrid w:val="0"/>
        <w:spacing w:line="3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责任范围按《台州市人民政府办公室关于印发台州市全民医疗保险办法的通知》（台政办发[2018]79号）、《台州市全民医疗保险办法实施细则》（台医保发〔2018〕1号）及省市有关医保政策等文件的规定执行。合作期间如遇政策变化导致待遇调整所引起的医疗费用变化，均由采购方承担。</w:t>
      </w:r>
    </w:p>
    <w:p>
      <w:pPr>
        <w:shd w:val="clear" w:color="auto" w:fill="FFFFFF"/>
        <w:snapToGrid w:val="0"/>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（二）责任免除</w:t>
      </w:r>
    </w:p>
    <w:p>
      <w:pPr>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1、应当从工伤保险基金中支付的；</w:t>
      </w:r>
    </w:p>
    <w:p>
      <w:pPr>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2、应当由第三人负担的；</w:t>
      </w:r>
    </w:p>
    <w:p>
      <w:pPr>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3、应当由公共卫生负担的；</w:t>
      </w:r>
    </w:p>
    <w:p>
      <w:pPr>
        <w:spacing w:line="380" w:lineRule="exact"/>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4、在境外就医的。</w:t>
      </w:r>
    </w:p>
    <w:p>
      <w:pPr>
        <w:pStyle w:val="19"/>
        <w:spacing w:line="380" w:lineRule="exact"/>
        <w:rPr>
          <w:rFonts w:hint="default" w:cs="宋体" w:asciiTheme="minorEastAsia" w:hAnsiTheme="minorEastAsia" w:eastAsiaTheme="minorEastAsia"/>
        </w:rPr>
      </w:pPr>
      <w:r>
        <w:rPr>
          <w:rFonts w:cs="宋体" w:asciiTheme="minorEastAsia" w:hAnsiTheme="minorEastAsia" w:eastAsiaTheme="minorEastAsia"/>
        </w:rPr>
        <w:t xml:space="preserve">  （三）保险期限</w:t>
      </w:r>
    </w:p>
    <w:p>
      <w:pPr>
        <w:spacing w:line="380" w:lineRule="exact"/>
        <w:ind w:right="-153" w:rightChars="-73"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从2023年1月1日起至2023年12月31日止。</w:t>
      </w:r>
      <w:r>
        <w:rPr>
          <w:rFonts w:hint="eastAsia" w:cs="宋体" w:asciiTheme="minorEastAsia" w:hAnsiTheme="minorEastAsia" w:eastAsiaTheme="minorEastAsia"/>
          <w:kern w:val="0"/>
          <w:sz w:val="24"/>
        </w:rPr>
        <w:t>本项目采用 1+1 +1（即3年）模式，服务期 1年满后甲方有权单方决定是否续签合同，如甲乙双方商定续签，乙方每年保费单价在上一年基础上上浮2个百分点。</w:t>
      </w:r>
      <w:r>
        <w:rPr>
          <w:rFonts w:hint="eastAsia" w:cs="宋体" w:asciiTheme="minorEastAsia" w:hAnsiTheme="minorEastAsia" w:eastAsiaTheme="minorEastAsia"/>
          <w:sz w:val="24"/>
        </w:rPr>
        <w:t>责任期限时间均以被保险人出院日期为准（法院判决或者调解的案件超过结算期后以医保窗口受理日为准）。</w:t>
      </w:r>
    </w:p>
    <w:p>
      <w:pPr>
        <w:spacing w:line="380" w:lineRule="exact"/>
        <w:ind w:right="-153" w:rightChars="-73" w:firstLine="480" w:firstLineChars="200"/>
        <w:rPr>
          <w:rFonts w:cs="宋体" w:asciiTheme="minorEastAsia" w:hAnsiTheme="minorEastAsia" w:eastAsiaTheme="minorEastAsia"/>
          <w:sz w:val="24"/>
        </w:rPr>
      </w:pPr>
    </w:p>
    <w:p>
      <w:pPr>
        <w:spacing w:line="380" w:lineRule="exact"/>
        <w:ind w:right="-153" w:rightChars="-73"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近年相关数据如下：</w:t>
      </w:r>
    </w:p>
    <w:tbl>
      <w:tblPr>
        <w:tblStyle w:val="23"/>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2035"/>
        <w:gridCol w:w="2295"/>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1816"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职工医保</w:t>
            </w:r>
          </w:p>
        </w:tc>
        <w:tc>
          <w:tcPr>
            <w:tcW w:w="2035"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平均月参保人数</w:t>
            </w:r>
          </w:p>
        </w:tc>
        <w:tc>
          <w:tcPr>
            <w:tcW w:w="2295"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统筹基金支出（元）</w:t>
            </w:r>
          </w:p>
        </w:tc>
        <w:tc>
          <w:tcPr>
            <w:tcW w:w="2798"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人均统筹基金支出（元）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16"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2019年度</w:t>
            </w:r>
          </w:p>
        </w:tc>
        <w:tc>
          <w:tcPr>
            <w:tcW w:w="2035" w:type="dxa"/>
          </w:tcPr>
          <w:p>
            <w:pPr>
              <w:widowControl/>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271404</w:t>
            </w:r>
          </w:p>
        </w:tc>
        <w:tc>
          <w:tcPr>
            <w:tcW w:w="2295" w:type="dxa"/>
            <w:vAlign w:val="center"/>
          </w:tcPr>
          <w:p>
            <w:pPr>
              <w:widowControl/>
              <w:jc w:val="righ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16683436.6</w:t>
            </w:r>
          </w:p>
        </w:tc>
        <w:tc>
          <w:tcPr>
            <w:tcW w:w="2798" w:type="dxa"/>
            <w:vAlign w:val="bottom"/>
          </w:tcPr>
          <w:p>
            <w:pPr>
              <w:widowControl/>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 xml:space="preserve">61.47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816"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2020年度</w:t>
            </w:r>
          </w:p>
        </w:tc>
        <w:tc>
          <w:tcPr>
            <w:tcW w:w="2035" w:type="dxa"/>
          </w:tcPr>
          <w:p>
            <w:pPr>
              <w:widowControl/>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301276</w:t>
            </w:r>
          </w:p>
        </w:tc>
        <w:tc>
          <w:tcPr>
            <w:tcW w:w="2295" w:type="dxa"/>
            <w:vAlign w:val="center"/>
          </w:tcPr>
          <w:p>
            <w:pPr>
              <w:widowControl/>
              <w:jc w:val="righ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16554578.63</w:t>
            </w:r>
          </w:p>
        </w:tc>
        <w:tc>
          <w:tcPr>
            <w:tcW w:w="2798" w:type="dxa"/>
            <w:vAlign w:val="bottom"/>
          </w:tcPr>
          <w:p>
            <w:pPr>
              <w:widowControl/>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 xml:space="preserve">54.95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816" w:type="dxa"/>
          </w:tcPr>
          <w:p>
            <w:pPr>
              <w:spacing w:line="380" w:lineRule="exact"/>
              <w:ind w:right="-153" w:rightChars="-73"/>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2021年度</w:t>
            </w:r>
          </w:p>
        </w:tc>
        <w:tc>
          <w:tcPr>
            <w:tcW w:w="2035" w:type="dxa"/>
          </w:tcPr>
          <w:p>
            <w:pPr>
              <w:widowControl/>
              <w:textAlignment w:val="top"/>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333025</w:t>
            </w:r>
          </w:p>
        </w:tc>
        <w:tc>
          <w:tcPr>
            <w:tcW w:w="2295" w:type="dxa"/>
            <w:vAlign w:val="center"/>
          </w:tcPr>
          <w:p>
            <w:pPr>
              <w:widowControl/>
              <w:jc w:val="right"/>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19675116.3</w:t>
            </w:r>
          </w:p>
        </w:tc>
        <w:tc>
          <w:tcPr>
            <w:tcW w:w="2798" w:type="dxa"/>
            <w:vAlign w:val="bottom"/>
          </w:tcPr>
          <w:p>
            <w:pPr>
              <w:widowControl/>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 xml:space="preserve">59.08 </w:t>
            </w:r>
          </w:p>
        </w:tc>
      </w:tr>
    </w:tbl>
    <w:p>
      <w:pPr>
        <w:spacing w:line="380" w:lineRule="exact"/>
        <w:ind w:right="-153" w:rightChars="-73"/>
        <w:rPr>
          <w:rFonts w:cs="宋体" w:asciiTheme="minorEastAsia" w:hAnsiTheme="minorEastAsia" w:eastAsiaTheme="minorEastAsia"/>
          <w:sz w:val="24"/>
        </w:rPr>
      </w:pPr>
    </w:p>
    <w:p>
      <w:pPr>
        <w:shd w:val="clear" w:color="auto" w:fill="FFFFFF"/>
        <w:snapToGrid w:val="0"/>
        <w:spacing w:line="3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（四）人员及设施保障</w:t>
      </w:r>
    </w:p>
    <w:p>
      <w:pPr>
        <w:pStyle w:val="59"/>
        <w:shd w:val="clear" w:color="auto" w:fill="FFFFFF"/>
        <w:snapToGrid w:val="0"/>
        <w:spacing w:line="3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中标人应具有专业调查能力和力量，包括：</w:t>
      </w:r>
    </w:p>
    <w:p>
      <w:pPr>
        <w:pStyle w:val="59"/>
        <w:shd w:val="clear" w:color="auto" w:fill="FFFFFF"/>
        <w:snapToGrid w:val="0"/>
        <w:spacing w:line="3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1、人员配备：人数8人，年龄在45周岁以下。</w:t>
      </w:r>
    </w:p>
    <w:p>
      <w:pPr>
        <w:pStyle w:val="30"/>
        <w:shd w:val="clear" w:color="auto" w:fill="FFFFFF"/>
        <w:snapToGrid w:val="0"/>
        <w:spacing w:line="3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2、设施配置：稽查车辆2辆（要求使用三年以内且行驶公里数不得超过10万公里），中标方必须具备调查器材、电脑、打印机、复印机等相关设备设施。</w:t>
      </w:r>
    </w:p>
    <w:p>
      <w:pPr>
        <w:autoSpaceDE w:val="0"/>
        <w:autoSpaceDN w:val="0"/>
        <w:spacing w:line="440" w:lineRule="exact"/>
        <w:ind w:firstLine="480" w:firstLineChars="200"/>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中标单位派出人员纳入中标单位和温岭市医疗保障局双重管理（派出人员日常所需办公设备、稽核车辆、驾驶人员及办公经费等由中标单位自行负责）。温岭市医疗保障局为中标单位提供合作项目所需的业务和财务操作规程，中标单位必须严格遵照执行。</w:t>
      </w:r>
    </w:p>
    <w:p>
      <w:pPr>
        <w:autoSpaceDE w:val="0"/>
        <w:autoSpaceDN w:val="0"/>
        <w:spacing w:line="440" w:lineRule="exact"/>
        <w:ind w:firstLine="480" w:firstLineChars="200"/>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4、保险公司中标后，需在一个月内派遣8名（可通过劳务派遣方式）人员，安排4名人员（其中1名人员需具有大专及以上医学相关专业）进驻</w:t>
      </w:r>
      <w:r>
        <w:rPr>
          <w:rFonts w:hint="eastAsia" w:cs="宋体" w:asciiTheme="minorEastAsia" w:hAnsiTheme="minorEastAsia" w:eastAsiaTheme="minorEastAsia"/>
          <w:color w:val="000000"/>
          <w:sz w:val="24"/>
        </w:rPr>
        <w:t>温岭市医疗保障局</w:t>
      </w:r>
      <w:r>
        <w:rPr>
          <w:rFonts w:hint="eastAsia" w:cs="宋体" w:asciiTheme="minorEastAsia" w:hAnsiTheme="minorEastAsia" w:eastAsiaTheme="minorEastAsia"/>
          <w:color w:val="000000"/>
          <w:kern w:val="0"/>
          <w:sz w:val="24"/>
        </w:rPr>
        <w:t>，代表</w:t>
      </w:r>
      <w:r>
        <w:rPr>
          <w:rFonts w:hint="eastAsia" w:cs="宋体" w:asciiTheme="minorEastAsia" w:hAnsiTheme="minorEastAsia" w:eastAsiaTheme="minorEastAsia"/>
          <w:color w:val="000000"/>
          <w:sz w:val="24"/>
        </w:rPr>
        <w:t>温岭市医疗保障局</w:t>
      </w:r>
      <w:r>
        <w:rPr>
          <w:rFonts w:hint="eastAsia" w:cs="宋体" w:asciiTheme="minorEastAsia" w:hAnsiTheme="minorEastAsia" w:eastAsiaTheme="minorEastAsia"/>
          <w:color w:val="000000"/>
          <w:kern w:val="0"/>
          <w:sz w:val="24"/>
        </w:rPr>
        <w:t>负责受理、解释、日常待遇结算等工作，业务上接受</w:t>
      </w:r>
      <w:r>
        <w:rPr>
          <w:rFonts w:hint="eastAsia" w:cs="宋体" w:asciiTheme="minorEastAsia" w:hAnsiTheme="minorEastAsia" w:eastAsiaTheme="minorEastAsia"/>
          <w:color w:val="000000"/>
          <w:sz w:val="24"/>
        </w:rPr>
        <w:t>温岭市医疗保障局</w:t>
      </w:r>
      <w:r>
        <w:rPr>
          <w:rFonts w:hint="eastAsia" w:cs="宋体" w:asciiTheme="minorEastAsia" w:hAnsiTheme="minorEastAsia" w:eastAsiaTheme="minorEastAsia"/>
          <w:color w:val="000000"/>
          <w:kern w:val="0"/>
          <w:sz w:val="24"/>
        </w:rPr>
        <w:t>的指导和决定；其余4名（其中1名人员需具有大专及以上医学相关专业）主要负责调查稽核等工作，办公场所由中标人自理。</w:t>
      </w:r>
    </w:p>
    <w:p>
      <w:pPr>
        <w:spacing w:line="440" w:lineRule="exact"/>
        <w:ind w:right="-153" w:rightChars="-73"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5、保险公司所派人员必须遵守</w:t>
      </w:r>
      <w:r>
        <w:rPr>
          <w:rFonts w:hint="eastAsia" w:cs="宋体" w:asciiTheme="minorEastAsia" w:hAnsiTheme="minorEastAsia" w:eastAsiaTheme="minorEastAsia"/>
          <w:color w:val="000000"/>
          <w:sz w:val="24"/>
        </w:rPr>
        <w:t>温岭市医疗保障局</w:t>
      </w:r>
      <w:r>
        <w:rPr>
          <w:rFonts w:hint="eastAsia" w:cs="宋体" w:asciiTheme="minorEastAsia" w:hAnsiTheme="minorEastAsia" w:eastAsiaTheme="minorEastAsia"/>
          <w:color w:val="000000"/>
          <w:kern w:val="0"/>
          <w:sz w:val="24"/>
        </w:rPr>
        <w:t>的各项规章制度，如有不胜任此岗位的，</w:t>
      </w:r>
      <w:r>
        <w:rPr>
          <w:rFonts w:hint="eastAsia" w:cs="宋体" w:asciiTheme="minorEastAsia" w:hAnsiTheme="minorEastAsia" w:eastAsiaTheme="minorEastAsia"/>
          <w:color w:val="000000"/>
          <w:sz w:val="24"/>
        </w:rPr>
        <w:t>温岭市医疗保障局</w:t>
      </w:r>
      <w:r>
        <w:rPr>
          <w:rFonts w:hint="eastAsia" w:cs="宋体" w:asciiTheme="minorEastAsia" w:hAnsiTheme="minorEastAsia" w:eastAsiaTheme="minorEastAsia"/>
          <w:color w:val="000000"/>
          <w:kern w:val="0"/>
          <w:sz w:val="24"/>
        </w:rPr>
        <w:t>有权要求保险公司在一个月内更换工作人员；保险公司所派人员的工资福利等一切待遇均由保险公司负责。</w:t>
      </w:r>
    </w:p>
    <w:p>
      <w:pPr>
        <w:pStyle w:val="30"/>
        <w:shd w:val="clear" w:color="auto" w:fill="FFFFFF"/>
        <w:snapToGrid w:val="0"/>
        <w:spacing w:line="380" w:lineRule="exact"/>
        <w:ind w:firstLine="480"/>
        <w:rPr>
          <w:rFonts w:cs="宋体" w:asciiTheme="minorEastAsia" w:hAnsiTheme="minorEastAsia" w:eastAsiaTheme="minorEastAsia"/>
          <w:sz w:val="24"/>
          <w:szCs w:val="24"/>
        </w:rPr>
      </w:pPr>
    </w:p>
    <w:p>
      <w:pPr>
        <w:shd w:val="clear" w:color="auto" w:fill="FFFFFF"/>
        <w:snapToGrid w:val="0"/>
        <w:spacing w:line="3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（五）项目合作方式</w:t>
      </w:r>
    </w:p>
    <w:p>
      <w:pPr>
        <w:spacing w:line="380" w:lineRule="exact"/>
        <w:ind w:right="-153" w:rightChars="-73" w:firstLine="460" w:firstLineChars="192"/>
        <w:rPr>
          <w:rFonts w:cs="宋体" w:asciiTheme="minorEastAsia" w:hAnsiTheme="minorEastAsia" w:eastAsiaTheme="minorEastAsia"/>
          <w:sz w:val="24"/>
        </w:rPr>
      </w:pPr>
      <w:r>
        <w:rPr>
          <w:rFonts w:hint="eastAsia" w:cs="宋体" w:asciiTheme="minorEastAsia" w:hAnsiTheme="minorEastAsia" w:eastAsiaTheme="minorEastAsia"/>
          <w:sz w:val="24"/>
        </w:rPr>
        <w:t>1、 以政府购买服务的方式合作。即采购人将意外伤害保险的受理、审核、结报、备案等内容委托商业保险公司进行管理运作的方式，其服务过程接受委托部门和相关部门的全程监管。</w:t>
      </w:r>
    </w:p>
    <w:p>
      <w:pPr>
        <w:spacing w:line="380" w:lineRule="exact"/>
        <w:ind w:right="-153" w:rightChars="-73" w:firstLine="460" w:firstLineChars="192"/>
        <w:rPr>
          <w:rFonts w:cs="宋体" w:asciiTheme="minorEastAsia" w:hAnsiTheme="minorEastAsia" w:eastAsiaTheme="minorEastAsia"/>
          <w:sz w:val="24"/>
        </w:rPr>
      </w:pPr>
      <w:r>
        <w:rPr>
          <w:rFonts w:hint="eastAsia" w:cs="宋体" w:asciiTheme="minorEastAsia" w:hAnsiTheme="minorEastAsia" w:eastAsiaTheme="minorEastAsia"/>
          <w:sz w:val="24"/>
        </w:rPr>
        <w:t>2、意外伤害案件办理流程（详见下表）：</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042"/>
        <w:gridCol w:w="1810"/>
        <w:gridCol w:w="2104"/>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25" w:type="dxa"/>
            <w:vAlign w:val="center"/>
          </w:tcPr>
          <w:p>
            <w:pPr>
              <w:spacing w:line="380" w:lineRule="exact"/>
              <w:ind w:right="-153" w:rightChars="-73"/>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042" w:type="dxa"/>
            <w:vAlign w:val="center"/>
          </w:tcPr>
          <w:p>
            <w:pPr>
              <w:spacing w:line="380" w:lineRule="exact"/>
              <w:ind w:right="-153" w:rightChars="-73"/>
              <w:jc w:val="center"/>
              <w:rPr>
                <w:rFonts w:cs="宋体" w:asciiTheme="minorEastAsia" w:hAnsiTheme="minorEastAsia" w:eastAsiaTheme="minorEastAsia"/>
                <w:sz w:val="24"/>
              </w:rPr>
            </w:pPr>
            <w:r>
              <w:rPr>
                <w:rFonts w:hint="eastAsia" w:cs="宋体" w:asciiTheme="minorEastAsia" w:hAnsiTheme="minorEastAsia" w:eastAsiaTheme="minorEastAsia"/>
                <w:sz w:val="24"/>
              </w:rPr>
              <w:t>程序</w:t>
            </w:r>
          </w:p>
        </w:tc>
        <w:tc>
          <w:tcPr>
            <w:tcW w:w="1810" w:type="dxa"/>
            <w:vAlign w:val="center"/>
          </w:tcPr>
          <w:p>
            <w:pPr>
              <w:spacing w:line="380" w:lineRule="exact"/>
              <w:ind w:right="76" w:rightChars="36"/>
              <w:jc w:val="center"/>
              <w:rPr>
                <w:rFonts w:cs="宋体" w:asciiTheme="minorEastAsia" w:hAnsiTheme="minorEastAsia" w:eastAsiaTheme="minorEastAsia"/>
                <w:sz w:val="24"/>
              </w:rPr>
            </w:pPr>
            <w:r>
              <w:rPr>
                <w:rFonts w:hint="eastAsia" w:cs="宋体" w:asciiTheme="minorEastAsia" w:hAnsiTheme="minorEastAsia" w:eastAsiaTheme="minorEastAsia"/>
                <w:sz w:val="24"/>
              </w:rPr>
              <w:t>内容</w:t>
            </w:r>
          </w:p>
        </w:tc>
        <w:tc>
          <w:tcPr>
            <w:tcW w:w="2104" w:type="dxa"/>
            <w:vAlign w:val="center"/>
          </w:tcPr>
          <w:p>
            <w:pPr>
              <w:spacing w:line="380" w:lineRule="exact"/>
              <w:ind w:right="-153" w:rightChars="-73"/>
              <w:jc w:val="center"/>
              <w:rPr>
                <w:rFonts w:cs="宋体" w:asciiTheme="minorEastAsia" w:hAnsiTheme="minorEastAsia" w:eastAsiaTheme="minorEastAsia"/>
                <w:sz w:val="24"/>
              </w:rPr>
            </w:pPr>
            <w:r>
              <w:rPr>
                <w:rFonts w:hint="eastAsia" w:cs="宋体" w:asciiTheme="minorEastAsia" w:hAnsiTheme="minorEastAsia" w:eastAsiaTheme="minorEastAsia"/>
                <w:sz w:val="24"/>
              </w:rPr>
              <w:t>承诺时效</w:t>
            </w:r>
          </w:p>
        </w:tc>
        <w:tc>
          <w:tcPr>
            <w:tcW w:w="3458" w:type="dxa"/>
            <w:vAlign w:val="center"/>
          </w:tcPr>
          <w:p>
            <w:pPr>
              <w:spacing w:line="380" w:lineRule="exact"/>
              <w:ind w:right="-153" w:rightChars="-73"/>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25" w:type="dxa"/>
          </w:tcPr>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042" w:type="dxa"/>
          </w:tcPr>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受理</w:t>
            </w:r>
          </w:p>
        </w:tc>
        <w:tc>
          <w:tcPr>
            <w:tcW w:w="1810" w:type="dxa"/>
          </w:tcPr>
          <w:p>
            <w:pPr>
              <w:spacing w:line="380" w:lineRule="exact"/>
              <w:ind w:right="76" w:rightChars="36"/>
              <w:rPr>
                <w:rFonts w:cs="宋体" w:asciiTheme="minorEastAsia" w:hAnsiTheme="minorEastAsia" w:eastAsiaTheme="minorEastAsia"/>
                <w:sz w:val="24"/>
              </w:rPr>
            </w:pPr>
            <w:r>
              <w:rPr>
                <w:rFonts w:hint="eastAsia" w:cs="宋体" w:asciiTheme="minorEastAsia" w:hAnsiTheme="minorEastAsia" w:eastAsiaTheme="minorEastAsia"/>
                <w:sz w:val="24"/>
              </w:rPr>
              <w:t>中心窗口办理、医院诊间办理</w:t>
            </w:r>
          </w:p>
        </w:tc>
        <w:tc>
          <w:tcPr>
            <w:tcW w:w="2104" w:type="dxa"/>
          </w:tcPr>
          <w:p>
            <w:pPr>
              <w:spacing w:line="380" w:lineRule="exact"/>
              <w:rPr>
                <w:rFonts w:cs="宋体" w:asciiTheme="minorEastAsia" w:hAnsiTheme="minorEastAsia" w:eastAsiaTheme="minorEastAsia"/>
                <w:sz w:val="24"/>
              </w:rPr>
            </w:pPr>
            <w:r>
              <w:rPr>
                <w:rFonts w:hint="eastAsia" w:cs="宋体" w:asciiTheme="minorEastAsia" w:hAnsiTheme="minorEastAsia" w:eastAsiaTheme="minorEastAsia"/>
                <w:sz w:val="24"/>
              </w:rPr>
              <w:t>即时办理</w:t>
            </w:r>
          </w:p>
        </w:tc>
        <w:tc>
          <w:tcPr>
            <w:tcW w:w="3458" w:type="dxa"/>
          </w:tcPr>
          <w:p>
            <w:pPr>
              <w:spacing w:line="380" w:lineRule="exact"/>
              <w:ind w:right="76" w:rightChars="36"/>
              <w:rPr>
                <w:rFonts w:cs="宋体" w:asciiTheme="minorEastAsia" w:hAnsiTheme="minorEastAsia" w:eastAsiaTheme="minorEastAsia"/>
                <w:sz w:val="24"/>
              </w:rPr>
            </w:pPr>
            <w:r>
              <w:rPr>
                <w:rFonts w:hint="eastAsia" w:cs="宋体" w:asciiTheme="minorEastAsia" w:hAnsiTheme="minorEastAsia" w:eastAsiaTheme="minorEastAsia"/>
                <w:sz w:val="24"/>
              </w:rPr>
              <w:t>填写被保险人（或被委托人）《基本医疗保险意外伤害人员情况登记表》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25" w:type="dxa"/>
          </w:tcPr>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042" w:type="dxa"/>
          </w:tcPr>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审核</w:t>
            </w:r>
          </w:p>
        </w:tc>
        <w:tc>
          <w:tcPr>
            <w:tcW w:w="1810" w:type="dxa"/>
          </w:tcPr>
          <w:p>
            <w:pPr>
              <w:spacing w:line="380" w:lineRule="exact"/>
              <w:ind w:right="76" w:rightChars="36"/>
              <w:rPr>
                <w:rFonts w:cs="宋体" w:asciiTheme="minorEastAsia" w:hAnsiTheme="minorEastAsia" w:eastAsiaTheme="minorEastAsia"/>
                <w:sz w:val="24"/>
              </w:rPr>
            </w:pPr>
            <w:r>
              <w:rPr>
                <w:rFonts w:hint="eastAsia" w:cs="宋体" w:asciiTheme="minorEastAsia" w:hAnsiTheme="minorEastAsia" w:eastAsiaTheme="minorEastAsia"/>
                <w:sz w:val="24"/>
              </w:rPr>
              <w:t>现场稽查、资料审核</w:t>
            </w:r>
          </w:p>
        </w:tc>
        <w:tc>
          <w:tcPr>
            <w:tcW w:w="2104" w:type="dxa"/>
          </w:tcPr>
          <w:p>
            <w:pPr>
              <w:spacing w:line="380" w:lineRule="exact"/>
              <w:rPr>
                <w:rFonts w:cs="宋体" w:asciiTheme="minorEastAsia" w:hAnsiTheme="minorEastAsia" w:eastAsiaTheme="minorEastAsia"/>
                <w:sz w:val="24"/>
              </w:rPr>
            </w:pPr>
            <w:r>
              <w:rPr>
                <w:rFonts w:hint="eastAsia" w:cs="宋体" w:asciiTheme="minorEastAsia" w:hAnsiTheme="minorEastAsia" w:eastAsiaTheme="minorEastAsia"/>
                <w:sz w:val="24"/>
              </w:rPr>
              <w:t>市内两个工作日、市外十个工作日</w:t>
            </w:r>
          </w:p>
        </w:tc>
        <w:tc>
          <w:tcPr>
            <w:tcW w:w="3458" w:type="dxa"/>
          </w:tcPr>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符合报销要求的开具</w:t>
            </w:r>
          </w:p>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《温岭市职工基本医疗保险意外伤害住院刷卡结算</w:t>
            </w:r>
          </w:p>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介绍信》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25" w:type="dxa"/>
          </w:tcPr>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042" w:type="dxa"/>
          </w:tcPr>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结报</w:t>
            </w:r>
          </w:p>
        </w:tc>
        <w:tc>
          <w:tcPr>
            <w:tcW w:w="1810" w:type="dxa"/>
          </w:tcPr>
          <w:p>
            <w:pPr>
              <w:spacing w:line="380" w:lineRule="exact"/>
              <w:ind w:right="76" w:rightChars="36"/>
              <w:rPr>
                <w:rFonts w:cs="宋体" w:asciiTheme="minorEastAsia" w:hAnsiTheme="minorEastAsia" w:eastAsiaTheme="minorEastAsia"/>
                <w:sz w:val="24"/>
              </w:rPr>
            </w:pPr>
            <w:r>
              <w:rPr>
                <w:rFonts w:hint="eastAsia" w:cs="宋体" w:asciiTheme="minorEastAsia" w:hAnsiTheme="minorEastAsia" w:eastAsiaTheme="minorEastAsia"/>
                <w:sz w:val="24"/>
              </w:rPr>
              <w:t>与医保中心进行结算（含刷卡和手工结算）</w:t>
            </w:r>
          </w:p>
        </w:tc>
        <w:tc>
          <w:tcPr>
            <w:tcW w:w="2104" w:type="dxa"/>
          </w:tcPr>
          <w:p>
            <w:pPr>
              <w:spacing w:line="380" w:lineRule="exact"/>
              <w:rPr>
                <w:rFonts w:cs="宋体" w:asciiTheme="minorEastAsia" w:hAnsiTheme="minorEastAsia" w:eastAsiaTheme="minorEastAsia"/>
                <w:sz w:val="24"/>
              </w:rPr>
            </w:pPr>
          </w:p>
        </w:tc>
        <w:tc>
          <w:tcPr>
            <w:tcW w:w="3458" w:type="dxa"/>
          </w:tcPr>
          <w:p>
            <w:pPr>
              <w:spacing w:line="380" w:lineRule="exact"/>
              <w:ind w:right="-153" w:rightChars="-73"/>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25" w:type="dxa"/>
          </w:tcPr>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042" w:type="dxa"/>
          </w:tcPr>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备案</w:t>
            </w:r>
          </w:p>
        </w:tc>
        <w:tc>
          <w:tcPr>
            <w:tcW w:w="1810" w:type="dxa"/>
          </w:tcPr>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整理资料向</w:t>
            </w:r>
          </w:p>
          <w:p>
            <w:pPr>
              <w:spacing w:line="380" w:lineRule="exact"/>
              <w:ind w:right="-153" w:rightChars="-73"/>
              <w:rPr>
                <w:rFonts w:cs="宋体" w:asciiTheme="minorEastAsia" w:hAnsiTheme="minorEastAsia" w:eastAsiaTheme="minorEastAsia"/>
                <w:sz w:val="24"/>
              </w:rPr>
            </w:pPr>
            <w:r>
              <w:rPr>
                <w:rFonts w:hint="eastAsia" w:cs="宋体" w:asciiTheme="minorEastAsia" w:hAnsiTheme="minorEastAsia" w:eastAsiaTheme="minorEastAsia"/>
                <w:sz w:val="24"/>
              </w:rPr>
              <w:t>采购人进行备案登记</w:t>
            </w:r>
          </w:p>
        </w:tc>
        <w:tc>
          <w:tcPr>
            <w:tcW w:w="2104" w:type="dxa"/>
          </w:tcPr>
          <w:p>
            <w:pPr>
              <w:spacing w:line="380" w:lineRule="exact"/>
              <w:rPr>
                <w:rFonts w:cs="宋体" w:asciiTheme="minorEastAsia" w:hAnsiTheme="minorEastAsia" w:eastAsiaTheme="minorEastAsia"/>
                <w:sz w:val="24"/>
              </w:rPr>
            </w:pPr>
            <w:r>
              <w:rPr>
                <w:rFonts w:hint="eastAsia" w:cs="宋体" w:asciiTheme="minorEastAsia" w:hAnsiTheme="minorEastAsia" w:eastAsiaTheme="minorEastAsia"/>
                <w:sz w:val="24"/>
              </w:rPr>
              <w:t>每月报备（特殊情况单独报备）</w:t>
            </w:r>
          </w:p>
        </w:tc>
        <w:tc>
          <w:tcPr>
            <w:tcW w:w="3458" w:type="dxa"/>
          </w:tcPr>
          <w:p>
            <w:pPr>
              <w:spacing w:line="380" w:lineRule="exact"/>
              <w:ind w:right="-153" w:rightChars="-73"/>
              <w:rPr>
                <w:rFonts w:cs="宋体" w:asciiTheme="minorEastAsia" w:hAnsiTheme="minorEastAsia" w:eastAsiaTheme="minorEastAsia"/>
                <w:sz w:val="24"/>
              </w:rPr>
            </w:pPr>
          </w:p>
        </w:tc>
      </w:tr>
    </w:tbl>
    <w:p>
      <w:pPr>
        <w:autoSpaceDE w:val="0"/>
        <w:autoSpaceDN w:val="0"/>
        <w:spacing w:line="360" w:lineRule="auto"/>
        <w:ind w:left="105" w:leftChars="50" w:firstLine="240" w:firstLineChars="100"/>
        <w:textAlignment w:val="bottom"/>
        <w:rPr>
          <w:rFonts w:cs="宋体" w:asciiTheme="minorEastAsia" w:hAnsiTheme="minorEastAsia" w:eastAsiaTheme="minorEastAsia"/>
          <w:sz w:val="24"/>
        </w:rPr>
      </w:pPr>
      <w:r>
        <w:rPr>
          <w:rFonts w:hint="eastAsia" w:cs="宋体" w:asciiTheme="minorEastAsia" w:hAnsiTheme="minorEastAsia" w:eastAsiaTheme="minorEastAsia"/>
          <w:sz w:val="24"/>
          <w:u w:val="single"/>
        </w:rPr>
        <w:t>3、项目承包总费用＝支付（补偿）给被保险人的保险费+盈亏奖赔部分。</w:t>
      </w:r>
      <w:r>
        <w:rPr>
          <w:rFonts w:hint="eastAsia" w:cs="宋体" w:asciiTheme="minorEastAsia" w:hAnsiTheme="minorEastAsia" w:eastAsiaTheme="minorEastAsia"/>
          <w:sz w:val="24"/>
        </w:rPr>
        <w:t xml:space="preserve"> 投标人须经测算后，报价每年投保费用金额。 </w:t>
      </w:r>
    </w:p>
    <w:p>
      <w:pPr>
        <w:spacing w:line="380" w:lineRule="exact"/>
        <w:ind w:firstLine="463" w:firstLineChars="192"/>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p>
      <w:pPr>
        <w:spacing w:line="380" w:lineRule="exact"/>
        <w:ind w:firstLine="460" w:firstLineChars="192"/>
        <w:rPr>
          <w:rFonts w:cs="宋体" w:asciiTheme="minorEastAsia" w:hAnsiTheme="minorEastAsia" w:eastAsiaTheme="minorEastAsia"/>
          <w:sz w:val="24"/>
        </w:rPr>
      </w:pPr>
      <w:r>
        <w:rPr>
          <w:rFonts w:hint="eastAsia" w:cs="宋体" w:asciiTheme="minorEastAsia" w:hAnsiTheme="minorEastAsia" w:eastAsiaTheme="minorEastAsia"/>
          <w:sz w:val="24"/>
        </w:rPr>
        <w:t>①支付（补偿）给被保险人的保费在基本医疗保险基金中列支，该支付暂定免缴增值税，如果结算时出现支付增值税的情况，采购人将在投标费用中予以相应调整。</w:t>
      </w:r>
    </w:p>
    <w:p>
      <w:pPr>
        <w:spacing w:line="380" w:lineRule="exact"/>
        <w:ind w:firstLine="460" w:firstLineChars="192"/>
        <w:rPr>
          <w:rFonts w:cs="宋体" w:asciiTheme="minorEastAsia" w:hAnsiTheme="minorEastAsia" w:eastAsiaTheme="minorEastAsia"/>
          <w:sz w:val="24"/>
        </w:rPr>
      </w:pPr>
      <w:r>
        <w:rPr>
          <w:rFonts w:hint="eastAsia" w:cs="宋体" w:asciiTheme="minorEastAsia" w:hAnsiTheme="minorEastAsia" w:eastAsiaTheme="minorEastAsia"/>
          <w:sz w:val="24"/>
        </w:rPr>
        <w:t>②盈亏分成</w:t>
      </w:r>
      <w:r>
        <w:rPr>
          <w:rFonts w:hint="eastAsia" w:cs="宋体" w:asciiTheme="minorEastAsia" w:hAnsiTheme="minorEastAsia" w:eastAsiaTheme="minorEastAsia"/>
          <w:color w:val="000000"/>
          <w:sz w:val="24"/>
        </w:rPr>
        <w:t>的超支部</w:t>
      </w:r>
      <w:r>
        <w:rPr>
          <w:rFonts w:hint="eastAsia" w:cs="宋体" w:asciiTheme="minorEastAsia" w:hAnsiTheme="minorEastAsia" w:eastAsiaTheme="minorEastAsia"/>
          <w:sz w:val="24"/>
        </w:rPr>
        <w:t>分在基本医疗保险基金中列支。</w:t>
      </w:r>
    </w:p>
    <w:p>
      <w:pPr>
        <w:spacing w:line="380" w:lineRule="exact"/>
        <w:ind w:firstLine="460" w:firstLineChars="192"/>
        <w:rPr>
          <w:rFonts w:cs="宋体" w:asciiTheme="minorEastAsia" w:hAnsiTheme="minorEastAsia" w:eastAsiaTheme="minorEastAsia"/>
          <w:color w:val="auto"/>
          <w:sz w:val="24"/>
        </w:rPr>
      </w:pPr>
      <w:r>
        <w:rPr>
          <w:rFonts w:hint="eastAsia" w:cs="宋体" w:asciiTheme="minorEastAsia" w:hAnsiTheme="minorEastAsia" w:eastAsiaTheme="minorEastAsia"/>
          <w:sz w:val="24"/>
        </w:rPr>
        <w:t>4、保险公司与温岭市医疗保障局签订正式合同后，</w:t>
      </w:r>
      <w:r>
        <w:rPr>
          <w:rFonts w:hint="eastAsia" w:cs="宋体" w:asciiTheme="minorEastAsia" w:hAnsiTheme="minorEastAsia" w:eastAsiaTheme="minorEastAsia"/>
          <w:color w:val="auto"/>
          <w:sz w:val="24"/>
        </w:rPr>
        <w:t>保险公司需在五个工作日内划入温岭市医疗保障局指定专户20万元作为履约保证金或者提供相应金额保函。</w:t>
      </w:r>
    </w:p>
    <w:p>
      <w:pPr>
        <w:spacing w:line="380" w:lineRule="exact"/>
        <w:ind w:right="-153" w:rightChars="-73"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温岭市医疗保障局每月支付当年度保费的7.5%。2025年1月支付2023年度保费的8%，2026年1月支付2024年度保费的8%，2027年度1月支付2025年度保费的8%，剩余当年度保费的2%作为考核保证金，考核保证金经考核合格后15日内支付。2023年度考核以及清算时间暂定为2024年7月，考核后中标方应继续支付2023年度的意外伤害费用（由于清算后仍有部分意外伤害费用产生，温岭市医疗保障局应于2025年</w:t>
      </w:r>
      <w:r>
        <w:rPr>
          <w:rFonts w:hint="eastAsia" w:cs="宋体" w:asciiTheme="minorEastAsia" w:hAnsiTheme="minorEastAsia" w:eastAsiaTheme="minorEastAsia"/>
          <w:color w:val="auto"/>
          <w:sz w:val="24"/>
          <w:lang w:eastAsia="zh-CN"/>
        </w:rPr>
        <w:t>年</w:t>
      </w:r>
      <w:r>
        <w:rPr>
          <w:rFonts w:hint="eastAsia" w:cs="宋体" w:asciiTheme="minorEastAsia" w:hAnsiTheme="minorEastAsia" w:eastAsiaTheme="minorEastAsia"/>
          <w:color w:val="auto"/>
          <w:sz w:val="24"/>
        </w:rPr>
        <w:t>中对2023年度意外伤害费用再次进行清算作为最终清算）。2024年度考核以及清算时间暂定为2025年7月，最终清算时间为2026年</w:t>
      </w:r>
      <w:r>
        <w:rPr>
          <w:rFonts w:hint="eastAsia" w:cs="宋体" w:asciiTheme="minorEastAsia" w:hAnsiTheme="minorEastAsia" w:eastAsiaTheme="minorEastAsia"/>
          <w:color w:val="auto"/>
          <w:sz w:val="24"/>
          <w:lang w:eastAsia="zh-CN"/>
        </w:rPr>
        <w:t>年</w:t>
      </w:r>
      <w:r>
        <w:rPr>
          <w:rFonts w:hint="eastAsia" w:cs="宋体" w:asciiTheme="minorEastAsia" w:hAnsiTheme="minorEastAsia" w:eastAsiaTheme="minorEastAsia"/>
          <w:color w:val="auto"/>
          <w:sz w:val="24"/>
        </w:rPr>
        <w:t>中。2025年度考核以及清算时间暂定为2026年7月，最终清算时间为2027年</w:t>
      </w:r>
      <w:r>
        <w:rPr>
          <w:rFonts w:hint="eastAsia" w:cs="宋体" w:asciiTheme="minorEastAsia" w:hAnsiTheme="minorEastAsia" w:eastAsiaTheme="minorEastAsia"/>
          <w:color w:val="auto"/>
          <w:sz w:val="24"/>
          <w:lang w:eastAsia="zh-CN"/>
        </w:rPr>
        <w:t>年</w:t>
      </w:r>
      <w:r>
        <w:rPr>
          <w:rFonts w:hint="eastAsia" w:cs="宋体" w:asciiTheme="minorEastAsia" w:hAnsiTheme="minorEastAsia" w:eastAsiaTheme="minorEastAsia"/>
          <w:color w:val="auto"/>
          <w:sz w:val="24"/>
        </w:rPr>
        <w:t>中。</w:t>
      </w:r>
    </w:p>
    <w:p>
      <w:pPr>
        <w:spacing w:line="380" w:lineRule="exact"/>
        <w:ind w:right="-153" w:rightChars="-73"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5、投标人提供服务承诺和具体措施。</w:t>
      </w:r>
    </w:p>
    <w:p>
      <w:pPr>
        <w:spacing w:line="380" w:lineRule="exact"/>
        <w:ind w:firstLine="460" w:firstLineChars="192"/>
        <w:rPr>
          <w:rFonts w:cs="宋体" w:asciiTheme="minorEastAsia" w:hAnsiTheme="minorEastAsia" w:eastAsiaTheme="minorEastAsia"/>
          <w:sz w:val="24"/>
        </w:rPr>
      </w:pPr>
      <w:r>
        <w:rPr>
          <w:rFonts w:hint="eastAsia" w:cs="宋体" w:asciiTheme="minorEastAsia" w:hAnsiTheme="minorEastAsia" w:eastAsiaTheme="minorEastAsia"/>
          <w:sz w:val="24"/>
        </w:rPr>
        <w:t>6、盈亏分摊办法。投标人承诺与采购人共担风险与利益，具体方法如下：</w:t>
      </w:r>
    </w:p>
    <w:p>
      <w:pPr>
        <w:spacing w:line="380" w:lineRule="exact"/>
        <w:ind w:right="-153" w:rightChars="-73"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个年度内，盈亏率【（当年保费总金额-意外伤害当年赔付支出）/当年保费总金额】在±5%（含）以内的部分，由中标单位承担（或享受）50%；盈亏率在±5%-±10%（含）以内部分，由中标单位承担（或享受）30%；盈亏率在±10%以上部分，不需承担（或享受）。</w:t>
      </w:r>
    </w:p>
    <w:p>
      <w:pPr>
        <w:spacing w:line="380" w:lineRule="exact"/>
        <w:ind w:right="-153" w:rightChars="-73"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7、如中标人以明显低于合理价格中标的（中标价低于预算价15%以上），年度结算过程中，实际支出超出中标价10%以上部分，医保基金不予支付，由中标人全额承担。</w:t>
      </w:r>
    </w:p>
    <w:p>
      <w:pPr>
        <w:shd w:val="clear" w:color="auto" w:fill="FFFFFF"/>
        <w:snapToGrid w:val="0"/>
        <w:spacing w:line="3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w:t>
      </w:r>
      <w:r>
        <w:rPr>
          <w:rFonts w:hint="eastAsia" w:cs="宋体" w:asciiTheme="minorEastAsia" w:hAnsiTheme="minorEastAsia" w:eastAsiaTheme="minorEastAsia"/>
          <w:sz w:val="24"/>
          <w:u w:val="single"/>
        </w:rPr>
        <w:t>中标人对保险费进行专账核算</w:t>
      </w:r>
      <w:r>
        <w:rPr>
          <w:rFonts w:hint="eastAsia" w:cs="宋体" w:asciiTheme="minorEastAsia" w:hAnsiTheme="minorEastAsia" w:eastAsiaTheme="minorEastAsia"/>
          <w:sz w:val="24"/>
        </w:rPr>
        <w:t>，实行专款专用，并随时接受采购人和相关部门的监督和核查。</w:t>
      </w:r>
    </w:p>
    <w:p>
      <w:pPr>
        <w:pStyle w:val="59"/>
        <w:shd w:val="clear" w:color="auto" w:fill="FFFFFF"/>
        <w:snapToGrid w:val="0"/>
        <w:spacing w:line="380" w:lineRule="exact"/>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（六）意外伤害调查要求</w:t>
      </w:r>
    </w:p>
    <w:p>
      <w:pPr>
        <w:rPr>
          <w:rFonts w:cs="宋体" w:asciiTheme="minorEastAsia" w:hAnsiTheme="minorEastAsia" w:eastAsiaTheme="minorEastAsia"/>
          <w:sz w:val="24"/>
        </w:rPr>
      </w:pPr>
      <w:r>
        <w:rPr>
          <w:rFonts w:hint="eastAsia" w:cs="宋体" w:asciiTheme="minorEastAsia" w:hAnsiTheme="minorEastAsia" w:eastAsiaTheme="minorEastAsia"/>
          <w:color w:val="FF0000"/>
          <w:sz w:val="24"/>
        </w:rPr>
        <w:t>1、</w:t>
      </w:r>
      <w:r>
        <w:rPr>
          <w:rFonts w:hint="eastAsia" w:cs="宋体" w:asciiTheme="minorEastAsia" w:hAnsiTheme="minorEastAsia" w:eastAsiaTheme="minorEastAsia"/>
          <w:sz w:val="24"/>
        </w:rPr>
        <w:t>意外伤害调查需做到应查尽查，除常规的当事人、知情人笔录外，大额案件及可疑案件还需现场核查，调查需留痕，核查结果准确可信，并按要求做好核查、统计台账。</w:t>
      </w:r>
    </w:p>
    <w:p>
      <w:pPr>
        <w:shd w:val="clear" w:color="auto" w:fill="FFFFFF"/>
        <w:snapToGrid w:val="0"/>
        <w:spacing w:line="380" w:lineRule="exact"/>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（七）其它服务要求</w:t>
      </w:r>
    </w:p>
    <w:p>
      <w:pPr>
        <w:pStyle w:val="59"/>
        <w:shd w:val="clear" w:color="auto" w:fill="FFFFFF"/>
        <w:snapToGrid w:val="0"/>
        <w:spacing w:line="380" w:lineRule="exact"/>
        <w:ind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1、中标人配合采购人做好职工基本医疗保险政策宣传工作，并提供人员、车辆协助做好温岭市外意外伤害住院调查工作。</w:t>
      </w:r>
    </w:p>
    <w:p>
      <w:pPr>
        <w:pStyle w:val="59"/>
        <w:shd w:val="clear" w:color="auto" w:fill="FFFFFF"/>
        <w:snapToGrid w:val="0"/>
        <w:spacing w:line="380" w:lineRule="exact"/>
        <w:ind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2、中标人对审核的资料、信息操作系统必须落实安全和保密责任，承诺所有涉及相关项目内容不用于其它领域。     </w:t>
      </w:r>
    </w:p>
    <w:p>
      <w:pPr>
        <w:pStyle w:val="59"/>
        <w:shd w:val="clear" w:color="auto" w:fill="FFFFFF"/>
        <w:snapToGrid w:val="0"/>
        <w:spacing w:line="380" w:lineRule="exact"/>
        <w:ind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3、中标人开展意外伤害现场核查，要求做到应查尽查，并有留痕，核查结果准确可信。  </w:t>
      </w:r>
    </w:p>
    <w:p>
      <w:pPr>
        <w:pStyle w:val="59"/>
        <w:shd w:val="clear" w:color="auto" w:fill="FFFFFF"/>
        <w:snapToGrid w:val="0"/>
        <w:spacing w:line="380" w:lineRule="exact"/>
        <w:ind w:firstLineChars="17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4、中标人开展医疗费用调查，经调查审核，对被保险人不符合意外伤害补偿者，中标人必须出具有效结论并负责解释，报采购人备案。若被保险人有争议，由采购人进行核实确定。</w:t>
      </w:r>
    </w:p>
    <w:p>
      <w:pPr>
        <w:pStyle w:val="59"/>
        <w:shd w:val="clear" w:color="auto" w:fill="FFFFFF"/>
        <w:snapToGrid w:val="0"/>
        <w:spacing w:line="380" w:lineRule="exact"/>
        <w:ind w:left="420"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5、中标人要向采购人每月提供项目营运分析报告以及被保险人详细资料和报表等；</w:t>
      </w:r>
    </w:p>
    <w:p>
      <w:pPr>
        <w:pStyle w:val="59"/>
        <w:shd w:val="clear" w:color="auto" w:fill="FFFFFF"/>
        <w:snapToGrid w:val="0"/>
        <w:spacing w:line="380" w:lineRule="exact"/>
        <w:ind w:left="420"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6、其他采购方要求的医保业务。</w:t>
      </w:r>
    </w:p>
    <w:p>
      <w:pPr>
        <w:pStyle w:val="59"/>
        <w:shd w:val="clear" w:color="auto" w:fill="FFFFFF"/>
        <w:snapToGrid w:val="0"/>
        <w:spacing w:line="38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（八）实行年终考核制度。年终时采购人对中标人在投标时的承诺实行考核，考核结果与年度保险费的2%挂钩。</w:t>
      </w:r>
    </w:p>
    <w:p>
      <w:pPr>
        <w:pStyle w:val="59"/>
        <w:shd w:val="clear" w:color="auto" w:fill="FFFFFF"/>
        <w:snapToGrid w:val="0"/>
        <w:spacing w:line="380" w:lineRule="exact"/>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考核得分80分及以上的，全额返还剩余2%的年度保险费；得分在80分以下60分及以上的，每减少1分，扣减2%的年度保险费的3%；考核低于60分的，剩余2%的年度保险费不予返还。</w:t>
      </w:r>
    </w:p>
    <w:p>
      <w:pPr>
        <w:shd w:val="clear" w:color="auto" w:fill="FFFFFF"/>
        <w:snapToGrid w:val="0"/>
        <w:spacing w:line="380" w:lineRule="exact"/>
        <w:ind w:firstLine="360" w:firstLineChars="150"/>
        <w:rPr>
          <w:rFonts w:cs="宋体" w:asciiTheme="minorEastAsia" w:hAnsiTheme="minorEastAsia" w:eastAsiaTheme="minorEastAsia"/>
          <w:sz w:val="24"/>
        </w:rPr>
      </w:pPr>
    </w:p>
    <w:tbl>
      <w:tblPr>
        <w:tblStyle w:val="22"/>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3427"/>
        <w:gridCol w:w="3772"/>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70" w:type="dxa"/>
            <w:gridSpan w:val="4"/>
            <w:vMerge w:val="restart"/>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b/>
                <w:color w:val="000000"/>
                <w:sz w:val="32"/>
                <w:szCs w:val="32"/>
              </w:rPr>
            </w:pPr>
            <w:r>
              <w:rPr>
                <w:rFonts w:hint="eastAsia" w:cs="仿宋" w:asciiTheme="minorEastAsia" w:hAnsiTheme="minorEastAsia" w:eastAsiaTheme="minorEastAsia"/>
                <w:b/>
                <w:color w:val="000000"/>
                <w:kern w:val="0"/>
                <w:sz w:val="32"/>
                <w:szCs w:val="32"/>
              </w:rPr>
              <w:t>职工医保意外伤害承保合作项目管理考核标准表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070" w:type="dxa"/>
            <w:gridSpan w:val="4"/>
            <w:vMerge w:val="continue"/>
            <w:tcBorders>
              <w:tl2br w:val="nil"/>
              <w:tr2bl w:val="nil"/>
            </w:tcBorders>
            <w:tcMar>
              <w:top w:w="15" w:type="dxa"/>
              <w:left w:w="15" w:type="dxa"/>
              <w:right w:w="15" w:type="dxa"/>
            </w:tcMar>
            <w:vAlign w:val="center"/>
          </w:tcPr>
          <w:p>
            <w:pPr>
              <w:jc w:val="center"/>
              <w:rPr>
                <w:rFonts w:cs="仿宋" w:asciiTheme="minorEastAsia" w:hAnsiTheme="minorEastAsia" w:eastAsiaTheme="minorEastAsia"/>
                <w:b/>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序号</w:t>
            </w:r>
          </w:p>
        </w:tc>
        <w:tc>
          <w:tcPr>
            <w:tcW w:w="3427"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考核内容</w:t>
            </w:r>
          </w:p>
        </w:tc>
        <w:tc>
          <w:tcPr>
            <w:tcW w:w="3772"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考核评分方法</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保险公司必须严格执行《台州市人民政府办公室关于印发台州市全民医疗保险办法的通知》（台政办发[2018]79号）、《台州市全民医疗保险办法实施细则》（台医保发〔2018〕1号）等文件精神，按照规定办理参保人员意外伤害保险业务。</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未按实施细则要求操作的，每次扣2分。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2</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成立项目服务小组，成员须包括总经理或分管副总经理和相关人员，专门设立意外伤害查勘机构，并配备专人具体负责勘查机构管理工作。</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听取中标公司介绍，查阅有关文件记录。没有明确分管领导的扣1分；未设查勘机构的扣1分；无专人负责的扣1分；已出台文件，但人员落实未到位的扣1分。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3</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中标公司原则上需配备8名以上专职人员，其中3名以上具有医学相关专业的人员专门负责意外伤害调查取证和材料审核等工作。</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配备到岗人员每缺1名扣1分。中标保险公司须提供相关人员的毕业证书、职称证书、执业证书及复印件。人员调整未及时告知的，每例扣0.5分。未提供相关证件的扣1分。若有违反工作纪律的，每例扣1分。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4</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中标公司配备一定数量的专职车辆用于意外伤害业务的日常查勘稽核。</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中标公司能够提供2辆专门用于查勘稽核监管车辆的得6分，每减少一辆扣3分，不提供的不得分。因车况问题导致不能正常使用的，每次扣0.5分。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5</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中标公司受理参保人员申请后，需及时进行现场核查、资料审核，办理时效为市内两个工作日。</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时效性：结合医保经办机构平时记录情况扣分，参保人对查勘、审核时效提出异议的有效投诉每一例扣1分。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6</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现场核查率：现场核查需留痕，需提供现场核查照片、当事人及知情人笔录、调查台账。</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总费用&gt;3万的达100%的得15分，总费用&gt;1万且&lt;3万的达30%的得8分，总费用&lt;1万的达5%的得45分。每减少1%扣1分，每增加5%加1分。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7</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意外伤害核查差错率</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低于0.3%的得15分，每增加1例扣1分。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8</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中标保险公司须每月提供项目营运分析报告以及被保险人详细资料和报表等资料。</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听取中标保险公司介绍，询问相关人员，查看有关报表资料。不进行定期分析的扣1分；参保人员资料管理不规范的扣1分；有关报告、报表不及时上报或不准确的分别扣1分。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08" w:type="dxa"/>
            <w:tcBorders>
              <w:tl2br w:val="nil"/>
              <w:tr2bl w:val="nil"/>
            </w:tcBorders>
            <w:noWrap/>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9</w:t>
            </w:r>
          </w:p>
        </w:tc>
        <w:tc>
          <w:tcPr>
            <w:tcW w:w="3427"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中标公司承诺方案实施。</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对中标公司服务保障方案等承诺的情况进行检查，未兑现的每项扣2分。</w:t>
            </w:r>
          </w:p>
        </w:tc>
        <w:tc>
          <w:tcPr>
            <w:tcW w:w="863" w:type="dxa"/>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color w:val="000000"/>
                <w:kern w:val="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10</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中标公司在无特殊情况下收到赔款结算表10个工作日内，须将实际发生的该期赔款结算费用划到医保经办机构。</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中标公司须在规定的时间内完成，若超过规定时间，每次扣2分。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11</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建立配套信访投诉台账资料。积极调解医疗保险纠纷，有效控制服务对象投诉。在医保政策允许范围内，接受医保经办机构调解建议方案。</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查看有关台账资料。未建立信访投诉台账资料的扣1分；纠纷调解、投诉举报未及时妥善处理的，每次扣1分；未接受医保经办机构调解建议方案每例扣1分。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12</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对意外伤害审核的资料、信息操作系统落实安全和保密责任，所有涉及的相关项目内容不得用于其它领域。</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对相关资料及信息操作系统未落实安全和保密责任的，不得分。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008"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13</w:t>
            </w:r>
          </w:p>
        </w:tc>
        <w:tc>
          <w:tcPr>
            <w:tcW w:w="3427"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能为基本医疗保险业务提供增值服务。</w:t>
            </w:r>
          </w:p>
        </w:tc>
        <w:tc>
          <w:tcPr>
            <w:tcW w:w="3772" w:type="dxa"/>
            <w:tcBorders>
              <w:tl2br w:val="nil"/>
              <w:tr2bl w:val="nil"/>
            </w:tcBorders>
            <w:tcMar>
              <w:top w:w="15" w:type="dxa"/>
              <w:left w:w="15" w:type="dxa"/>
              <w:right w:w="15" w:type="dxa"/>
            </w:tcMar>
            <w:vAlign w:val="center"/>
          </w:tcPr>
          <w:p>
            <w:pPr>
              <w:widowControl/>
              <w:jc w:val="left"/>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询问有关人员，抽查有关资料，能提供相关增值服务的得2分。增值服务未及时完成的每例（项）扣1分。没有增值服务的不得分。</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207" w:type="dxa"/>
            <w:gridSpan w:val="3"/>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合计</w:t>
            </w:r>
          </w:p>
        </w:tc>
        <w:tc>
          <w:tcPr>
            <w:tcW w:w="863" w:type="dxa"/>
            <w:tcBorders>
              <w:tl2br w:val="nil"/>
              <w:tr2bl w:val="nil"/>
            </w:tcBorders>
            <w:tcMar>
              <w:top w:w="15" w:type="dxa"/>
              <w:left w:w="15" w:type="dxa"/>
              <w:right w:w="15" w:type="dxa"/>
            </w:tcMar>
            <w:vAlign w:val="center"/>
          </w:tcPr>
          <w:p>
            <w:pPr>
              <w:widowControl/>
              <w:jc w:val="center"/>
              <w:textAlignment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kern w:val="0"/>
                <w:sz w:val="24"/>
              </w:rPr>
              <w:t>100</w:t>
            </w:r>
          </w:p>
        </w:tc>
      </w:tr>
    </w:tbl>
    <w:p>
      <w:pPr>
        <w:spacing w:line="500" w:lineRule="exact"/>
        <w:ind w:firstLine="723" w:firstLineChars="200"/>
        <w:rPr>
          <w:rFonts w:asciiTheme="minorEastAsia" w:hAnsiTheme="minorEastAsia" w:eastAsiaTheme="minorEastAsia"/>
          <w:b/>
          <w:sz w:val="36"/>
          <w:szCs w:val="36"/>
        </w:rPr>
      </w:pPr>
      <w:bookmarkStart w:id="40" w:name="_Toc31173_WPSOffice_Level1"/>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42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6"/>
          <w:szCs w:val="36"/>
        </w:rPr>
        <w:t>第四章  评标</w:t>
      </w:r>
      <w:bookmarkEnd w:id="40"/>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0"/>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8"/>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（十）商务</w:t>
      </w:r>
      <w:r>
        <w:rPr>
          <w:rFonts w:hint="eastAsia" w:ascii="宋体" w:hAnsi="宋体" w:cs="宋体"/>
          <w:sz w:val="24"/>
          <w:szCs w:val="24"/>
        </w:rPr>
        <w:t>条款不响应的；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（十一）投标文件有效期不足的；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（十二）逾期或未按要求提交投标文件的；</w:t>
      </w:r>
    </w:p>
    <w:p>
      <w:pPr>
        <w:pStyle w:val="8"/>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（十三）其他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3"/>
        <w:numPr>
          <w:ilvl w:val="0"/>
          <w:numId w:val="9"/>
        </w:numPr>
        <w:snapToGrid w:val="0"/>
        <w:spacing w:line="360" w:lineRule="auto"/>
        <w:ind w:firstLine="482" w:firstLineChars="200"/>
        <w:rPr>
          <w:rFonts w:hAnsi="宋体" w:cs="宋体"/>
          <w:b/>
          <w:bCs/>
          <w:sz w:val="24"/>
        </w:rPr>
      </w:pPr>
      <w:r>
        <w:rPr>
          <w:rFonts w:hint="eastAsia" w:hAnsi="宋体" w:cs="宋体"/>
          <w:b/>
          <w:bCs/>
          <w:sz w:val="24"/>
        </w:rPr>
        <w:t>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见附件9</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rPr>
      </w:pPr>
      <w:r>
        <w:rPr>
          <w:rFonts w:hint="eastAsia" w:ascii="宋体"/>
          <w:sz w:val="24"/>
        </w:rPr>
        <w:t>在服务采购项目中，服务由中小企业承接，即提供服务的人员为中小企业依照《中华人民共和国劳动合同法》 订立劳动合同的从业人员。</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11</w:t>
      </w:r>
      <w:r>
        <w:rPr>
          <w:rFonts w:hint="eastAsia" w:ascii="宋体"/>
          <w:sz w:val="24"/>
          <w:lang w:val="zh-CN"/>
        </w:rPr>
        <w:t>），视同小型、微型企业，享受小微企业政府采购优惠政策；</w:t>
      </w:r>
    </w:p>
    <w:p>
      <w:pPr>
        <w:pStyle w:val="10"/>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10"/>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lang w:val="zh-CN"/>
        </w:rPr>
      </w:pPr>
      <w:r>
        <w:rPr>
          <w:rFonts w:hint="eastAsia" w:ascii="宋体"/>
          <w:sz w:val="24"/>
          <w:lang w:val="zh-CN"/>
        </w:rPr>
        <w:t>经主管预算单位统筹后未预留份额专门面向中小企业采购的采购项目，以及预留份额项目中的非预留部分：</w:t>
      </w:r>
      <w:r>
        <w:rPr>
          <w:rFonts w:hint="eastAsia" w:ascii="宋体"/>
          <w:sz w:val="24"/>
        </w:rPr>
        <w:t>对</w:t>
      </w:r>
      <w:r>
        <w:rPr>
          <w:rFonts w:hint="eastAsia" w:ascii="宋体"/>
          <w:sz w:val="24"/>
          <w:lang w:val="zh-CN"/>
        </w:rPr>
        <w:t>小微企业</w:t>
      </w:r>
      <w:r>
        <w:rPr>
          <w:rFonts w:hint="eastAsia" w:ascii="宋体"/>
          <w:sz w:val="24"/>
        </w:rPr>
        <w:t>报价</w:t>
      </w:r>
      <w:r>
        <w:rPr>
          <w:rFonts w:hint="eastAsia" w:ascii="宋体"/>
          <w:sz w:val="24"/>
          <w:lang w:val="zh-CN"/>
        </w:rPr>
        <w:t>给予</w:t>
      </w:r>
      <w:r>
        <w:rPr>
          <w:rFonts w:hint="eastAsia" w:ascii="宋体"/>
          <w:sz w:val="24"/>
          <w:u w:val="single"/>
          <w:lang w:val="zh-CN"/>
        </w:rPr>
        <w:t xml:space="preserve"> </w:t>
      </w:r>
      <w:r>
        <w:rPr>
          <w:rFonts w:hint="eastAsia" w:ascii="宋体"/>
          <w:sz w:val="24"/>
          <w:u w:val="single"/>
        </w:rPr>
        <w:t>2</w:t>
      </w:r>
      <w:r>
        <w:rPr>
          <w:rFonts w:hint="eastAsia" w:ascii="宋体"/>
          <w:sz w:val="24"/>
          <w:u w:val="single"/>
          <w:lang w:val="zh-CN"/>
        </w:rPr>
        <w:t>0 %</w:t>
      </w:r>
      <w:r>
        <w:rPr>
          <w:rFonts w:hint="eastAsia" w:ascii="宋体"/>
          <w:sz w:val="24"/>
          <w:lang w:val="zh-CN"/>
        </w:rPr>
        <w:t>的扣除，用扣除后的价格计算评标基准价和投标报价。同一投标人，小微企业、监狱企业、残疾人福利性单位价格扣除优惠只享受一次，不得重复享受。</w:t>
      </w:r>
    </w:p>
    <w:p>
      <w:pPr>
        <w:pStyle w:val="13"/>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0"/>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5"/>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具有独立承担民事责任的能力</w:t>
            </w:r>
          </w:p>
        </w:tc>
        <w:tc>
          <w:tcPr>
            <w:tcW w:w="6954" w:type="dxa"/>
            <w:shd w:val="clear" w:color="auto" w:fill="auto"/>
            <w:tcMar>
              <w:top w:w="57" w:type="dxa"/>
              <w:left w:w="108" w:type="dxa"/>
              <w:bottom w:w="0" w:type="dxa"/>
              <w:right w:w="108" w:type="dxa"/>
            </w:tcMar>
            <w:vAlign w:val="center"/>
          </w:tcPr>
          <w:p>
            <w:pPr>
              <w:spacing w:line="300" w:lineRule="auto"/>
              <w:ind w:firstLine="480" w:firstLineChars="200"/>
              <w:rPr>
                <w:sz w:val="24"/>
              </w:rPr>
            </w:pPr>
            <w:r>
              <w:rPr>
                <w:rFonts w:hint="eastAsia"/>
                <w:sz w:val="24"/>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提供财务状况报告、依法缴纳税收和社会保障资金记录、履行合同所必需的设备和专业技术能力等证明材料</w:t>
            </w:r>
          </w:p>
        </w:tc>
        <w:tc>
          <w:tcPr>
            <w:tcW w:w="6954"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符合参与政府采购活动资格条件的，需要供应商书面提供《承诺书》</w:t>
            </w:r>
            <w:r>
              <w:rPr>
                <w:rFonts w:hint="eastAsia" w:ascii="宋体" w:cs="宋体"/>
                <w:sz w:val="24"/>
              </w:rPr>
              <w:t>（</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35" w:type="dxa"/>
            <w:shd w:val="clear" w:color="auto" w:fill="auto"/>
            <w:tcMar>
              <w:top w:w="57" w:type="dxa"/>
              <w:left w:w="108" w:type="dxa"/>
              <w:bottom w:w="0" w:type="dxa"/>
              <w:right w:w="108" w:type="dxa"/>
            </w:tcMar>
            <w:vAlign w:val="center"/>
          </w:tcPr>
          <w:p>
            <w:pPr>
              <w:pStyle w:val="49"/>
              <w:spacing w:line="300" w:lineRule="auto"/>
              <w:ind w:right="146"/>
              <w:jc w:val="center"/>
              <w:rPr>
                <w:sz w:val="24"/>
              </w:rPr>
            </w:pPr>
            <w:r>
              <w:rPr>
                <w:rFonts w:hint="eastAsia"/>
                <w:sz w:val="24"/>
              </w:rPr>
              <w:t>法定代表人/负责人授权委托书</w:t>
            </w:r>
          </w:p>
        </w:tc>
        <w:tc>
          <w:tcPr>
            <w:tcW w:w="6954" w:type="dxa"/>
            <w:shd w:val="clear" w:color="auto" w:fill="auto"/>
            <w:tcMar>
              <w:top w:w="57" w:type="dxa"/>
              <w:left w:w="108" w:type="dxa"/>
              <w:bottom w:w="0" w:type="dxa"/>
              <w:right w:w="108" w:type="dxa"/>
            </w:tcMar>
            <w:vAlign w:val="center"/>
          </w:tcPr>
          <w:p>
            <w:pPr>
              <w:pStyle w:val="10"/>
              <w:spacing w:line="300" w:lineRule="auto"/>
              <w:ind w:left="15" w:leftChars="7" w:right="-17" w:rightChars="-8" w:firstLine="460" w:firstLineChars="192"/>
              <w:rPr>
                <w:rFonts w:ascii="宋体" w:hAnsi="宋体" w:cs="宋体"/>
                <w:sz w:val="24"/>
              </w:rPr>
            </w:pPr>
            <w:r>
              <w:rPr>
                <w:rFonts w:hint="eastAsia" w:ascii="宋体" w:hAnsi="宋体" w:cs="宋体"/>
                <w:sz w:val="24"/>
              </w:rPr>
              <w:t>法定代表人/负责人授权委托书，按对应格式文件签署、盖章。</w:t>
            </w:r>
            <w:r>
              <w:rPr>
                <w:rFonts w:hint="eastAsia"/>
                <w:sz w:val="24"/>
              </w:rPr>
              <w:t>（</w:t>
            </w:r>
            <w:r>
              <w:rPr>
                <w:rFonts w:hint="eastAsia"/>
                <w:kern w:val="0"/>
                <w:sz w:val="24"/>
              </w:rPr>
              <w:t>格式见附件2</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参加采购活动前3年内，在经营活动中没有重大违法记录</w:t>
            </w:r>
          </w:p>
        </w:tc>
        <w:tc>
          <w:tcPr>
            <w:tcW w:w="6954" w:type="dxa"/>
            <w:shd w:val="clear" w:color="auto" w:fill="auto"/>
            <w:tcMar>
              <w:top w:w="57" w:type="dxa"/>
              <w:left w:w="108" w:type="dxa"/>
              <w:bottom w:w="0" w:type="dxa"/>
              <w:right w:w="108" w:type="dxa"/>
            </w:tcMar>
            <w:vAlign w:val="center"/>
          </w:tcPr>
          <w:p>
            <w:pPr>
              <w:spacing w:line="300" w:lineRule="auto"/>
              <w:ind w:firstLine="480" w:firstLineChars="200"/>
              <w:rPr>
                <w:sz w:val="24"/>
              </w:rPr>
            </w:pPr>
            <w:r>
              <w:rPr>
                <w:rFonts w:hint="eastAsia"/>
                <w:sz w:val="24"/>
              </w:rPr>
              <w:t>参照《投标声明书》相关承诺内容。重大违法记录，是指投标人因违法经营受到刑事处罚或者责令停产停业、吊销许可证或者执照、较大数额罚款等行政处罚。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必须符合法律、行政法规规定的其他条件</w:t>
            </w:r>
          </w:p>
        </w:tc>
        <w:tc>
          <w:tcPr>
            <w:tcW w:w="6954" w:type="dxa"/>
            <w:shd w:val="clear" w:color="auto" w:fill="auto"/>
            <w:tcMar>
              <w:top w:w="57" w:type="dxa"/>
              <w:left w:w="108" w:type="dxa"/>
              <w:bottom w:w="0" w:type="dxa"/>
              <w:right w:w="108" w:type="dxa"/>
            </w:tcMar>
            <w:vAlign w:val="center"/>
          </w:tcPr>
          <w:p>
            <w:pPr>
              <w:spacing w:line="300" w:lineRule="auto"/>
              <w:ind w:firstLine="480" w:firstLineChars="200"/>
              <w:rPr>
                <w:sz w:val="24"/>
              </w:rPr>
            </w:pPr>
            <w:r>
              <w:rPr>
                <w:rFonts w:hint="eastAsia"/>
                <w:sz w:val="24"/>
              </w:rPr>
              <w:t>1.单位负责人为同一人或者存在直接控股、管理关系的不同供应商，不得同时参加本项目投标。</w:t>
            </w:r>
          </w:p>
          <w:p>
            <w:pPr>
              <w:spacing w:line="300" w:lineRule="auto"/>
              <w:ind w:firstLine="480" w:firstLineChars="200"/>
              <w:rPr>
                <w:sz w:val="24"/>
              </w:rPr>
            </w:pPr>
            <w:r>
              <w:rPr>
                <w:rFonts w:hint="eastAsia"/>
                <w:sz w:val="24"/>
              </w:rPr>
              <w:t>2.为本项目提供整体设计、规范编制或者项目管理、监理、检测等服务的供应商，不得再参与本项目投标。</w:t>
            </w:r>
          </w:p>
          <w:p>
            <w:pPr>
              <w:spacing w:line="300" w:lineRule="auto"/>
              <w:ind w:firstLine="480" w:firstLineChars="200"/>
              <w:rPr>
                <w:sz w:val="24"/>
              </w:rPr>
            </w:pPr>
            <w:r>
              <w:rPr>
                <w:rFonts w:hint="eastAsia"/>
                <w:sz w:val="24"/>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2235" w:type="dxa"/>
            <w:shd w:val="clear" w:color="auto" w:fill="auto"/>
            <w:tcMar>
              <w:top w:w="57" w:type="dxa"/>
              <w:left w:w="108" w:type="dxa"/>
              <w:bottom w:w="0" w:type="dxa"/>
              <w:right w:w="108" w:type="dxa"/>
            </w:tcMar>
            <w:vAlign w:val="center"/>
          </w:tcPr>
          <w:p>
            <w:pPr>
              <w:widowControl/>
              <w:snapToGrid w:val="0"/>
              <w:spacing w:line="340" w:lineRule="exact"/>
              <w:rPr>
                <w:sz w:val="24"/>
              </w:rPr>
            </w:pPr>
            <w:r>
              <w:rPr>
                <w:rFonts w:hint="eastAsia" w:ascii="宋体" w:hAnsi="宋体" w:cs="宋体"/>
                <w:kern w:val="0"/>
                <w:sz w:val="24"/>
              </w:rPr>
              <w:t>总公司授权委托书</w:t>
            </w:r>
          </w:p>
        </w:tc>
        <w:tc>
          <w:tcPr>
            <w:tcW w:w="6954" w:type="dxa"/>
            <w:shd w:val="clear" w:color="auto" w:fill="auto"/>
            <w:tcMar>
              <w:top w:w="57" w:type="dxa"/>
              <w:left w:w="108" w:type="dxa"/>
              <w:bottom w:w="0" w:type="dxa"/>
              <w:right w:w="108" w:type="dxa"/>
            </w:tcMar>
            <w:vAlign w:val="center"/>
          </w:tcPr>
          <w:p>
            <w:pPr>
              <w:widowControl/>
              <w:snapToGrid w:val="0"/>
              <w:spacing w:line="340" w:lineRule="exact"/>
              <w:rPr>
                <w:sz w:val="24"/>
              </w:rPr>
            </w:pPr>
            <w:r>
              <w:rPr>
                <w:rFonts w:hint="eastAsia" w:ascii="宋体" w:hAnsi="宋体" w:cs="宋体"/>
                <w:kern w:val="0"/>
                <w:sz w:val="24"/>
              </w:rPr>
              <w:t>商业保险公司分支机构参加投标时，必须得到商业保险机构总公司授权同意分支机构参与项目的授权。备注：保险行业的全国性企业所设立的区域性分支机构参加投标，请按照浙江省财政厅《关于规范政府采购供应商资格设定及资格审查的通知》（浙财采监</w:t>
            </w:r>
            <w:r>
              <w:rPr>
                <w:rFonts w:ascii="宋体" w:hAnsi="宋体" w:cs="宋体"/>
                <w:kern w:val="0"/>
                <w:sz w:val="24"/>
              </w:rPr>
              <w:t>[2013]24</w:t>
            </w:r>
            <w:r>
              <w:rPr>
                <w:rFonts w:hint="eastAsia" w:ascii="宋体" w:hAnsi="宋体" w:cs="宋体"/>
                <w:kern w:val="0"/>
                <w:sz w:val="24"/>
              </w:rPr>
              <w:t>号）要求执行。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2235" w:type="dxa"/>
            <w:shd w:val="clear" w:color="auto" w:fill="auto"/>
            <w:tcMar>
              <w:top w:w="57" w:type="dxa"/>
              <w:left w:w="108" w:type="dxa"/>
              <w:bottom w:w="0" w:type="dxa"/>
              <w:right w:w="108" w:type="dxa"/>
            </w:tcMar>
            <w:vAlign w:val="center"/>
          </w:tcPr>
          <w:p>
            <w:pPr>
              <w:widowControl/>
              <w:snapToGrid w:val="0"/>
              <w:spacing w:line="340" w:lineRule="exact"/>
              <w:rPr>
                <w:rFonts w:ascii="宋体" w:hAnsi="宋体" w:cs="宋体"/>
                <w:kern w:val="0"/>
                <w:sz w:val="24"/>
              </w:rPr>
            </w:pPr>
            <w:r>
              <w:rPr>
                <w:rFonts w:hint="eastAsia" w:ascii="宋体" w:hAnsi="宋体" w:cs="宋体"/>
                <w:kern w:val="0"/>
                <w:sz w:val="24"/>
              </w:rPr>
              <w:t>《经营保险业务许可证》</w:t>
            </w:r>
          </w:p>
        </w:tc>
        <w:tc>
          <w:tcPr>
            <w:tcW w:w="6954" w:type="dxa"/>
            <w:shd w:val="clear" w:color="auto" w:fill="auto"/>
            <w:tcMar>
              <w:top w:w="57" w:type="dxa"/>
              <w:left w:w="108" w:type="dxa"/>
              <w:bottom w:w="0" w:type="dxa"/>
              <w:right w:w="108" w:type="dxa"/>
            </w:tcMar>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p>
            <w:pPr>
              <w:widowControl/>
              <w:snapToGrid w:val="0"/>
              <w:spacing w:line="340" w:lineRule="exact"/>
              <w:rPr>
                <w:rFonts w:ascii="宋体" w:hAnsi="宋体" w:cs="宋体"/>
                <w:kern w:val="0"/>
                <w:sz w:val="24"/>
              </w:rPr>
            </w:pPr>
            <w:r>
              <w:rPr>
                <w:rFonts w:hint="eastAsia" w:ascii="宋体" w:hAnsi="宋体" w:cs="宋体"/>
                <w:kern w:val="0"/>
                <w:sz w:val="24"/>
              </w:rPr>
              <w:t>（经营范围需同时涵盖意外伤害保险、短期健康保险等业务）。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2235" w:type="dxa"/>
            <w:shd w:val="clear" w:color="auto" w:fill="auto"/>
            <w:tcMar>
              <w:top w:w="57" w:type="dxa"/>
              <w:left w:w="108" w:type="dxa"/>
              <w:bottom w:w="0" w:type="dxa"/>
              <w:right w:w="108" w:type="dxa"/>
            </w:tcMar>
            <w:vAlign w:val="center"/>
          </w:tcPr>
          <w:p>
            <w:pPr>
              <w:widowControl/>
              <w:snapToGrid w:val="0"/>
              <w:spacing w:line="340" w:lineRule="exact"/>
              <w:rPr>
                <w:rFonts w:ascii="宋体" w:hAnsi="宋体" w:cs="宋体"/>
                <w:kern w:val="0"/>
                <w:sz w:val="24"/>
              </w:rPr>
            </w:pPr>
            <w:r>
              <w:rPr>
                <w:rFonts w:hint="eastAsia" w:ascii="宋体" w:hAnsi="宋体" w:cs="宋体"/>
                <w:kern w:val="0"/>
                <w:sz w:val="24"/>
              </w:rPr>
              <w:t>《联合体投标协议》</w:t>
            </w:r>
          </w:p>
        </w:tc>
        <w:tc>
          <w:tcPr>
            <w:tcW w:w="6954" w:type="dxa"/>
            <w:shd w:val="clear" w:color="auto" w:fill="auto"/>
            <w:tcMar>
              <w:top w:w="57" w:type="dxa"/>
              <w:left w:w="108" w:type="dxa"/>
              <w:bottom w:w="0" w:type="dxa"/>
              <w:right w:w="108" w:type="dxa"/>
            </w:tcMar>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p>
            <w:pPr>
              <w:widowControl/>
              <w:snapToGrid w:val="0"/>
              <w:spacing w:line="340" w:lineRule="exact"/>
              <w:rPr>
                <w:rFonts w:ascii="宋体" w:hAnsi="宋体" w:cs="宋体"/>
                <w:kern w:val="0"/>
                <w:sz w:val="24"/>
              </w:rPr>
            </w:pPr>
            <w:r>
              <w:rPr>
                <w:rFonts w:hint="eastAsia" w:ascii="宋体" w:hAnsi="宋体" w:cs="宋体"/>
                <w:kern w:val="0"/>
                <w:sz w:val="24"/>
              </w:rPr>
              <w:t>如果是联合体（最多2家）需要提供。并明确承担的比例。（联合体中应以承担比例高者为本项目投标人，其他联合体成员也必须符合前两条规定并提供相关资料。）</w:t>
            </w:r>
          </w:p>
        </w:tc>
      </w:tr>
    </w:tbl>
    <w:p>
      <w:pPr>
        <w:pStyle w:val="10"/>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0"/>
        <w:spacing w:line="360" w:lineRule="auto"/>
        <w:ind w:firstLine="480" w:firstLineChars="200"/>
        <w:jc w:val="both"/>
        <w:rPr>
          <w:rFonts w:asciiTheme="minorEastAsia" w:hAnsiTheme="minorEastAsia" w:eastAsiaTheme="minorEastAsia"/>
          <w:color w:val="FF0000"/>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p>
    <w:tbl>
      <w:tblPr>
        <w:tblStyle w:val="22"/>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5"/>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5" w:type="dxa"/>
            <w:shd w:val="clear" w:color="auto" w:fill="auto"/>
            <w:tcMar>
              <w:top w:w="57" w:type="dxa"/>
              <w:left w:w="108" w:type="dxa"/>
              <w:bottom w:w="0" w:type="dxa"/>
              <w:right w:w="108" w:type="dxa"/>
            </w:tcMar>
            <w:vAlign w:val="center"/>
          </w:tcPr>
          <w:p>
            <w:pPr>
              <w:pStyle w:val="49"/>
              <w:spacing w:line="300" w:lineRule="auto"/>
              <w:ind w:right="146"/>
              <w:jc w:val="center"/>
              <w:rPr>
                <w:sz w:val="24"/>
              </w:rPr>
            </w:pPr>
            <w:r>
              <w:rPr>
                <w:rFonts w:hint="eastAsia"/>
                <w:sz w:val="24"/>
              </w:rPr>
              <w:t>“▲”实质性条款</w:t>
            </w:r>
          </w:p>
        </w:tc>
        <w:tc>
          <w:tcPr>
            <w:tcW w:w="6943" w:type="dxa"/>
            <w:shd w:val="clear" w:color="auto" w:fill="auto"/>
            <w:tcMar>
              <w:top w:w="57" w:type="dxa"/>
              <w:left w:w="108" w:type="dxa"/>
              <w:bottom w:w="0" w:type="dxa"/>
              <w:right w:w="108" w:type="dxa"/>
            </w:tcMar>
            <w:vAlign w:val="center"/>
          </w:tcPr>
          <w:p>
            <w:pPr>
              <w:pStyle w:val="49"/>
              <w:spacing w:before="48" w:line="300" w:lineRule="auto"/>
              <w:ind w:firstLine="480" w:firstLineChars="200"/>
              <w:rPr>
                <w:sz w:val="24"/>
              </w:rPr>
            </w:pPr>
            <w:r>
              <w:rPr>
                <w:rFonts w:hint="eastAsia"/>
                <w:sz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5" w:type="dxa"/>
            <w:shd w:val="clear" w:color="auto" w:fill="auto"/>
            <w:tcMar>
              <w:top w:w="57" w:type="dxa"/>
              <w:left w:w="108" w:type="dxa"/>
              <w:bottom w:w="0" w:type="dxa"/>
              <w:right w:w="108" w:type="dxa"/>
            </w:tcMar>
            <w:vAlign w:val="center"/>
          </w:tcPr>
          <w:p>
            <w:pPr>
              <w:pStyle w:val="49"/>
              <w:spacing w:line="300" w:lineRule="auto"/>
              <w:ind w:right="146"/>
              <w:jc w:val="center"/>
              <w:rPr>
                <w:sz w:val="24"/>
              </w:rPr>
            </w:pPr>
            <w:r>
              <w:rPr>
                <w:rFonts w:hint="eastAsia"/>
                <w:sz w:val="24"/>
              </w:rPr>
              <w:t>串通投标</w:t>
            </w:r>
          </w:p>
        </w:tc>
        <w:tc>
          <w:tcPr>
            <w:tcW w:w="6943" w:type="dxa"/>
            <w:shd w:val="clear" w:color="auto" w:fill="auto"/>
            <w:tcMar>
              <w:top w:w="57" w:type="dxa"/>
              <w:left w:w="108" w:type="dxa"/>
              <w:bottom w:w="0" w:type="dxa"/>
              <w:right w:w="108" w:type="dxa"/>
            </w:tcMar>
            <w:vAlign w:val="center"/>
          </w:tcPr>
          <w:p>
            <w:pPr>
              <w:pStyle w:val="49"/>
              <w:spacing w:before="48" w:line="300" w:lineRule="auto"/>
              <w:ind w:firstLine="480" w:firstLineChars="200"/>
              <w:rPr>
                <w:sz w:val="24"/>
              </w:rPr>
            </w:pPr>
            <w:r>
              <w:rPr>
                <w:rFonts w:hint="eastAsia"/>
                <w:sz w:val="24"/>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5" w:type="dxa"/>
            <w:shd w:val="clear" w:color="auto" w:fill="auto"/>
            <w:tcMar>
              <w:top w:w="57" w:type="dxa"/>
              <w:left w:w="108" w:type="dxa"/>
              <w:bottom w:w="0" w:type="dxa"/>
              <w:right w:w="108" w:type="dxa"/>
            </w:tcMar>
            <w:vAlign w:val="center"/>
          </w:tcPr>
          <w:p>
            <w:pPr>
              <w:pStyle w:val="49"/>
              <w:spacing w:line="300" w:lineRule="auto"/>
              <w:ind w:right="146"/>
              <w:jc w:val="center"/>
              <w:rPr>
                <w:sz w:val="24"/>
              </w:rPr>
            </w:pPr>
            <w:r>
              <w:rPr>
                <w:rFonts w:hint="eastAsia"/>
                <w:sz w:val="24"/>
              </w:rPr>
              <w:t>附加条件</w:t>
            </w:r>
          </w:p>
        </w:tc>
        <w:tc>
          <w:tcPr>
            <w:tcW w:w="6943" w:type="dxa"/>
            <w:shd w:val="clear" w:color="auto" w:fill="auto"/>
            <w:tcMar>
              <w:top w:w="57" w:type="dxa"/>
              <w:left w:w="108" w:type="dxa"/>
              <w:bottom w:w="0" w:type="dxa"/>
              <w:right w:w="108" w:type="dxa"/>
            </w:tcMar>
            <w:vAlign w:val="center"/>
          </w:tcPr>
          <w:p>
            <w:pPr>
              <w:pStyle w:val="49"/>
              <w:spacing w:before="48" w:line="300" w:lineRule="auto"/>
              <w:ind w:firstLine="480" w:firstLineChars="200"/>
              <w:rPr>
                <w:sz w:val="24"/>
              </w:rPr>
            </w:pPr>
            <w:r>
              <w:rPr>
                <w:rFonts w:hint="eastAsia"/>
                <w:sz w:val="24"/>
              </w:rPr>
              <w:t>投标文件未含有采购人不可接受的附加条件。</w:t>
            </w:r>
          </w:p>
        </w:tc>
      </w:tr>
    </w:tbl>
    <w:p>
      <w:pPr>
        <w:pStyle w:val="1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（三）商务技术及价格评审</w:t>
      </w:r>
    </w:p>
    <w:p>
      <w:pPr>
        <w:widowControl/>
        <w:ind w:firstLine="470" w:firstLineChars="196"/>
        <w:jc w:val="left"/>
        <w:rPr>
          <w:rFonts w:ascii="宋体" w:hAnsi="宋体" w:cs="宋体"/>
          <w:b/>
          <w:color w:val="FF0000"/>
          <w:kern w:val="0"/>
          <w:sz w:val="24"/>
        </w:rPr>
      </w:pPr>
      <w:r>
        <w:rPr>
          <w:rFonts w:hint="eastAsia" w:ascii="宋体" w:hAnsi="宋体" w:cs="宋体"/>
          <w:sz w:val="24"/>
        </w:rPr>
        <w:t>1.</w:t>
      </w:r>
      <w:r>
        <w:rPr>
          <w:rFonts w:hint="eastAsia" w:asciiTheme="minorEastAsia" w:hAnsiTheme="minorEastAsia" w:eastAsiaTheme="minorEastAsia"/>
          <w:kern w:val="0"/>
          <w:sz w:val="24"/>
        </w:rPr>
        <w:t>标项项目评标方法为综合评分法，总计100分，评标按以下标准及要求进行：</w:t>
      </w:r>
      <w:bookmarkStart w:id="41" w:name="OLE_LINK2"/>
      <w:r>
        <w:rPr>
          <w:rFonts w:hint="eastAsia" w:ascii="宋体" w:hAnsi="宋体" w:cs="宋体"/>
          <w:b/>
          <w:color w:val="000000" w:themeColor="text1"/>
          <w:kern w:val="0"/>
          <w:sz w:val="24"/>
        </w:rPr>
        <w:t>本评分明细（两个标段均适用），</w:t>
      </w:r>
      <w:r>
        <w:rPr>
          <w:rFonts w:hint="eastAsia" w:ascii="宋体" w:hAnsi="宋体" w:cs="宋体"/>
          <w:kern w:val="0"/>
          <w:sz w:val="24"/>
        </w:rPr>
        <w:t>具体分值细化条款如下表：</w:t>
      </w:r>
      <w:r>
        <w:rPr>
          <w:rFonts w:ascii="宋体" w:hAnsi="宋体" w:cs="宋体"/>
          <w:kern w:val="0"/>
          <w:sz w:val="24"/>
        </w:rPr>
        <w:t xml:space="preserve"> </w:t>
      </w:r>
    </w:p>
    <w:tbl>
      <w:tblPr>
        <w:tblStyle w:val="2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48"/>
        <w:gridCol w:w="983"/>
        <w:gridCol w:w="597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49" w:type="dxa"/>
            <w:vAlign w:val="center"/>
          </w:tcPr>
          <w:p>
            <w:pPr>
              <w:widowControl/>
              <w:spacing w:line="320" w:lineRule="exact"/>
              <w:jc w:val="center"/>
              <w:rPr>
                <w:rFonts w:ascii="宋体" w:hAnsi="宋体"/>
                <w:kern w:val="0"/>
                <w:sz w:val="24"/>
              </w:rPr>
            </w:pPr>
            <w:r>
              <w:rPr>
                <w:rFonts w:hint="eastAsia" w:ascii="宋体" w:hAnsi="宋体" w:cs="宋体"/>
                <w:kern w:val="0"/>
                <w:sz w:val="24"/>
              </w:rPr>
              <w:t>序号</w:t>
            </w:r>
          </w:p>
        </w:tc>
        <w:tc>
          <w:tcPr>
            <w:tcW w:w="848" w:type="dxa"/>
            <w:vAlign w:val="center"/>
          </w:tcPr>
          <w:p>
            <w:pPr>
              <w:widowControl/>
              <w:spacing w:line="320" w:lineRule="exact"/>
              <w:jc w:val="center"/>
              <w:rPr>
                <w:rFonts w:ascii="宋体" w:hAnsi="宋体"/>
                <w:kern w:val="0"/>
                <w:sz w:val="24"/>
              </w:rPr>
            </w:pPr>
            <w:r>
              <w:rPr>
                <w:rFonts w:hint="eastAsia" w:ascii="宋体" w:hAnsi="宋体" w:cs="宋体"/>
                <w:kern w:val="0"/>
                <w:sz w:val="24"/>
              </w:rPr>
              <w:t>项目内容</w:t>
            </w:r>
          </w:p>
        </w:tc>
        <w:tc>
          <w:tcPr>
            <w:tcW w:w="983" w:type="dxa"/>
            <w:vAlign w:val="center"/>
          </w:tcPr>
          <w:p>
            <w:pPr>
              <w:widowControl/>
              <w:spacing w:line="320" w:lineRule="exact"/>
              <w:jc w:val="center"/>
              <w:rPr>
                <w:rFonts w:ascii="宋体" w:hAnsi="宋体"/>
                <w:kern w:val="0"/>
                <w:sz w:val="24"/>
              </w:rPr>
            </w:pPr>
            <w:r>
              <w:rPr>
                <w:rFonts w:hint="eastAsia" w:ascii="宋体" w:hAnsi="宋体" w:cs="宋体"/>
                <w:kern w:val="0"/>
                <w:sz w:val="24"/>
              </w:rPr>
              <w:t>评分项</w:t>
            </w:r>
          </w:p>
        </w:tc>
        <w:tc>
          <w:tcPr>
            <w:tcW w:w="5976" w:type="dxa"/>
            <w:vAlign w:val="center"/>
          </w:tcPr>
          <w:p>
            <w:pPr>
              <w:widowControl/>
              <w:spacing w:line="320" w:lineRule="exact"/>
              <w:jc w:val="center"/>
              <w:rPr>
                <w:rFonts w:ascii="宋体" w:hAnsi="宋体"/>
                <w:kern w:val="0"/>
                <w:sz w:val="24"/>
              </w:rPr>
            </w:pPr>
            <w:r>
              <w:rPr>
                <w:rFonts w:hint="eastAsia" w:ascii="宋体" w:hAnsi="宋体" w:cs="宋体"/>
                <w:kern w:val="0"/>
                <w:sz w:val="24"/>
              </w:rPr>
              <w:t>评分标准</w:t>
            </w:r>
          </w:p>
        </w:tc>
        <w:tc>
          <w:tcPr>
            <w:tcW w:w="696"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cs="宋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9" w:type="dxa"/>
            <w:vAlign w:val="center"/>
          </w:tcPr>
          <w:p>
            <w:pPr>
              <w:widowControl/>
              <w:spacing w:line="320" w:lineRule="exact"/>
              <w:jc w:val="center"/>
              <w:rPr>
                <w:rFonts w:ascii="宋体" w:hAnsi="宋体" w:cs="宋体"/>
                <w:kern w:val="0"/>
                <w:sz w:val="24"/>
              </w:rPr>
            </w:pPr>
            <w:r>
              <w:rPr>
                <w:rFonts w:hint="eastAsia" w:ascii="宋体" w:hAnsi="宋体" w:cs="宋体"/>
                <w:kern w:val="0"/>
                <w:sz w:val="24"/>
              </w:rPr>
              <w:t>1</w:t>
            </w:r>
          </w:p>
        </w:tc>
        <w:tc>
          <w:tcPr>
            <w:tcW w:w="848" w:type="dxa"/>
            <w:vAlign w:val="center"/>
          </w:tcPr>
          <w:p>
            <w:pPr>
              <w:widowControl/>
              <w:spacing w:line="320" w:lineRule="exact"/>
              <w:rPr>
                <w:rFonts w:ascii="宋体" w:hAnsi="宋体" w:cs="宋体"/>
                <w:kern w:val="0"/>
                <w:sz w:val="24"/>
              </w:rPr>
            </w:pPr>
            <w:r>
              <w:rPr>
                <w:rFonts w:hint="eastAsia" w:ascii="宋体" w:hAnsi="宋体" w:cs="宋体"/>
                <w:kern w:val="0"/>
                <w:sz w:val="24"/>
              </w:rPr>
              <w:t>公司综合情况</w:t>
            </w:r>
          </w:p>
        </w:tc>
        <w:tc>
          <w:tcPr>
            <w:tcW w:w="983" w:type="dxa"/>
            <w:vAlign w:val="center"/>
          </w:tcPr>
          <w:p>
            <w:pPr>
              <w:widowControl/>
              <w:spacing w:line="320" w:lineRule="exact"/>
              <w:jc w:val="center"/>
              <w:rPr>
                <w:rFonts w:ascii="宋体" w:hAnsi="宋体" w:cs="宋体"/>
                <w:kern w:val="0"/>
                <w:sz w:val="24"/>
              </w:rPr>
            </w:pPr>
            <w:r>
              <w:rPr>
                <w:rFonts w:hint="eastAsia" w:ascii="宋体" w:hAnsi="宋体" w:cs="宋体"/>
                <w:kern w:val="0"/>
                <w:sz w:val="24"/>
              </w:rPr>
              <w:t>企业偿付能力情况</w:t>
            </w:r>
          </w:p>
        </w:tc>
        <w:tc>
          <w:tcPr>
            <w:tcW w:w="5976" w:type="dxa"/>
            <w:vAlign w:val="center"/>
          </w:tcPr>
          <w:p>
            <w:pPr>
              <w:widowControl/>
              <w:spacing w:line="32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投标人所属总公司2021年综合偿付能力，综合偿付能力充足率</w:t>
            </w:r>
            <w:r>
              <w:rPr>
                <w:rFonts w:ascii="宋体" w:hAnsi="宋体" w:cs="Arial"/>
                <w:color w:val="000000" w:themeColor="text1"/>
                <w:kern w:val="0"/>
                <w:sz w:val="24"/>
              </w:rPr>
              <w:t>≥</w:t>
            </w:r>
            <w:r>
              <w:rPr>
                <w:rFonts w:hint="eastAsia" w:ascii="宋体" w:hAnsi="宋体" w:cs="宋体"/>
                <w:color w:val="000000" w:themeColor="text1"/>
                <w:kern w:val="0"/>
                <w:sz w:val="24"/>
              </w:rPr>
              <w:t>250%的，得6分；200%</w:t>
            </w:r>
            <w:r>
              <w:rPr>
                <w:rFonts w:ascii="宋体" w:hAnsi="宋体" w:cs="Arial"/>
                <w:color w:val="000000" w:themeColor="text1"/>
                <w:kern w:val="0"/>
                <w:sz w:val="24"/>
              </w:rPr>
              <w:t>≤</w:t>
            </w:r>
            <w:r>
              <w:rPr>
                <w:rFonts w:hint="eastAsia" w:ascii="宋体" w:hAnsi="宋体" w:cs="宋体"/>
                <w:color w:val="000000" w:themeColor="text1"/>
                <w:kern w:val="0"/>
                <w:sz w:val="24"/>
              </w:rPr>
              <w:t>综合偿付能力充足率&lt;250%的，得4分；150%</w:t>
            </w:r>
            <w:r>
              <w:rPr>
                <w:rFonts w:ascii="宋体" w:hAnsi="宋体" w:cs="Arial"/>
                <w:color w:val="000000" w:themeColor="text1"/>
                <w:kern w:val="0"/>
                <w:sz w:val="24"/>
              </w:rPr>
              <w:t>≤</w:t>
            </w:r>
            <w:r>
              <w:rPr>
                <w:rFonts w:hint="eastAsia" w:ascii="宋体" w:hAnsi="宋体" w:cs="宋体"/>
                <w:color w:val="000000" w:themeColor="text1"/>
                <w:kern w:val="0"/>
                <w:sz w:val="24"/>
              </w:rPr>
              <w:t>综合偿付能力充足率&lt;200%得2分；综合偿付能力充足率&lt;150%的不得分。（以投标方提供的第三方对总公司2021年度审计报告为依据）</w:t>
            </w:r>
          </w:p>
        </w:tc>
        <w:tc>
          <w:tcPr>
            <w:tcW w:w="696" w:type="dxa"/>
            <w:vAlign w:val="center"/>
          </w:tcPr>
          <w:p>
            <w:pPr>
              <w:widowControl/>
              <w:spacing w:line="320" w:lineRule="exact"/>
              <w:ind w:left="-105" w:leftChars="-50" w:right="-115" w:rightChars="-55"/>
              <w:jc w:val="center"/>
              <w:rPr>
                <w:rFonts w:ascii="宋体" w:hAnsi="宋体" w:cs="宋体"/>
                <w:color w:val="000000" w:themeColor="text1"/>
                <w:kern w:val="0"/>
                <w:sz w:val="24"/>
              </w:rPr>
            </w:pPr>
            <w:r>
              <w:rPr>
                <w:rFonts w:hint="eastAsia" w:ascii="宋体" w:hAnsi="宋体" w:cs="宋体"/>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9" w:type="dxa"/>
            <w:vAlign w:val="center"/>
          </w:tcPr>
          <w:p>
            <w:pPr>
              <w:widowControl/>
              <w:spacing w:line="320" w:lineRule="exact"/>
              <w:jc w:val="center"/>
              <w:rPr>
                <w:rFonts w:ascii="宋体" w:hAnsi="宋体"/>
                <w:kern w:val="0"/>
                <w:sz w:val="24"/>
              </w:rPr>
            </w:pPr>
            <w:r>
              <w:rPr>
                <w:rFonts w:hint="eastAsia" w:ascii="宋体" w:hAnsi="宋体" w:cs="宋体"/>
                <w:kern w:val="0"/>
                <w:sz w:val="24"/>
              </w:rPr>
              <w:t>2</w:t>
            </w:r>
          </w:p>
        </w:tc>
        <w:tc>
          <w:tcPr>
            <w:tcW w:w="848" w:type="dxa"/>
            <w:vAlign w:val="center"/>
          </w:tcPr>
          <w:p>
            <w:pPr>
              <w:widowControl/>
              <w:spacing w:line="320" w:lineRule="exact"/>
              <w:jc w:val="center"/>
              <w:rPr>
                <w:rFonts w:ascii="宋体" w:hAnsi="宋体"/>
                <w:kern w:val="0"/>
                <w:sz w:val="24"/>
              </w:rPr>
            </w:pPr>
            <w:r>
              <w:rPr>
                <w:rFonts w:hint="eastAsia" w:ascii="宋体" w:hAnsi="宋体" w:cs="宋体"/>
                <w:kern w:val="0"/>
                <w:sz w:val="24"/>
              </w:rPr>
              <w:t>经营情况</w:t>
            </w:r>
          </w:p>
        </w:tc>
        <w:tc>
          <w:tcPr>
            <w:tcW w:w="983" w:type="dxa"/>
            <w:vAlign w:val="center"/>
          </w:tcPr>
          <w:p>
            <w:pPr>
              <w:widowControl/>
              <w:spacing w:line="320" w:lineRule="exact"/>
              <w:jc w:val="center"/>
              <w:rPr>
                <w:rFonts w:ascii="宋体" w:hAnsi="宋体"/>
                <w:kern w:val="0"/>
                <w:sz w:val="24"/>
              </w:rPr>
            </w:pPr>
            <w:r>
              <w:rPr>
                <w:rFonts w:hint="eastAsia" w:ascii="宋体" w:hAnsi="宋体" w:cs="宋体"/>
                <w:kern w:val="0"/>
                <w:sz w:val="24"/>
              </w:rPr>
              <w:t>政企合作</w:t>
            </w:r>
          </w:p>
        </w:tc>
        <w:tc>
          <w:tcPr>
            <w:tcW w:w="5976" w:type="dxa"/>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根据投标人</w:t>
            </w:r>
            <w:r>
              <w:rPr>
                <w:rFonts w:ascii="宋体" w:hAnsi="宋体" w:cs="宋体"/>
                <w:color w:val="000000" w:themeColor="text1"/>
                <w:kern w:val="0"/>
                <w:sz w:val="24"/>
              </w:rPr>
              <w:t>20</w:t>
            </w:r>
            <w:r>
              <w:rPr>
                <w:rFonts w:hint="eastAsia" w:ascii="宋体" w:hAnsi="宋体" w:cs="宋体"/>
                <w:color w:val="000000" w:themeColor="text1"/>
                <w:kern w:val="0"/>
                <w:sz w:val="24"/>
              </w:rPr>
              <w:t>17年</w:t>
            </w:r>
            <w:r>
              <w:rPr>
                <w:rFonts w:ascii="宋体" w:hAnsi="宋体" w:cs="宋体"/>
                <w:color w:val="000000" w:themeColor="text1"/>
                <w:kern w:val="0"/>
                <w:sz w:val="24"/>
              </w:rPr>
              <w:t>1</w:t>
            </w:r>
            <w:r>
              <w:rPr>
                <w:rFonts w:hint="eastAsia" w:ascii="宋体" w:hAnsi="宋体" w:cs="宋体"/>
                <w:color w:val="000000" w:themeColor="text1"/>
                <w:kern w:val="0"/>
                <w:sz w:val="24"/>
              </w:rPr>
              <w:t>月至今有与政府合作项目（以签约项目合同或政府部门文件为依据）的业绩，每一例得1分，最高得2分。</w:t>
            </w:r>
          </w:p>
        </w:tc>
        <w:tc>
          <w:tcPr>
            <w:tcW w:w="696" w:type="dxa"/>
            <w:vAlign w:val="center"/>
          </w:tcPr>
          <w:p>
            <w:pPr>
              <w:widowControl/>
              <w:spacing w:line="320" w:lineRule="exact"/>
              <w:ind w:left="-105" w:leftChars="-50" w:right="-115" w:rightChars="-55"/>
              <w:jc w:val="center"/>
              <w:rPr>
                <w:rFonts w:ascii="宋体" w:hAnsi="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49" w:type="dxa"/>
            <w:vMerge w:val="restart"/>
            <w:vAlign w:val="center"/>
          </w:tcPr>
          <w:p>
            <w:pPr>
              <w:widowControl/>
              <w:spacing w:line="320" w:lineRule="exact"/>
              <w:jc w:val="center"/>
              <w:rPr>
                <w:rFonts w:ascii="宋体" w:hAnsi="宋体"/>
                <w:color w:val="FF0000"/>
                <w:kern w:val="0"/>
                <w:sz w:val="24"/>
              </w:rPr>
            </w:pPr>
            <w:r>
              <w:rPr>
                <w:rFonts w:hint="eastAsia" w:ascii="宋体" w:hAnsi="宋体" w:cs="宋体"/>
                <w:kern w:val="0"/>
                <w:sz w:val="24"/>
              </w:rPr>
              <w:t>3</w:t>
            </w:r>
          </w:p>
        </w:tc>
        <w:tc>
          <w:tcPr>
            <w:tcW w:w="848" w:type="dxa"/>
            <w:vMerge w:val="restart"/>
            <w:vAlign w:val="center"/>
          </w:tcPr>
          <w:p>
            <w:pPr>
              <w:widowControl/>
              <w:spacing w:line="320" w:lineRule="exact"/>
              <w:jc w:val="center"/>
              <w:rPr>
                <w:rFonts w:ascii="宋体" w:hAnsi="宋体"/>
                <w:kern w:val="0"/>
                <w:sz w:val="24"/>
              </w:rPr>
            </w:pPr>
            <w:r>
              <w:rPr>
                <w:rFonts w:hint="eastAsia" w:ascii="宋体" w:hAnsi="宋体" w:cs="宋体"/>
                <w:kern w:val="0"/>
                <w:sz w:val="24"/>
              </w:rPr>
              <w:t>项目实施</w:t>
            </w:r>
          </w:p>
        </w:tc>
        <w:tc>
          <w:tcPr>
            <w:tcW w:w="983" w:type="dxa"/>
            <w:vAlign w:val="center"/>
          </w:tcPr>
          <w:p>
            <w:pPr>
              <w:widowControl/>
              <w:spacing w:line="320" w:lineRule="exact"/>
              <w:jc w:val="center"/>
              <w:rPr>
                <w:rFonts w:ascii="宋体" w:hAnsi="宋体"/>
                <w:kern w:val="0"/>
                <w:sz w:val="24"/>
              </w:rPr>
            </w:pPr>
            <w:r>
              <w:rPr>
                <w:rFonts w:hint="eastAsia" w:ascii="宋体" w:hAnsi="宋体" w:cs="宋体"/>
                <w:kern w:val="0"/>
                <w:sz w:val="24"/>
              </w:rPr>
              <w:t>实施方案</w:t>
            </w:r>
          </w:p>
        </w:tc>
        <w:tc>
          <w:tcPr>
            <w:tcW w:w="5976" w:type="dxa"/>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按照本项目要求，组织实施方案对项目需求能充分理解和把握，视方案的科学性、针对性等评分，科学性、针对性符合本项目实际的得6</w:t>
            </w:r>
            <w:r>
              <w:rPr>
                <w:rFonts w:ascii="宋体" w:hAnsi="宋体" w:cs="宋体"/>
                <w:color w:val="000000" w:themeColor="text1"/>
                <w:kern w:val="0"/>
                <w:sz w:val="24"/>
              </w:rPr>
              <w:t>-</w:t>
            </w:r>
            <w:r>
              <w:rPr>
                <w:rFonts w:hint="eastAsia" w:ascii="宋体" w:hAnsi="宋体" w:cs="宋体"/>
                <w:color w:val="000000" w:themeColor="text1"/>
                <w:kern w:val="0"/>
                <w:sz w:val="24"/>
              </w:rPr>
              <w:t>3.5分，部分符合的得3</w:t>
            </w:r>
            <w:r>
              <w:rPr>
                <w:rFonts w:ascii="宋体" w:hAnsi="宋体" w:cs="宋体"/>
                <w:color w:val="000000" w:themeColor="text1"/>
                <w:kern w:val="0"/>
                <w:sz w:val="24"/>
              </w:rPr>
              <w:t>.</w:t>
            </w:r>
            <w:r>
              <w:rPr>
                <w:rFonts w:hint="eastAsia" w:ascii="宋体" w:hAnsi="宋体" w:cs="宋体"/>
                <w:color w:val="000000" w:themeColor="text1"/>
                <w:kern w:val="0"/>
                <w:sz w:val="24"/>
              </w:rPr>
              <w:t>4</w:t>
            </w:r>
            <w:r>
              <w:rPr>
                <w:rFonts w:ascii="宋体" w:hAnsi="宋体" w:cs="宋体"/>
                <w:color w:val="000000" w:themeColor="text1"/>
                <w:kern w:val="0"/>
                <w:sz w:val="24"/>
              </w:rPr>
              <w:t>-</w:t>
            </w:r>
            <w:r>
              <w:rPr>
                <w:rFonts w:hint="eastAsia" w:ascii="宋体" w:hAnsi="宋体" w:cs="宋体"/>
                <w:color w:val="000000" w:themeColor="text1"/>
                <w:kern w:val="0"/>
                <w:sz w:val="24"/>
              </w:rPr>
              <w:t>2分，与本项目符合性不强的得1.9</w:t>
            </w:r>
            <w:r>
              <w:rPr>
                <w:rFonts w:ascii="宋体" w:hAnsi="宋体" w:cs="宋体"/>
                <w:color w:val="000000" w:themeColor="text1"/>
                <w:kern w:val="0"/>
                <w:sz w:val="24"/>
              </w:rPr>
              <w:t>-0</w:t>
            </w:r>
            <w:r>
              <w:rPr>
                <w:rFonts w:hint="eastAsia" w:ascii="宋体" w:hAnsi="宋体" w:cs="宋体"/>
                <w:color w:val="000000" w:themeColor="text1"/>
                <w:kern w:val="0"/>
                <w:sz w:val="24"/>
              </w:rPr>
              <w:t>分。</w:t>
            </w:r>
          </w:p>
        </w:tc>
        <w:tc>
          <w:tcPr>
            <w:tcW w:w="696" w:type="dxa"/>
            <w:vAlign w:val="center"/>
          </w:tcPr>
          <w:p>
            <w:pPr>
              <w:widowControl/>
              <w:spacing w:line="320" w:lineRule="exact"/>
              <w:ind w:left="-105" w:leftChars="-50" w:right="-115" w:rightChars="-55"/>
              <w:jc w:val="center"/>
              <w:rPr>
                <w:rFonts w:ascii="宋体" w:hAnsi="宋体"/>
                <w:color w:val="000000" w:themeColor="text1"/>
                <w:kern w:val="0"/>
                <w:sz w:val="24"/>
              </w:rPr>
            </w:pPr>
            <w:r>
              <w:rPr>
                <w:rFonts w:hint="eastAsia" w:ascii="宋体" w:hAnsi="宋体"/>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Merge w:val="continue"/>
            <w:vAlign w:val="center"/>
          </w:tcPr>
          <w:p>
            <w:pPr>
              <w:widowControl/>
              <w:spacing w:line="320" w:lineRule="exact"/>
              <w:jc w:val="center"/>
              <w:rPr>
                <w:rFonts w:ascii="宋体" w:hAnsi="宋体"/>
                <w:color w:val="FF0000"/>
                <w:kern w:val="0"/>
                <w:sz w:val="24"/>
              </w:rPr>
            </w:pPr>
          </w:p>
        </w:tc>
        <w:tc>
          <w:tcPr>
            <w:tcW w:w="848" w:type="dxa"/>
            <w:vMerge w:val="continue"/>
            <w:vAlign w:val="center"/>
          </w:tcPr>
          <w:p>
            <w:pPr>
              <w:widowControl/>
              <w:spacing w:line="320" w:lineRule="exact"/>
              <w:jc w:val="center"/>
              <w:rPr>
                <w:rFonts w:ascii="宋体" w:hAnsi="宋体"/>
                <w:kern w:val="0"/>
                <w:sz w:val="24"/>
              </w:rPr>
            </w:pPr>
          </w:p>
        </w:tc>
        <w:tc>
          <w:tcPr>
            <w:tcW w:w="983" w:type="dxa"/>
            <w:vAlign w:val="center"/>
          </w:tcPr>
          <w:p>
            <w:pPr>
              <w:widowControl/>
              <w:jc w:val="center"/>
              <w:rPr>
                <w:rFonts w:ascii="宋体" w:hAnsi="宋体"/>
                <w:kern w:val="0"/>
                <w:sz w:val="24"/>
              </w:rPr>
            </w:pPr>
            <w:r>
              <w:rPr>
                <w:rFonts w:hint="eastAsia" w:ascii="宋体" w:hAnsi="宋体" w:cs="宋体"/>
                <w:kern w:val="0"/>
                <w:sz w:val="24"/>
              </w:rPr>
              <w:t>调查细化方案</w:t>
            </w:r>
          </w:p>
        </w:tc>
        <w:tc>
          <w:tcPr>
            <w:tcW w:w="5976" w:type="dxa"/>
            <w:vAlign w:val="center"/>
          </w:tcPr>
          <w:p>
            <w:pPr>
              <w:widowControl/>
              <w:jc w:val="left"/>
              <w:rPr>
                <w:rFonts w:ascii="宋体" w:hAnsi="宋体"/>
                <w:kern w:val="0"/>
                <w:sz w:val="24"/>
              </w:rPr>
            </w:pPr>
            <w:r>
              <w:rPr>
                <w:rFonts w:hint="eastAsia" w:ascii="宋体" w:hAnsi="宋体" w:cs="宋体"/>
                <w:kern w:val="0"/>
                <w:sz w:val="24"/>
              </w:rPr>
              <w:t>承诺按照医保相关规定及时客观的调查参保人员医疗情况，并提供具体实施细化方案等评分。实施方案较细化的得6</w:t>
            </w:r>
            <w:r>
              <w:rPr>
                <w:rFonts w:ascii="宋体" w:hAnsi="宋体" w:cs="宋体"/>
                <w:kern w:val="0"/>
                <w:sz w:val="24"/>
              </w:rPr>
              <w:t>-</w:t>
            </w:r>
            <w:r>
              <w:rPr>
                <w:rFonts w:hint="eastAsia" w:ascii="宋体" w:hAnsi="宋体" w:cs="宋体"/>
                <w:kern w:val="0"/>
                <w:sz w:val="24"/>
              </w:rPr>
              <w:t>3.5分，细化程度不高的得3</w:t>
            </w:r>
            <w:r>
              <w:rPr>
                <w:rFonts w:ascii="宋体" w:hAnsi="宋体" w:cs="宋体"/>
                <w:kern w:val="0"/>
                <w:sz w:val="24"/>
              </w:rPr>
              <w:t>.</w:t>
            </w: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2分，细化程度较低得1.9</w:t>
            </w:r>
            <w:r>
              <w:rPr>
                <w:rFonts w:ascii="宋体" w:hAnsi="宋体" w:cs="宋体"/>
                <w:kern w:val="0"/>
                <w:sz w:val="24"/>
              </w:rPr>
              <w:t>-0</w:t>
            </w:r>
            <w:r>
              <w:rPr>
                <w:rFonts w:hint="eastAsia" w:ascii="宋体" w:hAnsi="宋体" w:cs="宋体"/>
                <w:kern w:val="0"/>
                <w:sz w:val="24"/>
              </w:rPr>
              <w:t>分。</w:t>
            </w:r>
          </w:p>
        </w:tc>
        <w:tc>
          <w:tcPr>
            <w:tcW w:w="696" w:type="dxa"/>
            <w:vAlign w:val="center"/>
          </w:tcPr>
          <w:p>
            <w:pPr>
              <w:widowControl/>
              <w:jc w:val="center"/>
              <w:rPr>
                <w:rFonts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Merge w:val="continue"/>
            <w:vAlign w:val="center"/>
          </w:tcPr>
          <w:p>
            <w:pPr>
              <w:widowControl/>
              <w:spacing w:line="320" w:lineRule="exact"/>
              <w:jc w:val="center"/>
              <w:rPr>
                <w:rFonts w:ascii="宋体" w:hAnsi="宋体"/>
                <w:color w:val="FF0000"/>
                <w:kern w:val="0"/>
                <w:sz w:val="24"/>
              </w:rPr>
            </w:pPr>
          </w:p>
        </w:tc>
        <w:tc>
          <w:tcPr>
            <w:tcW w:w="848" w:type="dxa"/>
            <w:vMerge w:val="continue"/>
            <w:vAlign w:val="center"/>
          </w:tcPr>
          <w:p>
            <w:pPr>
              <w:widowControl/>
              <w:spacing w:line="320" w:lineRule="exact"/>
              <w:jc w:val="center"/>
              <w:rPr>
                <w:rFonts w:ascii="宋体" w:hAnsi="宋体"/>
                <w:kern w:val="0"/>
                <w:sz w:val="24"/>
              </w:rPr>
            </w:pPr>
          </w:p>
        </w:tc>
        <w:tc>
          <w:tcPr>
            <w:tcW w:w="983" w:type="dxa"/>
            <w:vAlign w:val="center"/>
          </w:tcPr>
          <w:p>
            <w:pPr>
              <w:widowControl/>
              <w:spacing w:line="320" w:lineRule="exact"/>
              <w:jc w:val="center"/>
              <w:rPr>
                <w:rFonts w:ascii="宋体" w:hAnsi="宋体"/>
                <w:kern w:val="0"/>
                <w:sz w:val="24"/>
              </w:rPr>
            </w:pPr>
            <w:r>
              <w:rPr>
                <w:rFonts w:hint="eastAsia" w:ascii="宋体" w:hAnsi="宋体" w:cs="宋体"/>
                <w:kern w:val="0"/>
                <w:sz w:val="24"/>
              </w:rPr>
              <w:t>业务熟悉程度</w:t>
            </w:r>
          </w:p>
        </w:tc>
        <w:tc>
          <w:tcPr>
            <w:tcW w:w="5976"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熟悉温岭区域医保相关政策、业务流程，熟悉得4</w:t>
            </w:r>
            <w:r>
              <w:rPr>
                <w:rFonts w:ascii="宋体" w:hAnsi="宋体" w:cs="宋体"/>
                <w:color w:val="000000" w:themeColor="text1"/>
                <w:kern w:val="0"/>
                <w:sz w:val="24"/>
              </w:rPr>
              <w:t>-</w:t>
            </w:r>
            <w:r>
              <w:rPr>
                <w:rFonts w:hint="eastAsia" w:ascii="宋体" w:hAnsi="宋体" w:cs="宋体"/>
                <w:color w:val="000000" w:themeColor="text1"/>
                <w:kern w:val="0"/>
                <w:sz w:val="24"/>
              </w:rPr>
              <w:t>3分，基本熟悉得2.9</w:t>
            </w:r>
            <w:r>
              <w:rPr>
                <w:rFonts w:ascii="宋体" w:hAnsi="宋体" w:cs="宋体"/>
                <w:color w:val="000000" w:themeColor="text1"/>
                <w:kern w:val="0"/>
                <w:sz w:val="24"/>
              </w:rPr>
              <w:t>-</w:t>
            </w:r>
            <w:r>
              <w:rPr>
                <w:rFonts w:hint="eastAsia" w:ascii="宋体" w:hAnsi="宋体" w:cs="宋体"/>
                <w:color w:val="000000" w:themeColor="text1"/>
                <w:kern w:val="0"/>
                <w:sz w:val="24"/>
              </w:rPr>
              <w:t>2分，一般了解得1.9-1分，不了解不得分。</w:t>
            </w:r>
          </w:p>
        </w:tc>
        <w:tc>
          <w:tcPr>
            <w:tcW w:w="696" w:type="dxa"/>
            <w:vAlign w:val="center"/>
          </w:tcPr>
          <w:p>
            <w:pPr>
              <w:widowControl/>
              <w:spacing w:line="320" w:lineRule="exact"/>
              <w:ind w:left="-105" w:leftChars="-50" w:right="-115" w:rightChars="-55"/>
              <w:jc w:val="center"/>
              <w:rPr>
                <w:rFonts w:ascii="宋体" w:hAnsi="宋体"/>
                <w:color w:val="000000" w:themeColor="text1"/>
                <w:kern w:val="0"/>
                <w:sz w:val="24"/>
              </w:rPr>
            </w:pPr>
            <w:r>
              <w:rPr>
                <w:rFonts w:hint="eastAsia" w:ascii="宋体" w:hAnsi="宋体"/>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Merge w:val="restart"/>
            <w:vAlign w:val="center"/>
          </w:tcPr>
          <w:p>
            <w:pPr>
              <w:widowControl/>
              <w:spacing w:line="320" w:lineRule="exact"/>
              <w:jc w:val="center"/>
              <w:rPr>
                <w:rFonts w:ascii="宋体" w:hAnsi="宋体"/>
                <w:color w:val="FF0000"/>
                <w:kern w:val="0"/>
                <w:sz w:val="24"/>
              </w:rPr>
            </w:pPr>
            <w:r>
              <w:rPr>
                <w:rFonts w:hint="eastAsia" w:ascii="宋体" w:hAnsi="宋体"/>
                <w:color w:val="000000" w:themeColor="text1"/>
                <w:kern w:val="0"/>
                <w:sz w:val="24"/>
              </w:rPr>
              <w:t>4</w:t>
            </w:r>
          </w:p>
        </w:tc>
        <w:tc>
          <w:tcPr>
            <w:tcW w:w="848" w:type="dxa"/>
            <w:vMerge w:val="restart"/>
            <w:vAlign w:val="center"/>
          </w:tcPr>
          <w:p>
            <w:pPr>
              <w:widowControl/>
              <w:spacing w:line="320" w:lineRule="exact"/>
              <w:jc w:val="center"/>
              <w:rPr>
                <w:rFonts w:ascii="宋体" w:hAnsi="宋体"/>
                <w:kern w:val="0"/>
                <w:sz w:val="24"/>
              </w:rPr>
            </w:pPr>
            <w:r>
              <w:rPr>
                <w:rFonts w:hint="eastAsia" w:ascii="宋体" w:hAnsi="宋体" w:cs="宋体"/>
                <w:kern w:val="0"/>
                <w:sz w:val="24"/>
              </w:rPr>
              <w:t>投标承诺</w:t>
            </w:r>
          </w:p>
        </w:tc>
        <w:tc>
          <w:tcPr>
            <w:tcW w:w="983" w:type="dxa"/>
            <w:vAlign w:val="center"/>
          </w:tcPr>
          <w:p>
            <w:pPr>
              <w:widowControl/>
              <w:spacing w:line="320" w:lineRule="exact"/>
              <w:jc w:val="center"/>
              <w:rPr>
                <w:rFonts w:ascii="宋体" w:hAnsi="宋体"/>
                <w:kern w:val="0"/>
                <w:sz w:val="24"/>
              </w:rPr>
            </w:pPr>
            <w:r>
              <w:rPr>
                <w:rFonts w:hint="eastAsia" w:ascii="宋体" w:hAnsi="宋体"/>
                <w:kern w:val="0"/>
                <w:sz w:val="24"/>
              </w:rPr>
              <w:t>设备保障</w:t>
            </w:r>
          </w:p>
        </w:tc>
        <w:tc>
          <w:tcPr>
            <w:tcW w:w="5976"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配备理赔勘查、审核管控需要的车辆（标段一9辆，标段二2辆）和相应设备，承诺承保期间相关硬件设施配备到位并做好后勤保障工作得4分，不承诺不得分。</w:t>
            </w:r>
          </w:p>
        </w:tc>
        <w:tc>
          <w:tcPr>
            <w:tcW w:w="696" w:type="dxa"/>
            <w:vAlign w:val="center"/>
          </w:tcPr>
          <w:p>
            <w:pPr>
              <w:widowControl/>
              <w:spacing w:line="320" w:lineRule="exact"/>
              <w:ind w:left="-105" w:leftChars="-50" w:right="-115" w:rightChars="-55"/>
              <w:jc w:val="center"/>
              <w:rPr>
                <w:rFonts w:ascii="宋体" w:hAnsi="宋体"/>
                <w:color w:val="000000" w:themeColor="text1"/>
                <w:kern w:val="0"/>
                <w:sz w:val="24"/>
              </w:rPr>
            </w:pPr>
            <w:r>
              <w:rPr>
                <w:rFonts w:ascii="宋体" w:hAnsi="宋体" w:cs="宋体"/>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Merge w:val="continue"/>
            <w:vAlign w:val="center"/>
          </w:tcPr>
          <w:p>
            <w:pPr>
              <w:widowControl/>
              <w:spacing w:line="320" w:lineRule="exact"/>
              <w:jc w:val="center"/>
              <w:rPr>
                <w:rFonts w:ascii="宋体" w:hAnsi="宋体"/>
                <w:color w:val="FF0000"/>
                <w:kern w:val="0"/>
                <w:sz w:val="24"/>
              </w:rPr>
            </w:pPr>
          </w:p>
        </w:tc>
        <w:tc>
          <w:tcPr>
            <w:tcW w:w="848" w:type="dxa"/>
            <w:vMerge w:val="continue"/>
            <w:vAlign w:val="center"/>
          </w:tcPr>
          <w:p>
            <w:pPr>
              <w:widowControl/>
              <w:spacing w:line="320" w:lineRule="exact"/>
              <w:jc w:val="center"/>
              <w:rPr>
                <w:rFonts w:ascii="宋体" w:hAnsi="宋体"/>
                <w:kern w:val="0"/>
                <w:sz w:val="24"/>
              </w:rPr>
            </w:pPr>
          </w:p>
        </w:tc>
        <w:tc>
          <w:tcPr>
            <w:tcW w:w="983" w:type="dxa"/>
            <w:vMerge w:val="restart"/>
            <w:vAlign w:val="center"/>
          </w:tcPr>
          <w:p>
            <w:pPr>
              <w:widowControl/>
              <w:spacing w:line="320" w:lineRule="exact"/>
              <w:jc w:val="center"/>
              <w:rPr>
                <w:rFonts w:ascii="宋体" w:hAnsi="宋体"/>
                <w:kern w:val="0"/>
                <w:sz w:val="24"/>
              </w:rPr>
            </w:pPr>
            <w:r>
              <w:rPr>
                <w:rFonts w:hint="eastAsia" w:ascii="宋体" w:hAnsi="宋体" w:cs="宋体"/>
                <w:kern w:val="0"/>
                <w:sz w:val="24"/>
              </w:rPr>
              <w:t>专业人员配备</w:t>
            </w:r>
          </w:p>
        </w:tc>
        <w:tc>
          <w:tcPr>
            <w:tcW w:w="5976"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标段一：城乡医保项目。承诺承包期间配备到岗人员</w:t>
            </w:r>
            <w:r>
              <w:rPr>
                <w:rFonts w:hint="eastAsia" w:ascii="宋体" w:hAnsi="宋体" w:cs="宋体"/>
                <w:color w:val="000000" w:themeColor="text1"/>
                <w:kern w:val="0"/>
                <w:sz w:val="24"/>
                <w:u w:val="single"/>
              </w:rPr>
              <w:t>6</w:t>
            </w:r>
            <w:r>
              <w:rPr>
                <w:rFonts w:hint="eastAsia" w:ascii="宋体" w:hAnsi="宋体" w:cs="宋体"/>
                <w:color w:val="000000" w:themeColor="text1"/>
                <w:kern w:val="0"/>
                <w:sz w:val="24"/>
              </w:rPr>
              <w:t>人得</w:t>
            </w:r>
            <w:r>
              <w:rPr>
                <w:rFonts w:hint="eastAsia" w:ascii="宋体" w:hAnsi="宋体" w:cs="宋体"/>
                <w:color w:val="000000" w:themeColor="text1"/>
                <w:kern w:val="0"/>
                <w:sz w:val="24"/>
                <w:lang w:val="en-US" w:eastAsia="zh-CN"/>
              </w:rPr>
              <w:t>3</w:t>
            </w:r>
            <w:r>
              <w:rPr>
                <w:rFonts w:hint="eastAsia" w:ascii="宋体" w:hAnsi="宋体" w:cs="宋体"/>
                <w:color w:val="000000" w:themeColor="text1"/>
                <w:kern w:val="0"/>
                <w:sz w:val="24"/>
              </w:rPr>
              <w:t>分，其中医学专业</w:t>
            </w:r>
            <w:r>
              <w:rPr>
                <w:rFonts w:hint="eastAsia" w:ascii="宋体" w:hAnsi="宋体" w:cs="宋体"/>
                <w:color w:val="000000" w:themeColor="text1"/>
                <w:kern w:val="0"/>
                <w:sz w:val="24"/>
                <w:u w:val="single"/>
              </w:rPr>
              <w:t>3</w:t>
            </w:r>
            <w:r>
              <w:rPr>
                <w:rFonts w:hint="eastAsia" w:ascii="宋体" w:hAnsi="宋体" w:cs="宋体"/>
                <w:color w:val="000000" w:themeColor="text1"/>
                <w:kern w:val="0"/>
                <w:sz w:val="24"/>
              </w:rPr>
              <w:t>名</w:t>
            </w:r>
            <w:r>
              <w:rPr>
                <w:rFonts w:hint="eastAsia" w:ascii="宋体" w:hAnsi="宋体" w:cs="宋体"/>
                <w:color w:val="000000" w:themeColor="text1"/>
                <w:kern w:val="0"/>
                <w:sz w:val="24"/>
                <w:lang w:val="en-US" w:eastAsia="zh-CN"/>
              </w:rPr>
              <w:t>及</w:t>
            </w:r>
            <w:r>
              <w:rPr>
                <w:rFonts w:hint="eastAsia" w:ascii="宋体" w:hAnsi="宋体" w:cs="宋体"/>
                <w:color w:val="000000" w:themeColor="text1"/>
                <w:kern w:val="0"/>
                <w:sz w:val="24"/>
              </w:rPr>
              <w:t>以上得</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分，不承诺不得分。</w:t>
            </w:r>
          </w:p>
        </w:tc>
        <w:tc>
          <w:tcPr>
            <w:tcW w:w="696" w:type="dxa"/>
            <w:vMerge w:val="restart"/>
            <w:vAlign w:val="center"/>
          </w:tcPr>
          <w:p>
            <w:pPr>
              <w:widowControl/>
              <w:spacing w:line="320" w:lineRule="exact"/>
              <w:jc w:val="center"/>
              <w:rPr>
                <w:rFonts w:ascii="宋体" w:hAnsi="宋体"/>
                <w:color w:val="FF0000"/>
                <w:kern w:val="0"/>
                <w:sz w:val="24"/>
              </w:rPr>
            </w:pPr>
            <w:r>
              <w:rPr>
                <w:rFonts w:hint="eastAsia" w:ascii="宋体" w:hAnsi="宋体" w:cs="宋体"/>
                <w:color w:val="000000" w:themeColor="text1"/>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Merge w:val="continue"/>
            <w:vAlign w:val="center"/>
          </w:tcPr>
          <w:p>
            <w:pPr>
              <w:widowControl/>
              <w:spacing w:line="320" w:lineRule="exact"/>
              <w:jc w:val="center"/>
              <w:rPr>
                <w:rFonts w:ascii="宋体" w:hAnsi="宋体"/>
                <w:color w:val="FF0000"/>
                <w:kern w:val="0"/>
                <w:sz w:val="24"/>
              </w:rPr>
            </w:pPr>
          </w:p>
        </w:tc>
        <w:tc>
          <w:tcPr>
            <w:tcW w:w="848" w:type="dxa"/>
            <w:vMerge w:val="continue"/>
            <w:vAlign w:val="center"/>
          </w:tcPr>
          <w:p>
            <w:pPr>
              <w:widowControl/>
              <w:spacing w:line="320" w:lineRule="exact"/>
              <w:jc w:val="center"/>
              <w:rPr>
                <w:rFonts w:ascii="宋体" w:hAnsi="宋体"/>
                <w:kern w:val="0"/>
                <w:sz w:val="24"/>
              </w:rPr>
            </w:pPr>
          </w:p>
        </w:tc>
        <w:tc>
          <w:tcPr>
            <w:tcW w:w="983" w:type="dxa"/>
            <w:vMerge w:val="continue"/>
            <w:vAlign w:val="center"/>
          </w:tcPr>
          <w:p>
            <w:pPr>
              <w:widowControl/>
              <w:spacing w:line="320" w:lineRule="exact"/>
              <w:jc w:val="center"/>
              <w:rPr>
                <w:rFonts w:ascii="宋体" w:hAnsi="宋体"/>
                <w:kern w:val="0"/>
                <w:sz w:val="24"/>
              </w:rPr>
            </w:pPr>
          </w:p>
        </w:tc>
        <w:tc>
          <w:tcPr>
            <w:tcW w:w="5976"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标段二：职工医保项目。承诺承包期间配备到岗人员4人得3分，其中医学专业</w:t>
            </w:r>
            <w:r>
              <w:rPr>
                <w:rFonts w:ascii="宋体" w:hAnsi="宋体" w:cs="宋体"/>
                <w:color w:val="000000" w:themeColor="text1"/>
                <w:kern w:val="0"/>
                <w:sz w:val="24"/>
                <w:u w:val="single"/>
              </w:rPr>
              <w:t>1</w:t>
            </w:r>
            <w:r>
              <w:rPr>
                <w:rFonts w:hint="eastAsia" w:ascii="宋体" w:hAnsi="宋体" w:cs="宋体"/>
                <w:color w:val="000000" w:themeColor="text1"/>
                <w:kern w:val="0"/>
                <w:sz w:val="24"/>
              </w:rPr>
              <w:t>名</w:t>
            </w:r>
            <w:r>
              <w:rPr>
                <w:rFonts w:hint="eastAsia" w:ascii="宋体" w:hAnsi="宋体" w:cs="宋体"/>
                <w:color w:val="000000" w:themeColor="text1"/>
                <w:kern w:val="0"/>
                <w:sz w:val="24"/>
                <w:lang w:val="en-US" w:eastAsia="zh-CN"/>
              </w:rPr>
              <w:t>及</w:t>
            </w:r>
            <w:r>
              <w:rPr>
                <w:rFonts w:hint="eastAsia" w:ascii="宋体" w:hAnsi="宋体" w:cs="宋体"/>
                <w:color w:val="000000" w:themeColor="text1"/>
                <w:kern w:val="0"/>
                <w:sz w:val="24"/>
              </w:rPr>
              <w:t>以上得</w:t>
            </w:r>
            <w:r>
              <w:rPr>
                <w:rFonts w:ascii="宋体" w:hAnsi="宋体" w:cs="宋体"/>
                <w:color w:val="000000" w:themeColor="text1"/>
                <w:kern w:val="0"/>
                <w:sz w:val="24"/>
              </w:rPr>
              <w:t>4</w:t>
            </w:r>
            <w:r>
              <w:rPr>
                <w:rFonts w:hint="eastAsia" w:ascii="宋体" w:hAnsi="宋体" w:cs="宋体"/>
                <w:color w:val="000000" w:themeColor="text1"/>
                <w:kern w:val="0"/>
                <w:sz w:val="24"/>
              </w:rPr>
              <w:t>分，不承诺不得分。</w:t>
            </w:r>
          </w:p>
        </w:tc>
        <w:tc>
          <w:tcPr>
            <w:tcW w:w="696" w:type="dxa"/>
            <w:vMerge w:val="continue"/>
            <w:vAlign w:val="center"/>
          </w:tcPr>
          <w:p>
            <w:pPr>
              <w:widowControl/>
              <w:spacing w:line="320" w:lineRule="exact"/>
              <w:jc w:val="center"/>
              <w:rPr>
                <w:rFonts w:ascii="宋体" w:hAnsi="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9" w:type="dxa"/>
            <w:vMerge w:val="continue"/>
            <w:vAlign w:val="center"/>
          </w:tcPr>
          <w:p>
            <w:pPr>
              <w:widowControl/>
              <w:spacing w:line="320" w:lineRule="exact"/>
              <w:jc w:val="center"/>
              <w:rPr>
                <w:rFonts w:ascii="宋体" w:hAnsi="宋体"/>
                <w:color w:val="FF0000"/>
                <w:kern w:val="0"/>
                <w:sz w:val="24"/>
              </w:rPr>
            </w:pPr>
          </w:p>
        </w:tc>
        <w:tc>
          <w:tcPr>
            <w:tcW w:w="848" w:type="dxa"/>
            <w:vMerge w:val="continue"/>
            <w:vAlign w:val="center"/>
          </w:tcPr>
          <w:p>
            <w:pPr>
              <w:widowControl/>
              <w:spacing w:line="320" w:lineRule="exact"/>
              <w:jc w:val="center"/>
              <w:rPr>
                <w:rFonts w:ascii="宋体" w:hAnsi="宋体"/>
                <w:kern w:val="0"/>
                <w:sz w:val="24"/>
              </w:rPr>
            </w:pPr>
          </w:p>
        </w:tc>
        <w:tc>
          <w:tcPr>
            <w:tcW w:w="983" w:type="dxa"/>
            <w:vMerge w:val="restart"/>
            <w:vAlign w:val="center"/>
          </w:tcPr>
          <w:p>
            <w:pPr>
              <w:widowControl/>
              <w:spacing w:line="320" w:lineRule="exact"/>
              <w:jc w:val="center"/>
              <w:rPr>
                <w:rFonts w:ascii="宋体" w:hAnsi="宋体"/>
                <w:kern w:val="0"/>
                <w:sz w:val="24"/>
              </w:rPr>
            </w:pPr>
            <w:r>
              <w:rPr>
                <w:rFonts w:hint="eastAsia" w:ascii="宋体" w:hAnsi="宋体"/>
                <w:kern w:val="0"/>
                <w:sz w:val="24"/>
              </w:rPr>
              <w:t>调查团队</w:t>
            </w:r>
          </w:p>
        </w:tc>
        <w:tc>
          <w:tcPr>
            <w:tcW w:w="5976"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标段一：城乡医保项目。承诺承包期间成立本项目独立调查团队</w:t>
            </w:r>
            <w:r>
              <w:rPr>
                <w:rFonts w:hint="eastAsia" w:ascii="宋体" w:hAnsi="宋体" w:cs="宋体"/>
                <w:color w:val="000000" w:themeColor="text1"/>
                <w:kern w:val="0"/>
                <w:sz w:val="24"/>
                <w:u w:val="single"/>
              </w:rPr>
              <w:t>18</w:t>
            </w:r>
            <w:r>
              <w:rPr>
                <w:rFonts w:hint="eastAsia" w:ascii="宋体" w:hAnsi="宋体" w:cs="宋体"/>
                <w:color w:val="000000" w:themeColor="text1"/>
                <w:kern w:val="0"/>
                <w:sz w:val="24"/>
              </w:rPr>
              <w:t>人得</w:t>
            </w:r>
            <w:r>
              <w:rPr>
                <w:rFonts w:hint="eastAsia" w:ascii="宋体" w:hAnsi="宋体" w:cs="宋体"/>
                <w:color w:val="000000" w:themeColor="text1"/>
                <w:kern w:val="0"/>
                <w:sz w:val="24"/>
                <w:lang w:val="en-US" w:eastAsia="zh-CN"/>
              </w:rPr>
              <w:t>3</w:t>
            </w:r>
            <w:r>
              <w:rPr>
                <w:rFonts w:hint="eastAsia" w:ascii="宋体" w:hAnsi="宋体" w:cs="宋体"/>
                <w:color w:val="000000" w:themeColor="text1"/>
                <w:kern w:val="0"/>
                <w:sz w:val="24"/>
              </w:rPr>
              <w:t>分，其中医学专业</w:t>
            </w:r>
            <w:r>
              <w:rPr>
                <w:rFonts w:hint="eastAsia" w:ascii="宋体" w:hAnsi="宋体" w:cs="宋体"/>
                <w:color w:val="000000" w:themeColor="text1"/>
                <w:kern w:val="0"/>
                <w:sz w:val="24"/>
                <w:u w:val="single"/>
              </w:rPr>
              <w:t>3</w:t>
            </w:r>
            <w:r>
              <w:rPr>
                <w:rFonts w:hint="eastAsia" w:ascii="宋体" w:hAnsi="宋体" w:cs="宋体"/>
                <w:color w:val="000000" w:themeColor="text1"/>
                <w:kern w:val="0"/>
                <w:sz w:val="24"/>
              </w:rPr>
              <w:t>名</w:t>
            </w:r>
            <w:r>
              <w:rPr>
                <w:rFonts w:hint="eastAsia" w:ascii="宋体" w:hAnsi="宋体" w:cs="宋体"/>
                <w:color w:val="000000" w:themeColor="text1"/>
                <w:kern w:val="0"/>
                <w:sz w:val="24"/>
                <w:lang w:val="en-US" w:eastAsia="zh-CN"/>
              </w:rPr>
              <w:t>及</w:t>
            </w:r>
            <w:r>
              <w:rPr>
                <w:rFonts w:hint="eastAsia" w:ascii="宋体" w:hAnsi="宋体" w:cs="宋体"/>
                <w:color w:val="000000" w:themeColor="text1"/>
                <w:kern w:val="0"/>
                <w:sz w:val="24"/>
              </w:rPr>
              <w:t>以上得</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分，不承诺不得分。</w:t>
            </w:r>
          </w:p>
        </w:tc>
        <w:tc>
          <w:tcPr>
            <w:tcW w:w="696" w:type="dxa"/>
            <w:vMerge w:val="restart"/>
            <w:vAlign w:val="center"/>
          </w:tcPr>
          <w:p>
            <w:pPr>
              <w:widowControl/>
              <w:spacing w:line="320" w:lineRule="exact"/>
              <w:ind w:left="-105" w:leftChars="-50" w:right="-115" w:rightChars="-55"/>
              <w:jc w:val="center"/>
              <w:rPr>
                <w:rFonts w:ascii="宋体" w:hAnsi="宋体"/>
                <w:color w:val="FF0000"/>
                <w:kern w:val="0"/>
                <w:sz w:val="24"/>
              </w:rPr>
            </w:pPr>
            <w:r>
              <w:rPr>
                <w:rFonts w:hint="eastAsia" w:ascii="宋体" w:hAnsi="宋体"/>
                <w:color w:val="000000" w:themeColor="text1"/>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9" w:type="dxa"/>
            <w:vMerge w:val="continue"/>
            <w:vAlign w:val="center"/>
          </w:tcPr>
          <w:p>
            <w:pPr>
              <w:widowControl/>
              <w:spacing w:line="320" w:lineRule="exact"/>
              <w:jc w:val="center"/>
              <w:rPr>
                <w:rFonts w:ascii="宋体" w:hAnsi="宋体"/>
                <w:color w:val="FF0000"/>
              </w:rPr>
            </w:pPr>
          </w:p>
        </w:tc>
        <w:tc>
          <w:tcPr>
            <w:tcW w:w="848" w:type="dxa"/>
            <w:vMerge w:val="continue"/>
            <w:vAlign w:val="center"/>
          </w:tcPr>
          <w:p>
            <w:pPr>
              <w:widowControl/>
              <w:spacing w:line="320" w:lineRule="exact"/>
              <w:jc w:val="center"/>
              <w:rPr>
                <w:rFonts w:ascii="宋体" w:hAnsi="宋体"/>
              </w:rPr>
            </w:pPr>
          </w:p>
        </w:tc>
        <w:tc>
          <w:tcPr>
            <w:tcW w:w="983" w:type="dxa"/>
            <w:vMerge w:val="continue"/>
            <w:vAlign w:val="center"/>
          </w:tcPr>
          <w:p>
            <w:pPr>
              <w:widowControl/>
              <w:spacing w:line="320" w:lineRule="exact"/>
              <w:jc w:val="center"/>
              <w:rPr>
                <w:rFonts w:ascii="宋体" w:hAnsi="宋体"/>
              </w:rPr>
            </w:pPr>
          </w:p>
        </w:tc>
        <w:tc>
          <w:tcPr>
            <w:tcW w:w="5976"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标段二：职工医保项目。承诺承包期间成立本项目独立调查团队</w:t>
            </w:r>
            <w:r>
              <w:rPr>
                <w:rFonts w:hint="eastAsia" w:ascii="宋体" w:hAnsi="宋体" w:cs="宋体"/>
                <w:color w:val="000000" w:themeColor="text1"/>
                <w:kern w:val="0"/>
                <w:sz w:val="24"/>
                <w:u w:val="single"/>
              </w:rPr>
              <w:t>4</w:t>
            </w:r>
            <w:r>
              <w:rPr>
                <w:rFonts w:hint="eastAsia" w:ascii="宋体" w:hAnsi="宋体" w:cs="宋体"/>
                <w:color w:val="000000" w:themeColor="text1"/>
                <w:kern w:val="0"/>
                <w:sz w:val="24"/>
              </w:rPr>
              <w:t>人得3分，其中医学专业</w:t>
            </w:r>
            <w:r>
              <w:rPr>
                <w:rFonts w:ascii="宋体" w:hAnsi="宋体" w:cs="宋体"/>
                <w:color w:val="000000" w:themeColor="text1"/>
                <w:kern w:val="0"/>
                <w:sz w:val="24"/>
                <w:u w:val="single"/>
              </w:rPr>
              <w:t>1</w:t>
            </w:r>
            <w:r>
              <w:rPr>
                <w:rFonts w:hint="eastAsia" w:ascii="宋体" w:hAnsi="宋体" w:cs="宋体"/>
                <w:color w:val="000000" w:themeColor="text1"/>
                <w:kern w:val="0"/>
                <w:sz w:val="24"/>
              </w:rPr>
              <w:t>名</w:t>
            </w:r>
            <w:r>
              <w:rPr>
                <w:rFonts w:hint="eastAsia" w:ascii="宋体" w:hAnsi="宋体" w:cs="宋体"/>
                <w:color w:val="000000" w:themeColor="text1"/>
                <w:kern w:val="0"/>
                <w:sz w:val="24"/>
                <w:lang w:val="en-US" w:eastAsia="zh-CN"/>
              </w:rPr>
              <w:t>及</w:t>
            </w:r>
            <w:r>
              <w:rPr>
                <w:rFonts w:hint="eastAsia" w:ascii="宋体" w:hAnsi="宋体" w:cs="宋体"/>
                <w:color w:val="000000" w:themeColor="text1"/>
                <w:kern w:val="0"/>
                <w:sz w:val="24"/>
              </w:rPr>
              <w:t>以上得</w:t>
            </w:r>
            <w:r>
              <w:rPr>
                <w:rFonts w:ascii="宋体" w:hAnsi="宋体" w:cs="宋体"/>
                <w:color w:val="000000" w:themeColor="text1"/>
                <w:kern w:val="0"/>
                <w:sz w:val="24"/>
              </w:rPr>
              <w:t>4</w:t>
            </w:r>
            <w:r>
              <w:rPr>
                <w:rFonts w:hint="eastAsia" w:ascii="宋体" w:hAnsi="宋体" w:cs="宋体"/>
                <w:color w:val="000000" w:themeColor="text1"/>
                <w:kern w:val="0"/>
                <w:sz w:val="24"/>
              </w:rPr>
              <w:t>分，不承诺不得分。</w:t>
            </w:r>
          </w:p>
        </w:tc>
        <w:tc>
          <w:tcPr>
            <w:tcW w:w="696" w:type="dxa"/>
            <w:vMerge w:val="continue"/>
            <w:vAlign w:val="center"/>
          </w:tcPr>
          <w:p>
            <w:pPr>
              <w:widowControl/>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Merge w:val="continue"/>
            <w:vAlign w:val="center"/>
          </w:tcPr>
          <w:p>
            <w:pPr>
              <w:widowControl/>
              <w:spacing w:line="320" w:lineRule="exact"/>
              <w:jc w:val="center"/>
              <w:rPr>
                <w:rFonts w:ascii="宋体" w:hAnsi="宋体"/>
                <w:color w:val="FF0000"/>
                <w:kern w:val="0"/>
                <w:sz w:val="24"/>
              </w:rPr>
            </w:pPr>
          </w:p>
        </w:tc>
        <w:tc>
          <w:tcPr>
            <w:tcW w:w="848" w:type="dxa"/>
            <w:vMerge w:val="continue"/>
            <w:vAlign w:val="center"/>
          </w:tcPr>
          <w:p>
            <w:pPr>
              <w:widowControl/>
              <w:spacing w:line="320" w:lineRule="exact"/>
              <w:jc w:val="center"/>
              <w:rPr>
                <w:rFonts w:ascii="宋体" w:hAnsi="宋体"/>
                <w:kern w:val="0"/>
                <w:sz w:val="24"/>
              </w:rPr>
            </w:pPr>
          </w:p>
        </w:tc>
        <w:tc>
          <w:tcPr>
            <w:tcW w:w="983" w:type="dxa"/>
            <w:vAlign w:val="center"/>
          </w:tcPr>
          <w:p>
            <w:pPr>
              <w:widowControl/>
              <w:spacing w:line="320" w:lineRule="exact"/>
              <w:jc w:val="center"/>
              <w:rPr>
                <w:rFonts w:ascii="宋体" w:hAnsi="宋体"/>
                <w:kern w:val="0"/>
                <w:sz w:val="24"/>
              </w:rPr>
            </w:pPr>
            <w:r>
              <w:rPr>
                <w:rFonts w:hint="eastAsia" w:ascii="宋体" w:hAnsi="宋体" w:cs="宋体"/>
                <w:kern w:val="0"/>
                <w:sz w:val="24"/>
              </w:rPr>
              <w:t>专业机构设立承诺</w:t>
            </w:r>
          </w:p>
        </w:tc>
        <w:tc>
          <w:tcPr>
            <w:tcW w:w="5976" w:type="dxa"/>
            <w:vAlign w:val="center"/>
          </w:tcPr>
          <w:p>
            <w:pPr>
              <w:widowControl/>
              <w:spacing w:line="320" w:lineRule="exact"/>
              <w:jc w:val="left"/>
              <w:rPr>
                <w:rFonts w:ascii="宋体" w:hAnsi="宋体"/>
                <w:kern w:val="0"/>
                <w:sz w:val="24"/>
              </w:rPr>
            </w:pPr>
            <w:r>
              <w:rPr>
                <w:rFonts w:hint="eastAsia" w:ascii="宋体" w:hAnsi="宋体" w:cs="宋体"/>
                <w:kern w:val="0"/>
                <w:sz w:val="24"/>
              </w:rPr>
              <w:t>承诺能针对本项目成立专业的组织机构和服务部门得</w:t>
            </w:r>
            <w:r>
              <w:rPr>
                <w:rFonts w:ascii="宋体" w:hAnsi="宋体" w:cs="宋体"/>
                <w:kern w:val="0"/>
                <w:sz w:val="24"/>
              </w:rPr>
              <w:t>3</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不成立专业的组织机构和服务部门不得分。</w:t>
            </w:r>
          </w:p>
          <w:p>
            <w:pPr>
              <w:widowControl/>
              <w:spacing w:line="320" w:lineRule="exact"/>
              <w:ind w:left="240" w:hanging="240" w:hangingChars="100"/>
              <w:jc w:val="left"/>
              <w:rPr>
                <w:rFonts w:ascii="宋体" w:hAnsi="宋体"/>
                <w:kern w:val="0"/>
                <w:sz w:val="24"/>
              </w:rPr>
            </w:pPr>
            <w:r>
              <w:rPr>
                <w:rFonts w:hint="eastAsia" w:ascii="宋体" w:hAnsi="宋体" w:cs="宋体"/>
                <w:kern w:val="0"/>
                <w:sz w:val="24"/>
              </w:rPr>
              <w:t>在温岭市设立(或者承诺在中标后一个月内设立）营销服务部及以上级别保险公司的分支机构得3分。没有设立及不承诺设立者不得分。</w:t>
            </w:r>
          </w:p>
        </w:tc>
        <w:tc>
          <w:tcPr>
            <w:tcW w:w="696"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49" w:type="dxa"/>
            <w:vMerge w:val="continue"/>
            <w:vAlign w:val="center"/>
          </w:tcPr>
          <w:p>
            <w:pPr>
              <w:widowControl/>
              <w:spacing w:line="320" w:lineRule="exact"/>
              <w:jc w:val="center"/>
              <w:rPr>
                <w:rFonts w:ascii="宋体" w:hAnsi="宋体"/>
                <w:color w:val="FF0000"/>
                <w:kern w:val="0"/>
                <w:sz w:val="24"/>
              </w:rPr>
            </w:pPr>
          </w:p>
        </w:tc>
        <w:tc>
          <w:tcPr>
            <w:tcW w:w="848" w:type="dxa"/>
            <w:vMerge w:val="continue"/>
            <w:vAlign w:val="center"/>
          </w:tcPr>
          <w:p>
            <w:pPr>
              <w:widowControl/>
              <w:spacing w:line="320" w:lineRule="exact"/>
              <w:jc w:val="center"/>
              <w:rPr>
                <w:rFonts w:ascii="宋体" w:hAnsi="宋体"/>
                <w:kern w:val="0"/>
                <w:sz w:val="24"/>
              </w:rPr>
            </w:pPr>
          </w:p>
        </w:tc>
        <w:tc>
          <w:tcPr>
            <w:tcW w:w="983" w:type="dxa"/>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医疗费用划拨承诺</w:t>
            </w:r>
          </w:p>
        </w:tc>
        <w:tc>
          <w:tcPr>
            <w:tcW w:w="5976"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承诺规定时间内划拨医疗费用报销款，确保与要经办机构结账及时得4分，没有不得分。</w:t>
            </w:r>
          </w:p>
        </w:tc>
        <w:tc>
          <w:tcPr>
            <w:tcW w:w="696" w:type="dxa"/>
            <w:vAlign w:val="center"/>
          </w:tcPr>
          <w:p>
            <w:pPr>
              <w:widowControl/>
              <w:spacing w:line="320" w:lineRule="exact"/>
              <w:ind w:left="-105" w:leftChars="-50" w:right="-115" w:rightChars="-55"/>
              <w:jc w:val="center"/>
              <w:rPr>
                <w:rFonts w:ascii="宋体" w:hAnsi="宋体"/>
                <w:color w:val="000000" w:themeColor="text1"/>
                <w:kern w:val="0"/>
                <w:sz w:val="24"/>
              </w:rPr>
            </w:pPr>
            <w:r>
              <w:rPr>
                <w:rFonts w:hint="eastAsia" w:ascii="宋体" w:hAnsi="宋体" w:cs="宋体"/>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9" w:type="dxa"/>
            <w:vMerge w:val="continue"/>
            <w:vAlign w:val="center"/>
          </w:tcPr>
          <w:p>
            <w:pPr>
              <w:widowControl/>
              <w:spacing w:line="320" w:lineRule="exact"/>
              <w:jc w:val="center"/>
              <w:rPr>
                <w:rFonts w:ascii="宋体" w:hAnsi="宋体"/>
                <w:color w:val="FF0000"/>
                <w:kern w:val="0"/>
                <w:sz w:val="24"/>
              </w:rPr>
            </w:pPr>
          </w:p>
        </w:tc>
        <w:tc>
          <w:tcPr>
            <w:tcW w:w="848" w:type="dxa"/>
            <w:vMerge w:val="continue"/>
            <w:vAlign w:val="center"/>
          </w:tcPr>
          <w:p>
            <w:pPr>
              <w:widowControl/>
              <w:spacing w:line="320" w:lineRule="exact"/>
              <w:jc w:val="center"/>
              <w:rPr>
                <w:rFonts w:ascii="宋体" w:hAnsi="宋体"/>
                <w:kern w:val="0"/>
                <w:sz w:val="24"/>
              </w:rPr>
            </w:pPr>
          </w:p>
        </w:tc>
        <w:tc>
          <w:tcPr>
            <w:tcW w:w="983" w:type="dxa"/>
            <w:vAlign w:val="center"/>
          </w:tcPr>
          <w:p>
            <w:pPr>
              <w:widowControl/>
              <w:spacing w:line="320" w:lineRule="exact"/>
              <w:jc w:val="center"/>
              <w:rPr>
                <w:rFonts w:ascii="宋体" w:hAnsi="宋体"/>
                <w:kern w:val="0"/>
                <w:sz w:val="24"/>
              </w:rPr>
            </w:pPr>
            <w:r>
              <w:rPr>
                <w:rFonts w:hint="eastAsia" w:ascii="宋体" w:hAnsi="宋体" w:cs="宋体"/>
                <w:kern w:val="0"/>
                <w:sz w:val="24"/>
              </w:rPr>
              <w:t>核查承诺</w:t>
            </w:r>
          </w:p>
        </w:tc>
        <w:tc>
          <w:tcPr>
            <w:tcW w:w="5976" w:type="dxa"/>
            <w:vAlign w:val="center"/>
          </w:tcPr>
          <w:p>
            <w:pPr>
              <w:widowControl/>
              <w:spacing w:line="320" w:lineRule="exact"/>
              <w:ind w:left="240" w:hanging="240" w:hangingChars="100"/>
              <w:jc w:val="left"/>
              <w:rPr>
                <w:rFonts w:hint="default" w:eastAsia="宋体"/>
                <w:lang w:val="en-US" w:eastAsia="zh-CN"/>
              </w:rPr>
            </w:pPr>
            <w:r>
              <w:rPr>
                <w:rFonts w:hint="eastAsia" w:ascii="宋体" w:hAnsi="宋体" w:cs="宋体"/>
                <w:kern w:val="0"/>
                <w:sz w:val="24"/>
              </w:rPr>
              <w:t>承诺核查做到应查尽查，并能提供核查方案</w:t>
            </w:r>
            <w:r>
              <w:rPr>
                <w:rFonts w:hint="eastAsia" w:ascii="宋体" w:hAnsi="宋体" w:cs="宋体"/>
                <w:kern w:val="0"/>
                <w:sz w:val="24"/>
                <w:lang w:eastAsia="zh-CN"/>
              </w:rPr>
              <w:t>，不承诺或不提供核查方案的不得分。</w:t>
            </w:r>
          </w:p>
        </w:tc>
        <w:tc>
          <w:tcPr>
            <w:tcW w:w="696"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Merge w:val="continue"/>
            <w:vAlign w:val="center"/>
          </w:tcPr>
          <w:p>
            <w:pPr>
              <w:widowControl/>
              <w:spacing w:line="320" w:lineRule="exact"/>
              <w:jc w:val="center"/>
              <w:rPr>
                <w:rFonts w:ascii="宋体" w:hAnsi="宋体"/>
                <w:color w:val="FF0000"/>
                <w:kern w:val="0"/>
                <w:sz w:val="24"/>
              </w:rPr>
            </w:pPr>
          </w:p>
        </w:tc>
        <w:tc>
          <w:tcPr>
            <w:tcW w:w="848" w:type="dxa"/>
            <w:vMerge w:val="continue"/>
            <w:vAlign w:val="center"/>
          </w:tcPr>
          <w:p>
            <w:pPr>
              <w:widowControl/>
              <w:spacing w:line="320" w:lineRule="exact"/>
              <w:jc w:val="center"/>
              <w:rPr>
                <w:rFonts w:ascii="宋体" w:hAnsi="宋体"/>
                <w:kern w:val="0"/>
                <w:sz w:val="24"/>
              </w:rPr>
            </w:pPr>
          </w:p>
        </w:tc>
        <w:tc>
          <w:tcPr>
            <w:tcW w:w="983" w:type="dxa"/>
            <w:vAlign w:val="center"/>
          </w:tcPr>
          <w:p>
            <w:pPr>
              <w:widowControl/>
              <w:spacing w:line="320" w:lineRule="exact"/>
              <w:jc w:val="center"/>
              <w:rPr>
                <w:rFonts w:ascii="宋体" w:hAnsi="宋体"/>
                <w:kern w:val="0"/>
                <w:sz w:val="24"/>
              </w:rPr>
            </w:pPr>
            <w:r>
              <w:rPr>
                <w:rFonts w:hint="eastAsia" w:ascii="宋体" w:hAnsi="宋体" w:cs="宋体"/>
                <w:kern w:val="0"/>
                <w:sz w:val="24"/>
              </w:rPr>
              <w:t>上级风险承诺</w:t>
            </w:r>
          </w:p>
        </w:tc>
        <w:tc>
          <w:tcPr>
            <w:tcW w:w="5976" w:type="dxa"/>
            <w:vAlign w:val="center"/>
          </w:tcPr>
          <w:p>
            <w:pPr>
              <w:widowControl/>
              <w:spacing w:line="320" w:lineRule="exact"/>
              <w:jc w:val="left"/>
              <w:rPr>
                <w:rFonts w:ascii="宋体" w:hAnsi="宋体"/>
                <w:kern w:val="0"/>
                <w:sz w:val="24"/>
              </w:rPr>
            </w:pPr>
            <w:r>
              <w:rPr>
                <w:rFonts w:hint="eastAsia" w:ascii="宋体" w:hAnsi="宋体" w:cs="宋体"/>
                <w:kern w:val="0"/>
                <w:sz w:val="24"/>
              </w:rPr>
              <w:t>上级公司承担风险承诺，包括承诺当参加竞标的保险公司无能力支付赔偿金额时由上级公司承担赔偿责任得4分，没有不得分。</w:t>
            </w:r>
          </w:p>
        </w:tc>
        <w:tc>
          <w:tcPr>
            <w:tcW w:w="696"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Merge w:val="restart"/>
            <w:vAlign w:val="center"/>
          </w:tcPr>
          <w:p>
            <w:pPr>
              <w:widowControl/>
              <w:spacing w:line="320" w:lineRule="exact"/>
              <w:jc w:val="center"/>
              <w:rPr>
                <w:rFonts w:ascii="宋体" w:hAnsi="宋体"/>
                <w:color w:val="FF0000"/>
                <w:kern w:val="0"/>
                <w:sz w:val="24"/>
              </w:rPr>
            </w:pPr>
            <w:r>
              <w:rPr>
                <w:rFonts w:hint="eastAsia" w:ascii="宋体" w:hAnsi="宋体" w:cs="宋体"/>
                <w:color w:val="000000" w:themeColor="text1"/>
                <w:kern w:val="0"/>
                <w:sz w:val="24"/>
              </w:rPr>
              <w:t>5</w:t>
            </w:r>
          </w:p>
        </w:tc>
        <w:tc>
          <w:tcPr>
            <w:tcW w:w="848" w:type="dxa"/>
            <w:vMerge w:val="restart"/>
            <w:vAlign w:val="center"/>
          </w:tcPr>
          <w:p>
            <w:pPr>
              <w:widowControl/>
              <w:spacing w:line="320" w:lineRule="exact"/>
              <w:jc w:val="center"/>
              <w:rPr>
                <w:rFonts w:ascii="宋体" w:hAnsi="宋体"/>
                <w:kern w:val="0"/>
                <w:sz w:val="24"/>
              </w:rPr>
            </w:pPr>
            <w:r>
              <w:rPr>
                <w:rFonts w:hint="eastAsia" w:ascii="宋体" w:hAnsi="宋体"/>
                <w:kern w:val="0"/>
                <w:sz w:val="24"/>
              </w:rPr>
              <w:t>日常管控</w:t>
            </w:r>
          </w:p>
        </w:tc>
        <w:tc>
          <w:tcPr>
            <w:tcW w:w="983" w:type="dxa"/>
            <w:vAlign w:val="center"/>
          </w:tcPr>
          <w:p>
            <w:pPr>
              <w:widowControl/>
              <w:spacing w:line="320" w:lineRule="exact"/>
              <w:jc w:val="center"/>
              <w:rPr>
                <w:rFonts w:ascii="宋体" w:hAnsi="宋体"/>
                <w:kern w:val="0"/>
                <w:sz w:val="24"/>
              </w:rPr>
            </w:pPr>
            <w:r>
              <w:rPr>
                <w:rFonts w:hint="eastAsia" w:ascii="宋体" w:hAnsi="宋体" w:cs="宋体"/>
                <w:kern w:val="0"/>
                <w:sz w:val="24"/>
              </w:rPr>
              <w:t>理</w:t>
            </w:r>
            <w:r>
              <w:rPr>
                <w:rFonts w:hint="default" w:ascii="宋体" w:hAnsi="宋体" w:cs="宋体"/>
                <w:kern w:val="0"/>
                <w:sz w:val="24"/>
              </w:rPr>
              <w:t>赔</w:t>
            </w:r>
            <w:r>
              <w:rPr>
                <w:rFonts w:hint="eastAsia" w:ascii="宋体" w:hAnsi="宋体" w:cs="宋体"/>
                <w:kern w:val="0"/>
                <w:sz w:val="24"/>
              </w:rPr>
              <w:t>规范调节机制</w:t>
            </w:r>
          </w:p>
        </w:tc>
        <w:tc>
          <w:tcPr>
            <w:tcW w:w="5976" w:type="dxa"/>
            <w:vAlign w:val="center"/>
          </w:tcPr>
          <w:p>
            <w:pPr>
              <w:widowControl/>
              <w:spacing w:line="320" w:lineRule="exact"/>
              <w:jc w:val="left"/>
              <w:rPr>
                <w:rFonts w:ascii="宋体" w:hAnsi="宋体"/>
                <w:kern w:val="0"/>
                <w:sz w:val="24"/>
              </w:rPr>
            </w:pPr>
            <w:r>
              <w:rPr>
                <w:rFonts w:hint="eastAsia" w:ascii="宋体" w:hAnsi="宋体" w:cs="宋体"/>
                <w:kern w:val="0"/>
                <w:sz w:val="24"/>
              </w:rPr>
              <w:t>制定</w:t>
            </w:r>
            <w:r>
              <w:rPr>
                <w:rFonts w:hint="eastAsia" w:ascii="宋体" w:hAnsi="宋体" w:cs="宋体"/>
                <w:sz w:val="24"/>
              </w:rPr>
              <w:t>意外伤害</w:t>
            </w:r>
            <w:r>
              <w:rPr>
                <w:rFonts w:hint="eastAsia" w:ascii="宋体" w:hAnsi="宋体" w:cs="宋体"/>
                <w:kern w:val="0"/>
                <w:sz w:val="24"/>
              </w:rPr>
              <w:t>理赔规范和纠纷调节机制，有效控制投诉人员投诉率，视方案科学合理性、目标的控制率，由评委根据方案酌情评分。方案比较合理科学的得4</w:t>
            </w:r>
            <w:r>
              <w:rPr>
                <w:rFonts w:ascii="宋体" w:hAnsi="宋体" w:cs="宋体"/>
                <w:kern w:val="0"/>
                <w:sz w:val="24"/>
              </w:rPr>
              <w:t>-</w:t>
            </w:r>
            <w:r>
              <w:rPr>
                <w:rFonts w:hint="eastAsia" w:ascii="宋体" w:hAnsi="宋体" w:cs="宋体"/>
                <w:kern w:val="0"/>
                <w:sz w:val="24"/>
              </w:rPr>
              <w:t>2.5分，方案合理性不高的得2.4</w:t>
            </w:r>
            <w:r>
              <w:rPr>
                <w:rFonts w:ascii="宋体" w:hAnsi="宋体" w:cs="宋体"/>
                <w:kern w:val="0"/>
                <w:sz w:val="24"/>
              </w:rPr>
              <w:t>-</w:t>
            </w:r>
            <w:r>
              <w:rPr>
                <w:rFonts w:hint="eastAsia" w:ascii="宋体" w:hAnsi="宋体" w:cs="宋体"/>
                <w:kern w:val="0"/>
                <w:sz w:val="24"/>
              </w:rPr>
              <w:t>1分，方案不太合理的得0</w:t>
            </w:r>
            <w:r>
              <w:rPr>
                <w:rFonts w:ascii="宋体" w:hAnsi="宋体" w:cs="宋体"/>
                <w:kern w:val="0"/>
                <w:sz w:val="24"/>
              </w:rPr>
              <w:t>.9-0</w:t>
            </w:r>
            <w:r>
              <w:rPr>
                <w:rFonts w:hint="eastAsia" w:ascii="宋体" w:hAnsi="宋体" w:cs="宋体"/>
                <w:kern w:val="0"/>
                <w:sz w:val="24"/>
              </w:rPr>
              <w:t>分。</w:t>
            </w:r>
          </w:p>
        </w:tc>
        <w:tc>
          <w:tcPr>
            <w:tcW w:w="696"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Merge w:val="continue"/>
            <w:vAlign w:val="center"/>
          </w:tcPr>
          <w:p>
            <w:pPr>
              <w:widowControl/>
              <w:spacing w:line="320" w:lineRule="exact"/>
              <w:jc w:val="center"/>
              <w:rPr>
                <w:rFonts w:ascii="宋体" w:hAnsi="宋体"/>
                <w:color w:val="FF0000"/>
                <w:kern w:val="0"/>
                <w:sz w:val="24"/>
              </w:rPr>
            </w:pPr>
          </w:p>
        </w:tc>
        <w:tc>
          <w:tcPr>
            <w:tcW w:w="848" w:type="dxa"/>
            <w:vMerge w:val="continue"/>
            <w:vAlign w:val="center"/>
          </w:tcPr>
          <w:p>
            <w:pPr>
              <w:widowControl/>
              <w:spacing w:line="320" w:lineRule="exact"/>
              <w:jc w:val="center"/>
              <w:rPr>
                <w:rFonts w:ascii="宋体" w:hAnsi="宋体"/>
                <w:kern w:val="0"/>
                <w:sz w:val="24"/>
              </w:rPr>
            </w:pPr>
          </w:p>
        </w:tc>
        <w:tc>
          <w:tcPr>
            <w:tcW w:w="983" w:type="dxa"/>
            <w:vAlign w:val="center"/>
          </w:tcPr>
          <w:p>
            <w:pPr>
              <w:widowControl/>
              <w:spacing w:line="320" w:lineRule="exact"/>
              <w:jc w:val="center"/>
              <w:rPr>
                <w:rFonts w:ascii="宋体" w:hAnsi="宋体"/>
                <w:kern w:val="0"/>
                <w:sz w:val="24"/>
              </w:rPr>
            </w:pPr>
            <w:r>
              <w:rPr>
                <w:rFonts w:hint="eastAsia" w:ascii="宋体" w:hAnsi="宋体" w:cs="宋体"/>
                <w:kern w:val="0"/>
                <w:sz w:val="24"/>
              </w:rPr>
              <w:t>日常培训和管理考核</w:t>
            </w:r>
          </w:p>
        </w:tc>
        <w:tc>
          <w:tcPr>
            <w:tcW w:w="5976" w:type="dxa"/>
            <w:vAlign w:val="center"/>
          </w:tcPr>
          <w:p>
            <w:pPr>
              <w:widowControl/>
              <w:spacing w:line="320" w:lineRule="exact"/>
              <w:jc w:val="center"/>
              <w:rPr>
                <w:rFonts w:ascii="宋体" w:hAnsi="宋体"/>
                <w:kern w:val="0"/>
                <w:sz w:val="24"/>
              </w:rPr>
            </w:pPr>
            <w:r>
              <w:rPr>
                <w:rFonts w:hint="eastAsia" w:ascii="宋体" w:hAnsi="宋体" w:cs="宋体"/>
                <w:kern w:val="0"/>
                <w:sz w:val="24"/>
              </w:rPr>
              <w:t>建立科学、先进的人员绩效评价、作业管理、培训管理、薪酬管理系统，制定人员日常管理考核和专业知识培训的方案和措施等评分，方案较细且措施得当的得4</w:t>
            </w:r>
            <w:r>
              <w:rPr>
                <w:rFonts w:ascii="宋体" w:hAnsi="宋体" w:cs="宋体"/>
                <w:kern w:val="0"/>
                <w:sz w:val="24"/>
              </w:rPr>
              <w:t>-</w:t>
            </w:r>
            <w:r>
              <w:rPr>
                <w:rFonts w:hint="eastAsia" w:ascii="宋体" w:hAnsi="宋体" w:cs="宋体"/>
                <w:kern w:val="0"/>
                <w:sz w:val="24"/>
              </w:rPr>
              <w:t>2.5分，方案和措施不详细的得2.4</w:t>
            </w:r>
            <w:r>
              <w:rPr>
                <w:rFonts w:ascii="宋体" w:hAnsi="宋体" w:cs="宋体"/>
                <w:kern w:val="0"/>
                <w:sz w:val="24"/>
              </w:rPr>
              <w:t>-</w:t>
            </w:r>
            <w:r>
              <w:rPr>
                <w:rFonts w:hint="eastAsia" w:ascii="宋体" w:hAnsi="宋体" w:cs="宋体"/>
                <w:kern w:val="0"/>
                <w:sz w:val="24"/>
              </w:rPr>
              <w:t>1分，方案和措施不太符合实际的得0</w:t>
            </w:r>
            <w:r>
              <w:rPr>
                <w:rFonts w:ascii="宋体" w:hAnsi="宋体" w:cs="宋体"/>
                <w:kern w:val="0"/>
                <w:sz w:val="24"/>
              </w:rPr>
              <w:t>.9-0</w:t>
            </w:r>
            <w:r>
              <w:rPr>
                <w:rFonts w:hint="eastAsia" w:ascii="宋体" w:hAnsi="宋体" w:cs="宋体"/>
                <w:kern w:val="0"/>
                <w:sz w:val="24"/>
              </w:rPr>
              <w:t>分。</w:t>
            </w:r>
          </w:p>
        </w:tc>
        <w:tc>
          <w:tcPr>
            <w:tcW w:w="696"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6</w:t>
            </w:r>
          </w:p>
        </w:tc>
        <w:tc>
          <w:tcPr>
            <w:tcW w:w="848" w:type="dxa"/>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增值服务</w:t>
            </w:r>
          </w:p>
        </w:tc>
        <w:tc>
          <w:tcPr>
            <w:tcW w:w="983" w:type="dxa"/>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增值服务</w:t>
            </w:r>
          </w:p>
        </w:tc>
        <w:tc>
          <w:tcPr>
            <w:tcW w:w="5976" w:type="dxa"/>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提供其它针对医保及参保人员增值服务的，根据增值服务方案切实科学性、合理性、可操作性等评分。有较好的科学性和合理性等得5-3分，科学性合理性欠强的得2.9-1分，不太具有合理性和可操作性的得0.9-0分，没有不得分。</w:t>
            </w:r>
          </w:p>
        </w:tc>
        <w:tc>
          <w:tcPr>
            <w:tcW w:w="696" w:type="dxa"/>
            <w:vAlign w:val="center"/>
          </w:tcPr>
          <w:p>
            <w:pPr>
              <w:widowControl/>
              <w:spacing w:line="320" w:lineRule="exact"/>
              <w:ind w:left="-105" w:leftChars="-50" w:right="-115" w:rightChars="-55"/>
              <w:jc w:val="center"/>
              <w:rPr>
                <w:rFonts w:ascii="宋体" w:hAnsi="宋体"/>
                <w:color w:val="000000" w:themeColor="text1"/>
                <w:kern w:val="0"/>
                <w:sz w:val="24"/>
              </w:rPr>
            </w:pPr>
            <w:r>
              <w:rPr>
                <w:rFonts w:hint="eastAsia" w:ascii="宋体" w:hAnsi="宋体" w:cs="宋体"/>
                <w:color w:val="000000" w:themeColor="text1"/>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9" w:type="dxa"/>
            <w:vAlign w:val="center"/>
          </w:tcPr>
          <w:p>
            <w:pPr>
              <w:widowControl/>
              <w:spacing w:line="32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7</w:t>
            </w:r>
          </w:p>
        </w:tc>
        <w:tc>
          <w:tcPr>
            <w:tcW w:w="848" w:type="dxa"/>
            <w:vAlign w:val="center"/>
          </w:tcPr>
          <w:p>
            <w:pPr>
              <w:widowControl/>
              <w:spacing w:line="32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价格分</w:t>
            </w:r>
          </w:p>
        </w:tc>
        <w:tc>
          <w:tcPr>
            <w:tcW w:w="983" w:type="dxa"/>
            <w:vAlign w:val="center"/>
          </w:tcPr>
          <w:p>
            <w:pPr>
              <w:widowControl/>
              <w:spacing w:line="32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价格分</w:t>
            </w:r>
          </w:p>
        </w:tc>
        <w:tc>
          <w:tcPr>
            <w:tcW w:w="5976" w:type="dxa"/>
            <w:vAlign w:val="center"/>
          </w:tcPr>
          <w:p>
            <w:pPr>
              <w:widowControl/>
              <w:spacing w:line="320" w:lineRule="exact"/>
              <w:jc w:val="center"/>
              <w:rPr>
                <w:color w:val="000000" w:themeColor="text1"/>
              </w:rPr>
            </w:pPr>
            <w:r>
              <w:rPr>
                <w:rFonts w:hint="eastAsia" w:ascii="宋体" w:hAnsi="宋体" w:cs="宋体"/>
                <w:color w:val="000000" w:themeColor="text1"/>
                <w:sz w:val="24"/>
              </w:rPr>
              <w:t>以合格投标人有效总报价中的最低价为基准价，基准价为25分。报价得分=（评标基准价/最终报价）×25%×100（小数点后保留2位小数）。注：评标委员会根据投标人提供的资料综合评判后确认是否给予投标人报价</w:t>
            </w:r>
            <w:r>
              <w:rPr>
                <w:rFonts w:hint="eastAsia" w:ascii="宋体" w:hAnsi="宋体" w:cs="宋体"/>
                <w:color w:val="000000" w:themeColor="text1"/>
                <w:sz w:val="24"/>
                <w:u w:val="single"/>
              </w:rPr>
              <w:t>20%</w:t>
            </w:r>
            <w:r>
              <w:rPr>
                <w:rFonts w:hint="eastAsia" w:ascii="宋体" w:hAnsi="宋体" w:cs="宋体"/>
                <w:color w:val="000000" w:themeColor="text1"/>
                <w:sz w:val="24"/>
              </w:rPr>
              <w:t>的小微企业优惠扣除，用扣除后的价格参加评审。</w:t>
            </w:r>
          </w:p>
        </w:tc>
        <w:tc>
          <w:tcPr>
            <w:tcW w:w="696" w:type="dxa"/>
            <w:vAlign w:val="center"/>
          </w:tcPr>
          <w:p>
            <w:pPr>
              <w:widowControl/>
              <w:spacing w:line="320" w:lineRule="exact"/>
              <w:ind w:left="-105" w:leftChars="-50" w:right="-115" w:rightChars="-55"/>
              <w:jc w:val="center"/>
              <w:rPr>
                <w:rFonts w:ascii="宋体" w:hAnsi="宋体" w:cs="宋体"/>
                <w:color w:val="000000" w:themeColor="text1"/>
                <w:kern w:val="0"/>
                <w:sz w:val="24"/>
              </w:rPr>
            </w:pPr>
            <w:r>
              <w:rPr>
                <w:rFonts w:hint="eastAsia" w:ascii="宋体" w:hAnsi="宋体" w:cs="宋体"/>
                <w:color w:val="000000" w:themeColor="text1"/>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580" w:type="dxa"/>
            <w:gridSpan w:val="3"/>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合计</w:t>
            </w:r>
          </w:p>
        </w:tc>
        <w:tc>
          <w:tcPr>
            <w:tcW w:w="5976" w:type="dxa"/>
            <w:vAlign w:val="center"/>
          </w:tcPr>
          <w:p>
            <w:pPr>
              <w:widowControl/>
              <w:spacing w:line="320" w:lineRule="exact"/>
              <w:jc w:val="center"/>
              <w:rPr>
                <w:rFonts w:ascii="宋体" w:hAnsi="宋体"/>
                <w:color w:val="000000" w:themeColor="text1"/>
                <w:kern w:val="0"/>
                <w:sz w:val="24"/>
              </w:rPr>
            </w:pPr>
          </w:p>
        </w:tc>
        <w:tc>
          <w:tcPr>
            <w:tcW w:w="696" w:type="dxa"/>
            <w:vAlign w:val="center"/>
          </w:tcPr>
          <w:p>
            <w:pPr>
              <w:widowControl/>
              <w:spacing w:line="320" w:lineRule="exact"/>
              <w:ind w:left="-105" w:leftChars="-50" w:right="-115" w:rightChars="-55"/>
              <w:jc w:val="center"/>
              <w:rPr>
                <w:rFonts w:ascii="宋体" w:hAnsi="宋体"/>
                <w:color w:val="000000" w:themeColor="text1"/>
                <w:kern w:val="0"/>
                <w:sz w:val="24"/>
              </w:rPr>
            </w:pPr>
            <w:r>
              <w:rPr>
                <w:rFonts w:ascii="宋体" w:hAnsi="宋体" w:cs="宋体"/>
                <w:color w:val="000000" w:themeColor="text1"/>
                <w:kern w:val="0"/>
                <w:sz w:val="24"/>
              </w:rPr>
              <w:fldChar w:fldCharType="begin"/>
            </w:r>
            <w:r>
              <w:rPr>
                <w:rFonts w:ascii="宋体" w:hAnsi="宋体" w:cs="宋体"/>
                <w:color w:val="000000" w:themeColor="text1"/>
                <w:kern w:val="0"/>
                <w:sz w:val="24"/>
              </w:rPr>
              <w:instrText xml:space="preserve"> =SUM(ABOVE) </w:instrText>
            </w:r>
            <w:r>
              <w:rPr>
                <w:rFonts w:ascii="宋体" w:hAnsi="宋体" w:cs="宋体"/>
                <w:color w:val="000000" w:themeColor="text1"/>
                <w:kern w:val="0"/>
                <w:sz w:val="24"/>
              </w:rPr>
              <w:fldChar w:fldCharType="separate"/>
            </w:r>
            <w:r>
              <w:rPr>
                <w:rFonts w:ascii="宋体" w:hAnsi="宋体" w:cs="宋体"/>
                <w:color w:val="000000" w:themeColor="text1"/>
                <w:kern w:val="0"/>
                <w:sz w:val="24"/>
              </w:rPr>
              <w:t>100</w:t>
            </w:r>
            <w:r>
              <w:rPr>
                <w:rFonts w:ascii="宋体" w:hAnsi="宋体" w:cs="宋体"/>
                <w:color w:val="000000" w:themeColor="text1"/>
                <w:kern w:val="0"/>
                <w:sz w:val="24"/>
              </w:rPr>
              <w:fldChar w:fldCharType="end"/>
            </w:r>
          </w:p>
        </w:tc>
      </w:tr>
    </w:tbl>
    <w:p>
      <w:pPr>
        <w:autoSpaceDE w:val="0"/>
        <w:autoSpaceDN w:val="0"/>
        <w:adjustRightInd w:val="0"/>
        <w:spacing w:line="440" w:lineRule="exact"/>
        <w:ind w:firstLine="361" w:firstLineChars="150"/>
        <w:jc w:val="left"/>
        <w:rPr>
          <w:rFonts w:ascii="宋体" w:hAnsi="宋体"/>
          <w:b/>
          <w:sz w:val="24"/>
        </w:rPr>
      </w:pPr>
      <w:r>
        <w:rPr>
          <w:rFonts w:hint="eastAsia" w:ascii="宋体" w:hAnsi="宋体"/>
          <w:b/>
          <w:sz w:val="24"/>
        </w:rPr>
        <w:t xml:space="preserve">说明： </w:t>
      </w:r>
    </w:p>
    <w:p>
      <w:pPr>
        <w:autoSpaceDE w:val="0"/>
        <w:autoSpaceDN w:val="0"/>
        <w:adjustRightInd w:val="0"/>
        <w:spacing w:line="440" w:lineRule="exact"/>
        <w:ind w:firstLine="361" w:firstLineChars="150"/>
        <w:jc w:val="left"/>
        <w:rPr>
          <w:rFonts w:ascii="宋体" w:hAnsi="宋体"/>
          <w:b/>
          <w:sz w:val="24"/>
          <w:u w:val="single"/>
        </w:rPr>
      </w:pPr>
      <w:r>
        <w:rPr>
          <w:rFonts w:hint="eastAsia" w:ascii="宋体" w:hAnsi="宋体"/>
          <w:b/>
          <w:sz w:val="24"/>
        </w:rPr>
        <w:t>1、</w:t>
      </w:r>
      <w:r>
        <w:rPr>
          <w:rFonts w:hint="eastAsia" w:ascii="宋体" w:hAnsi="宋体"/>
          <w:b/>
          <w:sz w:val="24"/>
          <w:u w:val="single"/>
        </w:rPr>
        <w:t>如果是联合体投标，以上资信技术的所有评分内容均以联合体中占比例最高者作为评标依据，以其提供的相关资质资信、服务内容、业绩等进行评分。</w:t>
      </w:r>
    </w:p>
    <w:bookmarkEnd w:id="41"/>
    <w:p>
      <w:pPr>
        <w:tabs>
          <w:tab w:val="left" w:pos="1168"/>
        </w:tabs>
        <w:spacing w:line="360" w:lineRule="auto"/>
        <w:ind w:firstLine="480" w:firstLineChars="200"/>
        <w:rPr>
          <w:rFonts w:asciiTheme="minorEastAsia" w:hAnsiTheme="minorEastAsia" w:eastAsiaTheme="minorEastAsia"/>
          <w:b/>
          <w:color w:val="000000" w:themeColor="text1"/>
          <w:sz w:val="24"/>
        </w:rPr>
      </w:pPr>
      <w:r>
        <w:rPr>
          <w:rFonts w:hint="eastAsia" w:ascii="宋体" w:hAnsi="宋体" w:cs="宋体"/>
          <w:color w:val="000000" w:themeColor="text1"/>
          <w:sz w:val="24"/>
        </w:rPr>
        <w:t>2、</w:t>
      </w:r>
      <w:r>
        <w:rPr>
          <w:rFonts w:hint="eastAsia" w:ascii="宋体" w:hAnsi="宋体" w:cs="宋体"/>
          <w:b/>
          <w:bCs/>
          <w:color w:val="000000" w:themeColor="text1"/>
          <w:sz w:val="24"/>
        </w:rPr>
        <w:t>本项目共二个标段，两个标段只能中一个标段，不能兼得兼中。</w:t>
      </w:r>
      <w:r>
        <w:rPr>
          <w:rFonts w:hint="eastAsia" w:ascii="宋体" w:hAnsi="宋体"/>
          <w:b/>
          <w:color w:val="000000" w:themeColor="text1"/>
          <w:sz w:val="24"/>
        </w:rPr>
        <w:t>先评审第一标段，再评审第二标段，</w:t>
      </w:r>
      <w:r>
        <w:rPr>
          <w:rFonts w:hint="eastAsia" w:ascii="宋体" w:hAnsi="宋体" w:cs="宋体"/>
          <w:b/>
          <w:bCs/>
          <w:color w:val="000000" w:themeColor="text1"/>
          <w:sz w:val="24"/>
        </w:rPr>
        <w:t>若同一投标人投标多个标段，</w:t>
      </w:r>
      <w:r>
        <w:rPr>
          <w:rFonts w:hint="eastAsia" w:ascii="宋体" w:hAnsi="宋体"/>
          <w:b/>
          <w:color w:val="000000" w:themeColor="text1"/>
          <w:sz w:val="24"/>
        </w:rPr>
        <w:t>按顺序标段已经推荐为中标供应商（第一中标候选人）的，不再继续参与剩余标段的评审（即第一标段的中标候选人或任一联合体成员均不参加第二标段评审）。</w:t>
      </w:r>
      <w:r>
        <w:rPr>
          <w:rFonts w:hint="eastAsia" w:ascii="宋体" w:hAnsi="宋体" w:cs="宋体"/>
          <w:b/>
          <w:bCs/>
          <w:color w:val="000000" w:themeColor="text1"/>
          <w:sz w:val="24"/>
        </w:rPr>
        <w:t>第一标段中标者如为联合体，则联合体的两家保险公司均不能参加第二标段竞标（包括与其他公司组成联合体）。</w:t>
      </w:r>
      <w:r>
        <w:rPr>
          <w:rFonts w:hint="eastAsia" w:ascii="宋体" w:hAnsi="宋体"/>
          <w:b/>
          <w:color w:val="000000" w:themeColor="text1"/>
          <w:sz w:val="24"/>
        </w:rPr>
        <w:t>若某个标段报价有效供应商少于三家，则该标段做废标处理。</w:t>
      </w:r>
    </w:p>
    <w:p>
      <w:pPr>
        <w:autoSpaceDE w:val="0"/>
        <w:autoSpaceDN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 xml:space="preserve"> 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9"/>
        <w:spacing w:before="0" w:beforeAutospacing="0" w:after="0" w:afterAutospacing="0" w:line="360" w:lineRule="auto"/>
        <w:ind w:firstLine="482" w:firstLineChars="200"/>
        <w:jc w:val="both"/>
        <w:rPr>
          <w:rFonts w:hint="default" w:asciiTheme="minorEastAsia" w:hAnsiTheme="minorEastAsia" w:eastAsiaTheme="minorEastAsia"/>
          <w:b/>
          <w:bCs/>
        </w:rPr>
      </w:pPr>
    </w:p>
    <w:p>
      <w:pPr>
        <w:rPr>
          <w:rFonts w:asciiTheme="minorEastAsia" w:hAnsiTheme="minorEastAsia" w:eastAsiaTheme="minorEastAsia"/>
          <w:b/>
          <w:color w:val="000000" w:themeColor="text1"/>
          <w:sz w:val="36"/>
          <w:szCs w:val="36"/>
        </w:rPr>
      </w:pPr>
      <w:bookmarkStart w:id="42" w:name="_Toc27944_WPSOffice_Level1"/>
      <w:r>
        <w:rPr>
          <w:rFonts w:hint="eastAsia" w:asciiTheme="minorEastAsia" w:hAnsiTheme="minorEastAsia" w:eastAsiaTheme="minorEastAsia"/>
          <w:b/>
          <w:color w:val="000000" w:themeColor="text1"/>
          <w:sz w:val="36"/>
          <w:szCs w:val="36"/>
        </w:rPr>
        <w:br w:type="page"/>
      </w:r>
    </w:p>
    <w:p>
      <w:pPr>
        <w:jc w:val="center"/>
        <w:rPr>
          <w:rFonts w:asciiTheme="minorEastAsia" w:hAnsiTheme="minorEastAsia" w:eastAsiaTheme="minorEastAsia"/>
          <w:b/>
          <w:color w:val="000000" w:themeColor="text1"/>
          <w:sz w:val="36"/>
          <w:szCs w:val="36"/>
        </w:rPr>
      </w:pPr>
      <w:r>
        <w:rPr>
          <w:rFonts w:hint="eastAsia" w:asciiTheme="minorEastAsia" w:hAnsiTheme="minorEastAsia" w:eastAsiaTheme="minorEastAsia"/>
          <w:b/>
          <w:color w:val="000000" w:themeColor="text1"/>
          <w:sz w:val="36"/>
          <w:szCs w:val="36"/>
        </w:rPr>
        <w:t xml:space="preserve">第五章 </w:t>
      </w:r>
      <w:bookmarkEnd w:id="42"/>
      <w:r>
        <w:rPr>
          <w:rFonts w:hint="eastAsia" w:asciiTheme="minorEastAsia" w:hAnsiTheme="minorEastAsia" w:eastAsiaTheme="minorEastAsia"/>
          <w:b/>
          <w:color w:val="000000" w:themeColor="text1"/>
          <w:sz w:val="36"/>
          <w:szCs w:val="36"/>
        </w:rPr>
        <w:t>拟签订的合同文本</w:t>
      </w:r>
    </w:p>
    <w:p>
      <w:pPr>
        <w:widowControl/>
        <w:spacing w:line="360" w:lineRule="auto"/>
        <w:ind w:firstLine="480" w:firstLineChars="200"/>
        <w:rPr>
          <w:rFonts w:asciiTheme="minorEastAsia" w:hAnsiTheme="minorEastAsia" w:eastAsiaTheme="minorEastAsia"/>
          <w:sz w:val="24"/>
        </w:rPr>
      </w:pP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3"/>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spacing w:line="460" w:lineRule="exact"/>
        <w:rPr>
          <w:rFonts w:ascii="宋体" w:hAnsi="宋体"/>
          <w:sz w:val="24"/>
        </w:rPr>
      </w:pPr>
      <w:r>
        <w:rPr>
          <w:rFonts w:hint="eastAsia" w:ascii="宋体" w:hAnsi="宋体"/>
          <w:sz w:val="24"/>
        </w:rPr>
        <w:t>甲方（采购人）：温岭市医疗保障局</w:t>
      </w:r>
    </w:p>
    <w:p>
      <w:pPr>
        <w:spacing w:line="460" w:lineRule="exact"/>
        <w:rPr>
          <w:rFonts w:ascii="宋体" w:hAnsi="宋体"/>
          <w:sz w:val="24"/>
        </w:rPr>
      </w:pPr>
      <w:r>
        <w:rPr>
          <w:rFonts w:hint="eastAsia" w:ascii="宋体" w:hAnsi="宋体"/>
          <w:sz w:val="24"/>
        </w:rPr>
        <w:t>乙方（中标人）：</w:t>
      </w:r>
    </w:p>
    <w:p>
      <w:pPr>
        <w:spacing w:line="460" w:lineRule="exact"/>
        <w:ind w:firstLine="472" w:firstLineChars="200"/>
        <w:rPr>
          <w:rFonts w:ascii="宋体" w:hAnsi="宋体"/>
          <w:spacing w:val="-2"/>
          <w:sz w:val="24"/>
        </w:rPr>
      </w:pPr>
      <w:r>
        <w:rPr>
          <w:rFonts w:hint="eastAsia" w:ascii="宋体" w:hAnsi="宋体"/>
          <w:spacing w:val="-2"/>
          <w:sz w:val="24"/>
        </w:rPr>
        <w:t>甲乙双方根据采购结果，并经双方协调一致达成协议如下：</w:t>
      </w:r>
    </w:p>
    <w:p>
      <w:pPr>
        <w:widowControl/>
        <w:snapToGrid w:val="0"/>
        <w:spacing w:beforeLines="50" w:after="50" w:line="380" w:lineRule="exact"/>
        <w:ind w:firstLine="645"/>
        <w:jc w:val="left"/>
        <w:rPr>
          <w:rFonts w:ascii="宋体" w:hAnsi="宋体"/>
          <w:kern w:val="0"/>
          <w:sz w:val="24"/>
        </w:rPr>
      </w:pPr>
      <w:r>
        <w:rPr>
          <w:rFonts w:ascii="宋体" w:hAnsi="宋体" w:cs="宋体"/>
          <w:b/>
          <w:bCs/>
          <w:kern w:val="0"/>
          <w:sz w:val="24"/>
        </w:rPr>
        <w:t>1</w:t>
      </w:r>
      <w:r>
        <w:rPr>
          <w:rFonts w:ascii="宋体" w:hAnsi="宋体" w:cs="宋体"/>
          <w:kern w:val="0"/>
          <w:sz w:val="24"/>
        </w:rPr>
        <w:t>.</w:t>
      </w:r>
      <w:r>
        <w:rPr>
          <w:rFonts w:hint="eastAsia" w:ascii="宋体" w:hAnsi="宋体" w:cs="宋体"/>
          <w:kern w:val="0"/>
          <w:sz w:val="24"/>
        </w:rPr>
        <w:t>合同</w:t>
      </w:r>
      <w:bookmarkStart w:id="43" w:name="OLE_LINK1"/>
      <w:r>
        <w:rPr>
          <w:rFonts w:hint="eastAsia" w:ascii="宋体" w:hAnsi="宋体" w:cs="宋体"/>
          <w:kern w:val="0"/>
          <w:sz w:val="24"/>
        </w:rPr>
        <w:t>范围</w:t>
      </w:r>
      <w:bookmarkEnd w:id="43"/>
    </w:p>
    <w:p>
      <w:pPr>
        <w:widowControl/>
        <w:snapToGrid w:val="0"/>
        <w:spacing w:beforeLines="50" w:after="50" w:line="380" w:lineRule="exact"/>
        <w:ind w:firstLine="645"/>
        <w:jc w:val="left"/>
        <w:rPr>
          <w:rFonts w:ascii="宋体" w:hAnsi="宋体"/>
          <w:kern w:val="0"/>
          <w:sz w:val="24"/>
        </w:rPr>
      </w:pPr>
      <w:r>
        <w:rPr>
          <w:rFonts w:hint="eastAsia" w:ascii="宋体" w:hAnsi="宋体" w:cs="宋体"/>
          <w:kern w:val="0"/>
          <w:sz w:val="24"/>
        </w:rPr>
        <w:t>合同范围应与中标通知书、招标文件及被采购人接受的服务商务规范相一致。合同范围和双方的职责在</w:t>
      </w:r>
      <w:r>
        <w:rPr>
          <w:rFonts w:ascii="宋体" w:hAnsi="宋体" w:cs="宋体"/>
          <w:kern w:val="0"/>
          <w:sz w:val="24"/>
        </w:rPr>
        <w:t xml:space="preserve"> </w:t>
      </w:r>
      <w:r>
        <w:rPr>
          <w:rFonts w:hint="eastAsia" w:ascii="宋体" w:hAnsi="宋体" w:cs="宋体"/>
          <w:kern w:val="0"/>
          <w:sz w:val="24"/>
        </w:rPr>
        <w:t>“招标文件”明确。</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2.</w:t>
      </w:r>
      <w:r>
        <w:rPr>
          <w:rFonts w:hint="eastAsia" w:ascii="宋体" w:hAnsi="宋体" w:cs="宋体"/>
          <w:kern w:val="0"/>
          <w:sz w:val="24"/>
        </w:rPr>
        <w:t>合同的签订</w:t>
      </w:r>
    </w:p>
    <w:p>
      <w:pPr>
        <w:widowControl/>
        <w:snapToGrid w:val="0"/>
        <w:spacing w:beforeLines="50" w:after="50" w:line="380" w:lineRule="exact"/>
        <w:ind w:firstLine="645"/>
        <w:jc w:val="left"/>
        <w:rPr>
          <w:rFonts w:ascii="宋体" w:hAnsi="宋体"/>
          <w:kern w:val="0"/>
          <w:sz w:val="24"/>
        </w:rPr>
      </w:pPr>
      <w:r>
        <w:rPr>
          <w:rFonts w:hint="eastAsia" w:ascii="宋体" w:hAnsi="宋体" w:cs="宋体"/>
          <w:kern w:val="0"/>
          <w:sz w:val="24"/>
        </w:rPr>
        <w:t>中标人在中标通知书发出</w:t>
      </w:r>
      <w:r>
        <w:rPr>
          <w:rFonts w:ascii="宋体" w:hAnsi="宋体" w:cs="宋体"/>
          <w:kern w:val="0"/>
          <w:sz w:val="24"/>
        </w:rPr>
        <w:t>30</w:t>
      </w:r>
      <w:r>
        <w:rPr>
          <w:rFonts w:hint="eastAsia" w:ascii="宋体" w:hAnsi="宋体" w:cs="宋体"/>
          <w:kern w:val="0"/>
          <w:sz w:val="24"/>
        </w:rPr>
        <w:t>日内按招标文件和中标供应商投标文件的约定，和采购人在约定的时间、地点，由法定代表人或授权委托人与采购人签订书面合同。</w:t>
      </w:r>
    </w:p>
    <w:p>
      <w:pPr>
        <w:widowControl/>
        <w:snapToGrid w:val="0"/>
        <w:spacing w:beforeLines="50" w:after="50" w:line="380" w:lineRule="exact"/>
        <w:ind w:firstLine="720" w:firstLineChars="300"/>
        <w:jc w:val="left"/>
        <w:rPr>
          <w:rFonts w:ascii="宋体" w:hAnsi="宋体" w:cs="宋体"/>
          <w:kern w:val="0"/>
          <w:sz w:val="24"/>
        </w:rPr>
      </w:pPr>
      <w:r>
        <w:rPr>
          <w:rFonts w:hint="eastAsia" w:ascii="宋体" w:hAnsi="宋体" w:cs="宋体"/>
          <w:kern w:val="0"/>
          <w:sz w:val="24"/>
        </w:rPr>
        <w:t>3.结算方式</w:t>
      </w:r>
    </w:p>
    <w:p>
      <w:pPr>
        <w:widowControl/>
        <w:snapToGrid w:val="0"/>
        <w:spacing w:beforeLines="50" w:after="50" w:line="380" w:lineRule="exact"/>
        <w:ind w:firstLine="720" w:firstLineChars="300"/>
        <w:jc w:val="left"/>
        <w:rPr>
          <w:rFonts w:ascii="宋体" w:hAnsi="宋体" w:cs="宋体"/>
          <w:kern w:val="0"/>
          <w:sz w:val="24"/>
        </w:rPr>
      </w:pPr>
      <w:r>
        <w:rPr>
          <w:rFonts w:hint="eastAsia" w:ascii="宋体" w:hAnsi="宋体" w:cs="宋体"/>
          <w:kern w:val="0"/>
          <w:sz w:val="24"/>
        </w:rPr>
        <w:t>3.1市医疗保障局按时支付相应保费，城乡医保按照集中征缴参保人数支付保费，职工医保按照上一年度末参保人数支付保费，并在次年第一季度按实际发生数调整保费。</w:t>
      </w:r>
    </w:p>
    <w:p>
      <w:pPr>
        <w:widowControl/>
        <w:snapToGrid w:val="0"/>
        <w:spacing w:beforeLines="50" w:line="380" w:lineRule="exact"/>
        <w:ind w:firstLine="720" w:firstLineChars="300"/>
        <w:jc w:val="left"/>
        <w:rPr>
          <w:rFonts w:ascii="宋体" w:hAnsi="宋体" w:cs="宋体"/>
          <w:color w:val="FF0000"/>
          <w:kern w:val="0"/>
          <w:sz w:val="24"/>
        </w:rPr>
      </w:pPr>
      <w:r>
        <w:rPr>
          <w:rFonts w:hint="eastAsia" w:ascii="宋体" w:hAnsi="宋体" w:cs="宋体"/>
          <w:kern w:val="0"/>
          <w:sz w:val="24"/>
        </w:rPr>
        <w:t>3.2市医保局在2023年1月支付第一</w:t>
      </w:r>
      <w:r>
        <w:rPr>
          <w:rFonts w:hint="eastAsia" w:ascii="宋体" w:hAnsi="宋体" w:cs="宋体"/>
          <w:color w:val="000000" w:themeColor="text1"/>
          <w:kern w:val="0"/>
          <w:sz w:val="24"/>
        </w:rPr>
        <w:t>个月</w:t>
      </w:r>
      <w:r>
        <w:rPr>
          <w:rFonts w:hint="eastAsia" w:ascii="宋体" w:hAnsi="宋体" w:cs="宋体"/>
          <w:kern w:val="0"/>
          <w:sz w:val="24"/>
        </w:rPr>
        <w:t>保费，</w:t>
      </w:r>
      <w:r>
        <w:rPr>
          <w:rFonts w:hint="eastAsia" w:ascii="宋体" w:hAnsi="宋体" w:cs="宋体"/>
          <w:color w:val="000000" w:themeColor="text1"/>
          <w:kern w:val="0"/>
          <w:sz w:val="24"/>
        </w:rPr>
        <w:t>意外伤害赔付费用先由市医疗保障局垫付，中标方将实际发生的赔付费用及时归还医保经办机构。医保经办机构在收到中标方的上月赔付费用后，支付下一月保费。</w:t>
      </w:r>
    </w:p>
    <w:p>
      <w:pPr>
        <w:widowControl/>
        <w:snapToGrid w:val="0"/>
        <w:spacing w:beforeLines="50" w:after="50" w:line="380" w:lineRule="exact"/>
        <w:ind w:firstLine="720" w:firstLineChars="300"/>
        <w:jc w:val="left"/>
        <w:rPr>
          <w:rFonts w:ascii="宋体" w:hAnsi="宋体"/>
          <w:kern w:val="0"/>
          <w:sz w:val="24"/>
        </w:rPr>
      </w:pPr>
      <w:r>
        <w:rPr>
          <w:rFonts w:hint="eastAsia" w:ascii="宋体" w:hAnsi="宋体" w:cs="宋体"/>
          <w:kern w:val="0"/>
          <w:sz w:val="24"/>
        </w:rPr>
        <w:t>3.3当中标方支付金额达到当年度保费104%时，中标方可以申请停止支付意外伤害费用，由医疗保障局继续支付后续费用。</w:t>
      </w:r>
    </w:p>
    <w:p>
      <w:pPr>
        <w:shd w:val="clear" w:color="auto" w:fill="FFFFFF"/>
        <w:snapToGrid w:val="0"/>
        <w:spacing w:line="540" w:lineRule="exact"/>
        <w:ind w:firstLine="720" w:firstLineChars="300"/>
        <w:rPr>
          <w:rFonts w:ascii="宋体" w:hAnsi="宋体"/>
          <w:color w:val="000000"/>
          <w:kern w:val="0"/>
          <w:sz w:val="24"/>
        </w:rPr>
      </w:pPr>
      <w:r>
        <w:rPr>
          <w:rFonts w:hint="eastAsia" w:ascii="宋体" w:hAnsi="宋体" w:cs="宋体"/>
          <w:sz w:val="24"/>
        </w:rPr>
        <w:t>3.4年度</w:t>
      </w:r>
      <w:r>
        <w:rPr>
          <w:rFonts w:hint="eastAsia" w:ascii="宋体" w:hAnsi="宋体" w:cs="宋体"/>
          <w:color w:val="000000"/>
          <w:sz w:val="24"/>
        </w:rPr>
        <w:t>清算时根据城乡医保参保人数和</w:t>
      </w:r>
      <w:r>
        <w:rPr>
          <w:rFonts w:hint="eastAsia" w:ascii="宋体" w:hAnsi="宋体" w:cs="宋体"/>
          <w:color w:val="000000" w:themeColor="text1"/>
          <w:sz w:val="24"/>
        </w:rPr>
        <w:t>职工医保月平均参保人数，</w:t>
      </w:r>
      <w:r>
        <w:rPr>
          <w:rFonts w:hint="eastAsia" w:ascii="宋体" w:hAnsi="宋体" w:cs="宋体"/>
          <w:color w:val="000000"/>
          <w:sz w:val="24"/>
        </w:rPr>
        <w:t>按照合同的单价进行按实结算。根据盈亏分摊办法，</w:t>
      </w:r>
      <w:r>
        <w:rPr>
          <w:rFonts w:hint="eastAsia" w:ascii="宋体" w:hAnsi="宋体" w:cs="宋体"/>
          <w:color w:val="000000"/>
          <w:kern w:val="0"/>
          <w:sz w:val="24"/>
        </w:rPr>
        <w:t>节约部分在年终结算后由中标人在十五天内向采购人支付，超支部分在年终清算后按照中标方实际支付情况由采购人予以一次性支付。</w:t>
      </w:r>
    </w:p>
    <w:p>
      <w:pPr>
        <w:widowControl/>
        <w:snapToGrid w:val="0"/>
        <w:spacing w:beforeLines="50" w:after="50" w:line="380" w:lineRule="exact"/>
        <w:ind w:firstLine="645"/>
        <w:jc w:val="left"/>
        <w:rPr>
          <w:rFonts w:ascii="宋体" w:hAnsi="宋体"/>
          <w:color w:val="auto"/>
          <w:kern w:val="0"/>
          <w:sz w:val="24"/>
        </w:rPr>
      </w:pPr>
      <w:r>
        <w:rPr>
          <w:rFonts w:ascii="宋体" w:hAnsi="宋体" w:cs="宋体"/>
          <w:color w:val="auto"/>
          <w:kern w:val="0"/>
          <w:sz w:val="24"/>
        </w:rPr>
        <w:t>4.</w:t>
      </w:r>
      <w:r>
        <w:rPr>
          <w:rFonts w:hint="eastAsia" w:ascii="宋体" w:hAnsi="宋体" w:cs="宋体"/>
          <w:color w:val="auto"/>
          <w:kern w:val="0"/>
          <w:sz w:val="24"/>
        </w:rPr>
        <w:t>履约保证金</w:t>
      </w:r>
    </w:p>
    <w:p>
      <w:pPr>
        <w:widowControl/>
        <w:snapToGrid w:val="0"/>
        <w:spacing w:beforeLines="50" w:after="50" w:line="380" w:lineRule="exact"/>
        <w:ind w:firstLine="645"/>
        <w:jc w:val="left"/>
        <w:rPr>
          <w:rFonts w:hint="eastAsia" w:ascii="宋体" w:hAnsi="宋体" w:cs="宋体"/>
          <w:color w:val="auto"/>
          <w:kern w:val="0"/>
          <w:sz w:val="24"/>
        </w:rPr>
      </w:pPr>
      <w:r>
        <w:rPr>
          <w:rFonts w:hint="eastAsia" w:ascii="宋体" w:hAnsi="宋体" w:cs="宋体"/>
          <w:color w:val="auto"/>
          <w:kern w:val="0"/>
          <w:sz w:val="24"/>
        </w:rPr>
        <w:t>1）金额：金额见前要求</w:t>
      </w:r>
    </w:p>
    <w:p>
      <w:pPr>
        <w:widowControl/>
        <w:snapToGrid w:val="0"/>
        <w:spacing w:beforeLines="50" w:after="50" w:line="380" w:lineRule="exact"/>
        <w:ind w:firstLine="645"/>
        <w:jc w:val="left"/>
        <w:rPr>
          <w:rFonts w:hint="eastAsia" w:ascii="宋体" w:hAnsi="宋体" w:cs="宋体"/>
          <w:color w:val="auto"/>
          <w:kern w:val="0"/>
          <w:sz w:val="24"/>
        </w:rPr>
      </w:pPr>
      <w:r>
        <w:rPr>
          <w:rFonts w:hint="eastAsia" w:ascii="宋体" w:hAnsi="宋体" w:cs="宋体"/>
          <w:color w:val="auto"/>
          <w:kern w:val="0"/>
          <w:sz w:val="24"/>
        </w:rPr>
        <w:t>2）收取方式：网银、汇票、电汇、转账支付等非现金方式或银行、保险公司出具的保函形式；</w:t>
      </w:r>
    </w:p>
    <w:p>
      <w:pPr>
        <w:widowControl/>
        <w:snapToGrid w:val="0"/>
        <w:spacing w:beforeLines="50" w:after="50" w:line="380" w:lineRule="exact"/>
        <w:ind w:firstLine="645"/>
        <w:jc w:val="left"/>
        <w:rPr>
          <w:rFonts w:hint="eastAsia" w:ascii="宋体" w:hAnsi="宋体" w:cs="宋体"/>
          <w:color w:val="auto"/>
          <w:kern w:val="0"/>
          <w:sz w:val="24"/>
        </w:rPr>
      </w:pPr>
      <w:r>
        <w:rPr>
          <w:rFonts w:hint="eastAsia" w:ascii="宋体" w:hAnsi="宋体" w:cs="宋体"/>
          <w:color w:val="auto"/>
          <w:kern w:val="0"/>
          <w:sz w:val="24"/>
        </w:rPr>
        <w:t>3）交纳时间为2022年  月   日，合同签订前交至采购人处</w:t>
      </w:r>
      <w:r>
        <w:rPr>
          <w:rFonts w:hint="eastAsia" w:ascii="宋体" w:hAnsi="宋体" w:eastAsia="宋体" w:cs="宋体"/>
          <w:b w:val="0"/>
          <w:color w:val="auto"/>
          <w:kern w:val="0"/>
          <w:sz w:val="24"/>
          <w:szCs w:val="24"/>
          <w:lang w:val="en-US" w:eastAsia="zh-CN" w:bidi="ar-SA"/>
        </w:rPr>
        <w:t>，</w:t>
      </w:r>
      <w:r>
        <w:rPr>
          <w:rFonts w:hint="eastAsia" w:ascii="宋体" w:hAnsi="宋体" w:cs="宋体"/>
          <w:color w:val="auto"/>
          <w:kern w:val="0"/>
          <w:sz w:val="24"/>
        </w:rPr>
        <w:t>在</w:t>
      </w:r>
      <w:r>
        <w:rPr>
          <w:rFonts w:hint="eastAsia" w:ascii="宋体" w:hAnsi="宋体" w:cs="宋体"/>
          <w:color w:val="auto"/>
          <w:kern w:val="0"/>
          <w:sz w:val="24"/>
          <w:lang w:eastAsia="zh-CN"/>
        </w:rPr>
        <w:t>最终清算</w:t>
      </w:r>
      <w:r>
        <w:rPr>
          <w:rFonts w:hint="eastAsia" w:ascii="宋体" w:hAnsi="宋体" w:cs="宋体"/>
          <w:color w:val="auto"/>
          <w:kern w:val="0"/>
          <w:sz w:val="24"/>
        </w:rPr>
        <w:t>后</w:t>
      </w:r>
      <w:r>
        <w:rPr>
          <w:rFonts w:ascii="宋体" w:hAnsi="宋体" w:cs="宋体"/>
          <w:color w:val="auto"/>
          <w:kern w:val="0"/>
          <w:sz w:val="24"/>
        </w:rPr>
        <w:t>15</w:t>
      </w:r>
      <w:r>
        <w:rPr>
          <w:rFonts w:hint="eastAsia" w:ascii="宋体" w:hAnsi="宋体" w:cs="宋体"/>
          <w:color w:val="auto"/>
          <w:kern w:val="0"/>
          <w:sz w:val="24"/>
        </w:rPr>
        <w:t>个工作日内无息退还。</w:t>
      </w:r>
    </w:p>
    <w:p>
      <w:pPr>
        <w:widowControl/>
        <w:snapToGrid w:val="0"/>
        <w:spacing w:beforeLines="50" w:after="50" w:line="380" w:lineRule="exact"/>
        <w:ind w:firstLine="645"/>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服务标准和考核</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5.1</w:t>
      </w:r>
      <w:r>
        <w:rPr>
          <w:rFonts w:hint="eastAsia" w:ascii="宋体" w:hAnsi="宋体" w:cs="宋体"/>
          <w:kern w:val="0"/>
          <w:sz w:val="24"/>
        </w:rPr>
        <w:t>中标人提供的服务必须是合法有效。</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5.2</w:t>
      </w:r>
      <w:r>
        <w:rPr>
          <w:rFonts w:hint="eastAsia" w:ascii="宋体" w:hAnsi="宋体" w:cs="宋体"/>
          <w:kern w:val="0"/>
          <w:sz w:val="24"/>
        </w:rPr>
        <w:t>中标人对于服务分评分标准中承诺的实现及时结算支付及拨付费用、服务投诉率和赔案的核查率等事项，以及在投标书中承诺的增值服务等内容，将列为合作的履约必要条款，并作为考核中标人年度业绩情况的依据之一。</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5.3</w:t>
      </w:r>
      <w:r>
        <w:rPr>
          <w:rFonts w:hint="eastAsia" w:ascii="宋体" w:hAnsi="宋体" w:cs="宋体"/>
          <w:kern w:val="0"/>
          <w:sz w:val="24"/>
        </w:rPr>
        <w:t>因中标人提供的服务达不到约定的标准，中标人承担违约责任。</w:t>
      </w:r>
    </w:p>
    <w:p>
      <w:pPr>
        <w:widowControl/>
        <w:snapToGrid w:val="0"/>
        <w:spacing w:beforeLines="50" w:after="50" w:line="380" w:lineRule="exact"/>
        <w:ind w:firstLine="645"/>
        <w:jc w:val="left"/>
        <w:rPr>
          <w:rFonts w:ascii="宋体" w:hAnsi="宋体" w:cs="宋体"/>
          <w:kern w:val="0"/>
          <w:sz w:val="24"/>
        </w:rPr>
      </w:pPr>
      <w:r>
        <w:rPr>
          <w:rFonts w:ascii="宋体" w:hAnsi="宋体" w:cs="宋体"/>
          <w:kern w:val="0"/>
          <w:sz w:val="24"/>
        </w:rPr>
        <w:t>5.4</w:t>
      </w:r>
      <w:r>
        <w:rPr>
          <w:rFonts w:hint="eastAsia" w:ascii="宋体" w:hAnsi="宋体" w:cs="宋体"/>
          <w:kern w:val="0"/>
          <w:sz w:val="24"/>
        </w:rPr>
        <w:t>考核由采购人按规定组织相关人员或专家进行。</w:t>
      </w:r>
    </w:p>
    <w:p>
      <w:pPr>
        <w:widowControl/>
        <w:snapToGrid w:val="0"/>
        <w:spacing w:beforeLines="50" w:after="50" w:line="380" w:lineRule="exact"/>
        <w:ind w:firstLine="645"/>
        <w:jc w:val="left"/>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违约责任</w:t>
      </w:r>
    </w:p>
    <w:p>
      <w:pPr>
        <w:widowControl/>
        <w:snapToGrid w:val="0"/>
        <w:spacing w:beforeLines="50" w:after="50" w:line="380" w:lineRule="exact"/>
        <w:ind w:firstLine="645"/>
        <w:jc w:val="left"/>
        <w:rPr>
          <w:rFonts w:ascii="宋体" w:hAnsi="宋体" w:cs="宋体"/>
          <w:color w:val="000000"/>
          <w:kern w:val="0"/>
          <w:sz w:val="24"/>
        </w:rPr>
      </w:pPr>
      <w:r>
        <w:rPr>
          <w:rFonts w:hint="eastAsia" w:ascii="宋体" w:hAnsi="宋体" w:cs="宋体"/>
          <w:color w:val="000000"/>
          <w:kern w:val="0"/>
          <w:sz w:val="24"/>
        </w:rPr>
        <w:t>在本协议执行过程中，采购人在接到投诉或主动不定期对中标方执行合同的情况进行监督检查，中标人有下列行为之一的，将根据考核办法进行处理，情节严重的采购方有权解除合同，并扣除中标方的履约保证金：</w:t>
      </w:r>
    </w:p>
    <w:p>
      <w:pPr>
        <w:widowControl/>
        <w:numPr>
          <w:ilvl w:val="0"/>
          <w:numId w:val="10"/>
        </w:numPr>
        <w:snapToGrid w:val="0"/>
        <w:spacing w:beforeLines="50" w:after="50" w:line="380" w:lineRule="exact"/>
        <w:jc w:val="left"/>
        <w:rPr>
          <w:rFonts w:ascii="宋体" w:hAnsi="宋体" w:cs="宋体"/>
          <w:color w:val="000000"/>
          <w:kern w:val="0"/>
          <w:sz w:val="24"/>
        </w:rPr>
      </w:pPr>
      <w:r>
        <w:rPr>
          <w:rFonts w:hint="eastAsia" w:ascii="宋体" w:hAnsi="宋体" w:cs="宋体"/>
          <w:color w:val="000000"/>
          <w:kern w:val="0"/>
          <w:sz w:val="24"/>
        </w:rPr>
        <w:t>中标人在被保险人手续齐全的情况下，无故拖延赔偿或者拒绝支付赔偿的；</w:t>
      </w:r>
    </w:p>
    <w:p>
      <w:pPr>
        <w:widowControl/>
        <w:numPr>
          <w:ilvl w:val="0"/>
          <w:numId w:val="10"/>
        </w:numPr>
        <w:snapToGrid w:val="0"/>
        <w:spacing w:beforeLines="50" w:after="50" w:line="380" w:lineRule="exact"/>
        <w:jc w:val="left"/>
        <w:rPr>
          <w:rFonts w:ascii="宋体" w:hAnsi="宋体" w:cs="宋体"/>
          <w:color w:val="000000"/>
          <w:kern w:val="0"/>
          <w:sz w:val="24"/>
        </w:rPr>
      </w:pPr>
      <w:r>
        <w:rPr>
          <w:rFonts w:hint="eastAsia" w:ascii="宋体" w:hAnsi="宋体" w:cs="宋体"/>
          <w:color w:val="000000"/>
          <w:kern w:val="0"/>
          <w:sz w:val="24"/>
        </w:rPr>
        <w:t>在理赔过程中擅自提高起付标准、降低赔付比例和缩小支付范围的；</w:t>
      </w:r>
    </w:p>
    <w:p>
      <w:pPr>
        <w:widowControl/>
        <w:numPr>
          <w:ilvl w:val="0"/>
          <w:numId w:val="10"/>
        </w:numPr>
        <w:snapToGrid w:val="0"/>
        <w:spacing w:beforeLines="50" w:after="50" w:line="380" w:lineRule="exact"/>
        <w:jc w:val="left"/>
        <w:rPr>
          <w:rFonts w:ascii="宋体" w:hAnsi="宋体" w:cs="宋体"/>
          <w:color w:val="000000"/>
          <w:kern w:val="0"/>
          <w:sz w:val="24"/>
        </w:rPr>
      </w:pPr>
      <w:r>
        <w:rPr>
          <w:rFonts w:hint="eastAsia" w:ascii="宋体" w:hAnsi="宋体" w:cs="宋体"/>
          <w:color w:val="000000"/>
          <w:kern w:val="0"/>
          <w:sz w:val="24"/>
        </w:rPr>
        <w:t>未按标书上的承诺履行服务承诺的；</w:t>
      </w:r>
    </w:p>
    <w:p>
      <w:pPr>
        <w:widowControl/>
        <w:numPr>
          <w:ilvl w:val="0"/>
          <w:numId w:val="10"/>
        </w:numPr>
        <w:snapToGrid w:val="0"/>
        <w:spacing w:beforeLines="50" w:after="50" w:line="380" w:lineRule="exact"/>
        <w:jc w:val="left"/>
        <w:rPr>
          <w:rFonts w:ascii="宋体" w:hAnsi="宋体" w:cs="宋体"/>
          <w:color w:val="000000"/>
          <w:kern w:val="0"/>
          <w:sz w:val="24"/>
        </w:rPr>
      </w:pPr>
      <w:r>
        <w:rPr>
          <w:rFonts w:hint="eastAsia" w:ascii="宋体" w:hAnsi="宋体" w:cs="宋体"/>
          <w:color w:val="000000"/>
          <w:kern w:val="0"/>
          <w:sz w:val="24"/>
        </w:rPr>
        <w:t>不能主动化解矛盾，使被保险人向采购人或者相关部门屡次信访、投诉的；</w:t>
      </w:r>
    </w:p>
    <w:p>
      <w:pPr>
        <w:widowControl/>
        <w:numPr>
          <w:ilvl w:val="0"/>
          <w:numId w:val="10"/>
        </w:numPr>
        <w:snapToGrid w:val="0"/>
        <w:spacing w:beforeLines="50" w:after="50" w:line="380" w:lineRule="exact"/>
        <w:jc w:val="left"/>
        <w:rPr>
          <w:rFonts w:ascii="宋体" w:hAnsi="宋体" w:cs="宋体"/>
          <w:color w:val="000000"/>
          <w:kern w:val="0"/>
          <w:sz w:val="24"/>
        </w:rPr>
      </w:pPr>
      <w:r>
        <w:rPr>
          <w:rFonts w:hint="eastAsia" w:ascii="宋体" w:hAnsi="宋体" w:cs="宋体"/>
          <w:color w:val="000000"/>
          <w:kern w:val="0"/>
          <w:sz w:val="24"/>
        </w:rPr>
        <w:t>中标人工作人员违反采购方工作纪律、工作效能等给采购方造成不良影响的；</w:t>
      </w:r>
    </w:p>
    <w:p>
      <w:pPr>
        <w:widowControl/>
        <w:numPr>
          <w:ilvl w:val="0"/>
          <w:numId w:val="10"/>
        </w:numPr>
        <w:snapToGrid w:val="0"/>
        <w:spacing w:beforeLines="50" w:after="50" w:line="380" w:lineRule="exact"/>
        <w:jc w:val="left"/>
        <w:rPr>
          <w:rFonts w:ascii="宋体" w:hAnsi="宋体" w:cs="宋体"/>
          <w:color w:val="000000"/>
          <w:kern w:val="0"/>
          <w:sz w:val="24"/>
        </w:rPr>
      </w:pPr>
      <w:r>
        <w:rPr>
          <w:rFonts w:hint="eastAsia" w:ascii="宋体" w:hAnsi="宋体" w:cs="宋体"/>
          <w:color w:val="000000"/>
          <w:kern w:val="0"/>
          <w:sz w:val="24"/>
        </w:rPr>
        <w:t>其他严重违反本协议条款的情况。</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7</w:t>
      </w:r>
      <w:r>
        <w:rPr>
          <w:rFonts w:hint="eastAsia" w:ascii="宋体" w:hAnsi="宋体" w:cs="宋体"/>
          <w:kern w:val="0"/>
          <w:sz w:val="24"/>
        </w:rPr>
        <w:t>．违约赔偿</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7.1</w:t>
      </w:r>
      <w:r>
        <w:rPr>
          <w:rFonts w:hint="eastAsia" w:ascii="宋体" w:hAnsi="宋体" w:cs="宋体"/>
          <w:kern w:val="0"/>
          <w:sz w:val="24"/>
        </w:rPr>
        <w:t>除不可抗力外，应及时以书面形式通知对方。双方应本着友好的态度进行协商，妥善解决。如协商无效，按规定处以违约金。</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7.2</w:t>
      </w:r>
      <w:r>
        <w:rPr>
          <w:rFonts w:hint="eastAsia" w:ascii="宋体" w:hAnsi="宋体" w:cs="宋体"/>
          <w:kern w:val="0"/>
          <w:sz w:val="24"/>
        </w:rPr>
        <w:t>双方在规定时间无正当理由拒签合同者，以招标违约处理，并赔偿对方由此造成的直接经济损失。</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8.</w:t>
      </w:r>
      <w:r>
        <w:rPr>
          <w:rFonts w:hint="eastAsia" w:ascii="宋体" w:hAnsi="宋体" w:cs="宋体"/>
          <w:kern w:val="0"/>
          <w:sz w:val="24"/>
        </w:rPr>
        <w:t>解决合同纠纷的方式</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8.1</w:t>
      </w:r>
      <w:r>
        <w:rPr>
          <w:rFonts w:hint="eastAsia" w:ascii="宋体" w:hAnsi="宋体" w:cs="宋体"/>
          <w:kern w:val="0"/>
          <w:sz w:val="24"/>
        </w:rPr>
        <w:t>凡有关本合同或与本合同中发生的争端，双方应通过友好协商，妥善解决。如通过协商仍不能解决时，可向当地的人民法院起诉。</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8.2</w:t>
      </w:r>
      <w:r>
        <w:rPr>
          <w:rFonts w:hint="eastAsia" w:ascii="宋体" w:hAnsi="宋体" w:cs="宋体"/>
          <w:kern w:val="0"/>
          <w:sz w:val="24"/>
        </w:rPr>
        <w:t>诉讼费用除人民法院另有裁决外，由败诉方承担。</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8.3</w:t>
      </w:r>
      <w:r>
        <w:rPr>
          <w:rFonts w:hint="eastAsia" w:ascii="宋体" w:hAnsi="宋体" w:cs="宋体"/>
          <w:kern w:val="0"/>
          <w:sz w:val="24"/>
        </w:rPr>
        <w:t>在诉讼期间，除正在进行裁定的部分外，本合同其他部分应继续执行。</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8.4</w:t>
      </w:r>
      <w:r>
        <w:rPr>
          <w:rFonts w:hint="eastAsia" w:ascii="宋体" w:hAnsi="宋体" w:cs="宋体"/>
          <w:kern w:val="0"/>
          <w:sz w:val="24"/>
        </w:rPr>
        <w:t>合同应在双方签字盖章，采购人收到中标人提供的履约保证金后开始生效。</w:t>
      </w:r>
    </w:p>
    <w:p>
      <w:pPr>
        <w:widowControl/>
        <w:snapToGrid w:val="0"/>
        <w:spacing w:beforeLines="50" w:after="50" w:line="380" w:lineRule="exact"/>
        <w:ind w:firstLine="645"/>
        <w:jc w:val="left"/>
        <w:rPr>
          <w:rFonts w:ascii="宋体" w:hAnsi="宋体"/>
          <w:kern w:val="0"/>
          <w:sz w:val="24"/>
        </w:rPr>
      </w:pPr>
      <w:r>
        <w:rPr>
          <w:rFonts w:ascii="宋体" w:hAnsi="宋体" w:cs="宋体"/>
          <w:kern w:val="0"/>
          <w:sz w:val="24"/>
        </w:rPr>
        <w:t>9.</w:t>
      </w:r>
      <w:r>
        <w:rPr>
          <w:rFonts w:hint="eastAsia" w:ascii="宋体" w:hAnsi="宋体" w:cs="宋体"/>
          <w:kern w:val="0"/>
          <w:sz w:val="24"/>
        </w:rPr>
        <w:t>合同修改</w:t>
      </w:r>
    </w:p>
    <w:p>
      <w:pPr>
        <w:widowControl/>
        <w:snapToGrid w:val="0"/>
        <w:spacing w:beforeLines="50" w:after="50" w:line="380" w:lineRule="exact"/>
        <w:ind w:firstLine="645"/>
        <w:jc w:val="left"/>
        <w:rPr>
          <w:rFonts w:ascii="宋体" w:hAnsi="宋体"/>
          <w:kern w:val="0"/>
          <w:sz w:val="24"/>
        </w:rPr>
      </w:pPr>
      <w:r>
        <w:rPr>
          <w:rFonts w:hint="eastAsia" w:ascii="宋体" w:hAnsi="宋体" w:cs="宋体"/>
          <w:kern w:val="0"/>
          <w:sz w:val="24"/>
        </w:rPr>
        <w:t>双方的任何一方对合同内容提出修改，均应以书面形式通知对方，并达成由双方签署的合同修改书，须报政府采购管理部门批准。</w:t>
      </w:r>
    </w:p>
    <w:p>
      <w:pPr>
        <w:spacing w:line="460" w:lineRule="exact"/>
        <w:ind w:firstLine="480" w:firstLineChars="200"/>
        <w:rPr>
          <w:rFonts w:ascii="宋体" w:hAnsi="宋体"/>
          <w:sz w:val="24"/>
        </w:rPr>
      </w:pPr>
      <w:r>
        <w:rPr>
          <w:rFonts w:hint="eastAsia" w:ascii="宋体" w:hAnsi="宋体"/>
          <w:sz w:val="24"/>
        </w:rPr>
        <w:t>10.本合同一式六份，均具同等效力，供需双方各执二份，市政府采购中心、市财政局各留档一份。</w:t>
      </w:r>
    </w:p>
    <w:p>
      <w:pPr>
        <w:spacing w:line="460" w:lineRule="exact"/>
        <w:rPr>
          <w:rFonts w:ascii="宋体" w:hAnsi="宋体"/>
          <w:sz w:val="24"/>
        </w:rPr>
      </w:pPr>
    </w:p>
    <w:p>
      <w:pPr>
        <w:spacing w:line="460" w:lineRule="exact"/>
        <w:rPr>
          <w:rFonts w:ascii="宋体" w:hAnsi="宋体"/>
          <w:sz w:val="24"/>
        </w:rPr>
      </w:pPr>
      <w:r>
        <w:rPr>
          <w:rFonts w:hint="eastAsia" w:ascii="宋体" w:hAnsi="宋体"/>
          <w:b/>
          <w:sz w:val="24"/>
        </w:rPr>
        <w:t>甲方（公章）:</w:t>
      </w:r>
      <w:r>
        <w:rPr>
          <w:rFonts w:hint="eastAsia" w:ascii="宋体" w:hAnsi="宋体"/>
          <w:sz w:val="24"/>
        </w:rPr>
        <w:t xml:space="preserve">                     乙</w:t>
      </w:r>
      <w:r>
        <w:rPr>
          <w:rFonts w:hint="eastAsia" w:ascii="宋体" w:hAnsi="宋体"/>
          <w:b/>
          <w:sz w:val="24"/>
        </w:rPr>
        <w:t>方（公章）：</w:t>
      </w:r>
      <w:r>
        <w:rPr>
          <w:rFonts w:hint="eastAsia" w:ascii="宋体" w:hAnsi="宋体"/>
          <w:sz w:val="24"/>
        </w:rPr>
        <w:t xml:space="preserve"> </w:t>
      </w:r>
    </w:p>
    <w:p>
      <w:pPr>
        <w:spacing w:line="460" w:lineRule="exact"/>
        <w:ind w:firstLine="1680" w:firstLineChars="700"/>
        <w:rPr>
          <w:rFonts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p>
    <w:p>
      <w:pPr>
        <w:spacing w:line="460" w:lineRule="exact"/>
        <w:ind w:left="2160" w:hanging="2160" w:hangingChars="900"/>
        <w:jc w:val="left"/>
        <w:rPr>
          <w:rFonts w:ascii="宋体" w:hAnsi="宋体"/>
          <w:sz w:val="24"/>
        </w:rPr>
      </w:pPr>
      <w:r>
        <w:rPr>
          <w:rFonts w:hint="eastAsia" w:ascii="宋体" w:hAnsi="宋体"/>
          <w:sz w:val="24"/>
        </w:rPr>
        <w:t>法定代表人：                       法定代表人：</w:t>
      </w:r>
    </w:p>
    <w:p>
      <w:pPr>
        <w:spacing w:line="460" w:lineRule="exact"/>
        <w:jc w:val="left"/>
        <w:rPr>
          <w:rFonts w:ascii="宋体" w:hAnsi="宋体"/>
          <w:sz w:val="24"/>
        </w:rPr>
      </w:pPr>
      <w:r>
        <w:rPr>
          <w:rFonts w:hint="eastAsia" w:ascii="宋体" w:hAnsi="宋体"/>
          <w:sz w:val="24"/>
        </w:rPr>
        <w:t>委托代理人：                       委托代理人：</w:t>
      </w:r>
    </w:p>
    <w:p>
      <w:pPr>
        <w:spacing w:line="460" w:lineRule="exact"/>
        <w:jc w:val="left"/>
        <w:rPr>
          <w:rFonts w:ascii="宋体" w:hAnsi="宋体"/>
          <w:sz w:val="24"/>
        </w:rPr>
      </w:pPr>
      <w:r>
        <w:rPr>
          <w:rFonts w:hint="eastAsia" w:ascii="宋体" w:hAnsi="宋体"/>
          <w:sz w:val="24"/>
        </w:rPr>
        <w:t>地址：                             地址：</w:t>
      </w:r>
    </w:p>
    <w:p>
      <w:pPr>
        <w:spacing w:line="460" w:lineRule="exact"/>
        <w:jc w:val="left"/>
        <w:rPr>
          <w:rFonts w:ascii="宋体" w:hAnsi="宋体"/>
          <w:sz w:val="24"/>
        </w:rPr>
      </w:pPr>
      <w:r>
        <w:rPr>
          <w:rFonts w:hint="eastAsia" w:ascii="宋体" w:hAnsi="宋体"/>
          <w:sz w:val="24"/>
        </w:rPr>
        <w:t>电话：                             电话：</w:t>
      </w:r>
    </w:p>
    <w:p>
      <w:pPr>
        <w:spacing w:line="460" w:lineRule="exact"/>
        <w:jc w:val="left"/>
        <w:rPr>
          <w:rFonts w:ascii="宋体" w:hAnsi="宋体"/>
          <w:sz w:val="24"/>
        </w:rPr>
      </w:pPr>
      <w:r>
        <w:rPr>
          <w:rFonts w:hint="eastAsia" w:ascii="宋体" w:hAnsi="宋体"/>
          <w:sz w:val="24"/>
        </w:rPr>
        <w:t>开户银行：                         开户银行：</w:t>
      </w:r>
    </w:p>
    <w:p>
      <w:pPr>
        <w:tabs>
          <w:tab w:val="left" w:pos="180"/>
        </w:tabs>
        <w:spacing w:line="460" w:lineRule="exact"/>
        <w:jc w:val="left"/>
        <w:rPr>
          <w:rFonts w:ascii="宋体" w:hAnsi="宋体"/>
          <w:sz w:val="24"/>
        </w:rPr>
      </w:pPr>
      <w:r>
        <w:rPr>
          <w:rFonts w:hint="eastAsia" w:ascii="宋体" w:hAnsi="宋体"/>
          <w:sz w:val="24"/>
        </w:rPr>
        <w:t>账号：                             账号：</w:t>
      </w:r>
    </w:p>
    <w:p>
      <w:pPr>
        <w:spacing w:line="460" w:lineRule="exact"/>
        <w:rPr>
          <w:rFonts w:ascii="宋体" w:hAnsi="宋体"/>
          <w:sz w:val="24"/>
        </w:rPr>
      </w:pPr>
      <w:r>
        <w:rPr>
          <w:rFonts w:hint="eastAsia" w:ascii="宋体" w:hAnsi="宋体"/>
          <w:sz w:val="24"/>
        </w:rPr>
        <w:t>签约时间：2022年   月  日          签约地点：浙江省温岭市</w:t>
      </w:r>
    </w:p>
    <w:p>
      <w:pPr>
        <w:spacing w:line="440" w:lineRule="exact"/>
        <w:jc w:val="left"/>
        <w:rPr>
          <w:rFonts w:ascii="宋体" w:hAnsi="宋体" w:cs="宋体"/>
          <w:sz w:val="24"/>
        </w:rPr>
      </w:pPr>
    </w:p>
    <w:p>
      <w:pPr>
        <w:spacing w:line="400" w:lineRule="exact"/>
        <w:rPr>
          <w:rFonts w:ascii="宋体" w:hAnsi="宋体"/>
          <w:kern w:val="0"/>
          <w:sz w:val="24"/>
        </w:rPr>
      </w:pPr>
      <w:r>
        <w:rPr>
          <w:rFonts w:hint="eastAsia" w:ascii="宋体" w:hAnsi="宋体" w:cs="宋体"/>
          <w:kern w:val="0"/>
          <w:sz w:val="24"/>
        </w:rPr>
        <w:t>（注：在正式签约时，根据上述精神应拟就更为详尽的合同书）</w:t>
      </w:r>
    </w:p>
    <w:p>
      <w:pPr>
        <w:pStyle w:val="2"/>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pStyle w:val="29"/>
        <w:rPr>
          <w:rFonts w:asciiTheme="majorEastAsia" w:hAnsiTheme="majorEastAsia" w:eastAsiaTheme="majorEastAsia"/>
          <w:sz w:val="28"/>
          <w:szCs w:val="28"/>
        </w:rPr>
      </w:pPr>
    </w:p>
    <w:p>
      <w:pPr>
        <w:pStyle w:val="29"/>
        <w:rPr>
          <w:rFonts w:asciiTheme="majorEastAsia" w:hAnsiTheme="majorEastAsia" w:eastAsiaTheme="majorEastAsia"/>
          <w:sz w:val="28"/>
          <w:szCs w:val="28"/>
        </w:rPr>
      </w:pPr>
    </w:p>
    <w:p>
      <w:pPr>
        <w:pStyle w:val="29"/>
        <w:rPr>
          <w:rFonts w:asciiTheme="majorEastAsia" w:hAnsiTheme="majorEastAsia" w:eastAsiaTheme="majorEastAsia"/>
          <w:sz w:val="28"/>
          <w:szCs w:val="28"/>
        </w:rPr>
      </w:pPr>
    </w:p>
    <w:p>
      <w:pPr>
        <w:pStyle w:val="29"/>
        <w:rPr>
          <w:rFonts w:asciiTheme="majorEastAsia" w:hAnsiTheme="majorEastAsia" w:eastAsiaTheme="majorEastAsia"/>
          <w:sz w:val="28"/>
          <w:szCs w:val="28"/>
        </w:rPr>
      </w:pPr>
    </w:p>
    <w:p>
      <w:pPr>
        <w:pStyle w:val="29"/>
        <w:rPr>
          <w:rFonts w:asciiTheme="majorEastAsia" w:hAnsiTheme="majorEastAsia" w:eastAsiaTheme="majorEastAsia"/>
          <w:sz w:val="28"/>
          <w:szCs w:val="28"/>
        </w:rPr>
      </w:pPr>
    </w:p>
    <w:p>
      <w:pPr>
        <w:jc w:val="left"/>
        <w:rPr>
          <w:bCs/>
          <w:szCs w:val="21"/>
        </w:rPr>
      </w:pPr>
    </w:p>
    <w:p>
      <w:pPr>
        <w:pStyle w:val="29"/>
        <w:rPr>
          <w:rFonts w:asciiTheme="majorEastAsia" w:hAnsiTheme="majorEastAsia" w:eastAsiaTheme="majorEastAsia"/>
          <w:sz w:val="28"/>
          <w:szCs w:val="28"/>
        </w:rPr>
      </w:pPr>
    </w:p>
    <w:p>
      <w:pPr>
        <w:rPr>
          <w:rFonts w:asciiTheme="minorEastAsia" w:hAnsiTheme="minorEastAsia" w:eastAsiaTheme="minorEastAsia"/>
          <w:b/>
          <w:sz w:val="36"/>
          <w:szCs w:val="36"/>
        </w:rPr>
      </w:pPr>
      <w:bookmarkStart w:id="44" w:name="_Toc5481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4"/>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5" w:name="_Toc4956_WPSOffice_Level1"/>
      <w:bookmarkStart w:id="46" w:name="_Toc32372_WPSOffice_Level1"/>
      <w:bookmarkStart w:id="47" w:name="_Toc19093_WPSOffice_Level1"/>
      <w:r>
        <w:rPr>
          <w:rFonts w:hint="eastAsia"/>
          <w:sz w:val="52"/>
          <w:szCs w:val="52"/>
        </w:rPr>
        <w:t>项目名称</w:t>
      </w:r>
      <w:bookmarkEnd w:id="45"/>
      <w:bookmarkEnd w:id="46"/>
      <w:bookmarkEnd w:id="47"/>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r>
        <w:rPr>
          <w:rFonts w:ascii="仿宋_GB2312" w:hAnsi="宋体" w:eastAsia="仿宋_GB2312"/>
          <w:b/>
          <w:sz w:val="36"/>
          <w:szCs w:val="36"/>
        </w:rPr>
        <w:br w:type="page"/>
      </w:r>
    </w:p>
    <w:p>
      <w:pPr>
        <w:spacing w:line="360" w:lineRule="auto"/>
        <w:jc w:val="center"/>
        <w:rPr>
          <w:b/>
          <w:bCs/>
          <w:sz w:val="36"/>
          <w:szCs w:val="36"/>
        </w:rPr>
      </w:pPr>
      <w:r>
        <w:rPr>
          <w:rFonts w:hint="eastAsia"/>
          <w:b/>
          <w:bCs/>
          <w:sz w:val="36"/>
          <w:szCs w:val="36"/>
        </w:rPr>
        <w:t>资格证明文件目录</w:t>
      </w:r>
    </w:p>
    <w:p>
      <w:pPr>
        <w:snapToGrid w:val="0"/>
        <w:spacing w:line="360" w:lineRule="auto"/>
        <w:ind w:firstLine="482" w:firstLineChars="200"/>
        <w:rPr>
          <w:rFonts w:ascii="宋体" w:hAnsi="宋体" w:cs="宋体"/>
          <w:b/>
          <w:bCs/>
          <w:sz w:val="24"/>
        </w:rPr>
      </w:pPr>
    </w:p>
    <w:tbl>
      <w:tblPr>
        <w:tblStyle w:val="22"/>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8"/>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9" w:type="dxa"/>
            <w:vAlign w:val="center"/>
          </w:tcPr>
          <w:p>
            <w:pPr>
              <w:widowControl/>
              <w:snapToGrid w:val="0"/>
              <w:spacing w:line="340" w:lineRule="exact"/>
              <w:jc w:val="center"/>
              <w:rPr>
                <w:rFonts w:ascii="宋体" w:hAnsi="宋体" w:cs="宋体"/>
                <w:sz w:val="24"/>
              </w:rPr>
            </w:pPr>
            <w:r>
              <w:rPr>
                <w:rFonts w:hint="eastAsia" w:ascii="宋体" w:hAnsi="宋体" w:cs="宋体"/>
                <w:sz w:val="24"/>
              </w:rPr>
              <w:t>序号</w:t>
            </w:r>
          </w:p>
        </w:tc>
        <w:tc>
          <w:tcPr>
            <w:tcW w:w="3118" w:type="dxa"/>
            <w:vAlign w:val="center"/>
          </w:tcPr>
          <w:p>
            <w:pPr>
              <w:widowControl/>
              <w:snapToGrid w:val="0"/>
              <w:spacing w:line="340" w:lineRule="exact"/>
              <w:jc w:val="center"/>
              <w:rPr>
                <w:rFonts w:ascii="宋体" w:hAnsi="宋体" w:cs="宋体"/>
                <w:sz w:val="24"/>
              </w:rPr>
            </w:pPr>
            <w:r>
              <w:rPr>
                <w:rFonts w:hint="eastAsia" w:ascii="宋体" w:hAnsi="宋体" w:cs="宋体"/>
                <w:sz w:val="24"/>
              </w:rPr>
              <w:t>内容</w:t>
            </w:r>
          </w:p>
        </w:tc>
        <w:tc>
          <w:tcPr>
            <w:tcW w:w="4962" w:type="dxa"/>
            <w:vAlign w:val="center"/>
          </w:tcPr>
          <w:p>
            <w:pPr>
              <w:widowControl/>
              <w:snapToGrid w:val="0"/>
              <w:spacing w:line="34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ascii="宋体" w:hAnsi="宋体" w:cs="宋体"/>
                <w:kern w:val="0"/>
                <w:sz w:val="24"/>
              </w:rPr>
              <w:t>1</w:t>
            </w:r>
          </w:p>
        </w:tc>
        <w:tc>
          <w:tcPr>
            <w:tcW w:w="3118"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投标声明书（若没有重大违法记录，请承诺）</w:t>
            </w:r>
          </w:p>
        </w:tc>
        <w:tc>
          <w:tcPr>
            <w:tcW w:w="4962" w:type="dxa"/>
            <w:vAlign w:val="center"/>
          </w:tcPr>
          <w:p>
            <w:pPr>
              <w:widowControl/>
              <w:snapToGrid w:val="0"/>
              <w:spacing w:line="340" w:lineRule="exact"/>
              <w:rPr>
                <w:rFonts w:ascii="宋体" w:cs="宋体"/>
                <w:sz w:val="24"/>
              </w:rPr>
            </w:pPr>
            <w:r>
              <w:rPr>
                <w:rFonts w:hint="eastAsia" w:ascii="宋体" w:hAnsi="宋体" w:cs="宋体"/>
                <w:kern w:val="0"/>
                <w:sz w:val="24"/>
              </w:rPr>
              <w:t>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ascii="宋体" w:hAnsi="宋体" w:cs="宋体"/>
                <w:kern w:val="0"/>
                <w:sz w:val="24"/>
              </w:rPr>
              <w:t>2</w:t>
            </w:r>
          </w:p>
        </w:tc>
        <w:tc>
          <w:tcPr>
            <w:tcW w:w="3118"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授权委托书（法定代表人办理投标事宜的，则无需提交）</w:t>
            </w:r>
          </w:p>
        </w:tc>
        <w:tc>
          <w:tcPr>
            <w:tcW w:w="4962" w:type="dxa"/>
            <w:vAlign w:val="center"/>
          </w:tcPr>
          <w:p>
            <w:pPr>
              <w:widowControl/>
              <w:snapToGrid w:val="0"/>
              <w:spacing w:line="340" w:lineRule="exact"/>
              <w:rPr>
                <w:rFonts w:ascii="宋体" w:cs="宋体"/>
                <w:sz w:val="24"/>
              </w:rPr>
            </w:pPr>
            <w:r>
              <w:rPr>
                <w:rFonts w:hint="eastAsia" w:ascii="宋体" w:hAnsi="宋体" w:cs="宋体"/>
                <w:kern w:val="0"/>
                <w:sz w:val="24"/>
              </w:rPr>
              <w:t>如授权委托代理人的则需按照格式提供此项，格式见附件2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ascii="宋体" w:hAnsi="宋体" w:cs="宋体"/>
                <w:kern w:val="0"/>
                <w:sz w:val="24"/>
              </w:rPr>
              <w:t>3</w:t>
            </w:r>
          </w:p>
        </w:tc>
        <w:tc>
          <w:tcPr>
            <w:tcW w:w="3118" w:type="dxa"/>
            <w:vAlign w:val="center"/>
          </w:tcPr>
          <w:p>
            <w:pPr>
              <w:widowControl/>
              <w:snapToGrid w:val="0"/>
              <w:spacing w:line="340" w:lineRule="exact"/>
              <w:rPr>
                <w:rFonts w:ascii="宋体" w:hAnsi="宋体" w:cs="宋体"/>
                <w:kern w:val="0"/>
                <w:sz w:val="24"/>
              </w:rPr>
            </w:pPr>
            <w:r>
              <w:rPr>
                <w:rFonts w:hint="eastAsia" w:ascii="宋体" w:hAnsi="宋体" w:cs="宋体"/>
                <w:sz w:val="24"/>
              </w:rPr>
              <w:t>▲</w:t>
            </w:r>
            <w:r>
              <w:rPr>
                <w:rFonts w:hint="eastAsia" w:ascii="宋体" w:hAnsi="宋体" w:cs="宋体"/>
                <w:kern w:val="0"/>
                <w:sz w:val="24"/>
              </w:rPr>
              <w:t>法人或者其他组织的营业执照等证明文件</w:t>
            </w:r>
          </w:p>
        </w:tc>
        <w:tc>
          <w:tcPr>
            <w:tcW w:w="4962"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p>
            <w:pPr>
              <w:widowControl/>
              <w:snapToGrid w:val="0"/>
              <w:spacing w:line="340" w:lineRule="exact"/>
              <w:rPr>
                <w:rFonts w:ascii="宋体" w:hAnsi="宋体" w:cs="宋体"/>
                <w:kern w:val="0"/>
                <w:sz w:val="24"/>
              </w:rPr>
            </w:pPr>
            <w:r>
              <w:rPr>
                <w:rFonts w:hint="eastAsia" w:ascii="宋体" w:hAnsi="宋体" w:cs="宋体"/>
                <w:kern w:val="0"/>
                <w:sz w:val="24"/>
              </w:rPr>
              <w:t>包括总公司营业执照、分公司营业执照等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hint="eastAsia" w:ascii="宋体" w:hAnsi="宋体" w:cs="宋体"/>
                <w:kern w:val="0"/>
                <w:sz w:val="24"/>
              </w:rPr>
              <w:t>4</w:t>
            </w:r>
          </w:p>
        </w:tc>
        <w:tc>
          <w:tcPr>
            <w:tcW w:w="3118" w:type="dxa"/>
            <w:vAlign w:val="center"/>
          </w:tcPr>
          <w:p>
            <w:pPr>
              <w:widowControl/>
              <w:snapToGrid w:val="0"/>
              <w:spacing w:line="340" w:lineRule="exact"/>
              <w:rPr>
                <w:rFonts w:ascii="宋体" w:hAnsi="宋体" w:cs="宋体"/>
                <w:kern w:val="0"/>
                <w:sz w:val="24"/>
              </w:rPr>
            </w:pPr>
            <w:r>
              <w:rPr>
                <w:rFonts w:hint="eastAsia" w:ascii="宋体" w:hAnsi="宋体" w:cs="宋体"/>
                <w:sz w:val="24"/>
              </w:rPr>
              <w:t>▲</w:t>
            </w:r>
            <w:r>
              <w:rPr>
                <w:rFonts w:hint="eastAsia" w:ascii="宋体" w:hAnsi="宋体" w:cs="宋体"/>
                <w:kern w:val="0"/>
                <w:sz w:val="24"/>
              </w:rPr>
              <w:t>总公司授权委托书</w:t>
            </w:r>
          </w:p>
        </w:tc>
        <w:tc>
          <w:tcPr>
            <w:tcW w:w="4962"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商业保险公司分支机构参加投标时，必须得到商业保险机构总公司授权同意分支机构参与项目的授权。备注：保险行业的全国性企业所设立的区域性分支机构参加投标，请按照浙江省财政厅《关于规范政府采购供应商资格设定及资格审查的通知》（浙财采监</w:t>
            </w:r>
            <w:r>
              <w:rPr>
                <w:rFonts w:ascii="宋体" w:hAnsi="宋体" w:cs="宋体"/>
                <w:kern w:val="0"/>
                <w:sz w:val="24"/>
              </w:rPr>
              <w:t>[2013]24</w:t>
            </w:r>
            <w:r>
              <w:rPr>
                <w:rFonts w:hint="eastAsia" w:ascii="宋体" w:hAnsi="宋体" w:cs="宋体"/>
                <w:kern w:val="0"/>
                <w:sz w:val="24"/>
              </w:rPr>
              <w:t>号）要求执行。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hint="eastAsia" w:ascii="宋体" w:hAnsi="宋体" w:cs="宋体"/>
                <w:kern w:val="0"/>
                <w:sz w:val="24"/>
              </w:rPr>
              <w:t>5</w:t>
            </w:r>
          </w:p>
        </w:tc>
        <w:tc>
          <w:tcPr>
            <w:tcW w:w="3118" w:type="dxa"/>
            <w:vAlign w:val="center"/>
          </w:tcPr>
          <w:p>
            <w:pPr>
              <w:widowControl/>
              <w:snapToGrid w:val="0"/>
              <w:spacing w:line="340" w:lineRule="exact"/>
              <w:rPr>
                <w:rFonts w:ascii="宋体" w:hAnsi="宋体" w:cs="宋体"/>
                <w:kern w:val="0"/>
                <w:sz w:val="24"/>
              </w:rPr>
            </w:pPr>
            <w:r>
              <w:rPr>
                <w:rFonts w:hint="eastAsia" w:ascii="宋体" w:hAnsi="宋体" w:cs="宋体"/>
                <w:sz w:val="24"/>
              </w:rPr>
              <w:t>▲</w:t>
            </w:r>
            <w:r>
              <w:rPr>
                <w:rFonts w:hint="eastAsia" w:ascii="宋体" w:hAnsi="宋体" w:cs="宋体"/>
                <w:kern w:val="0"/>
                <w:sz w:val="24"/>
              </w:rPr>
              <w:t>《经营保险业务许可证》</w:t>
            </w:r>
          </w:p>
        </w:tc>
        <w:tc>
          <w:tcPr>
            <w:tcW w:w="4962"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p>
            <w:pPr>
              <w:widowControl/>
              <w:snapToGrid w:val="0"/>
              <w:spacing w:line="340" w:lineRule="exact"/>
              <w:rPr>
                <w:rFonts w:ascii="宋体" w:hAnsi="宋体" w:cs="宋体"/>
                <w:kern w:val="0"/>
                <w:sz w:val="24"/>
              </w:rPr>
            </w:pPr>
            <w:r>
              <w:rPr>
                <w:rFonts w:hint="eastAsia" w:ascii="宋体" w:hAnsi="宋体" w:cs="宋体"/>
                <w:kern w:val="0"/>
                <w:sz w:val="24"/>
              </w:rPr>
              <w:t>（经营范围需同时涵盖意外伤害保险、短期健康保险等业务）。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hint="eastAsia" w:ascii="宋体" w:hAnsi="宋体" w:cs="宋体"/>
                <w:kern w:val="0"/>
                <w:sz w:val="24"/>
              </w:rPr>
              <w:t>6</w:t>
            </w:r>
          </w:p>
        </w:tc>
        <w:tc>
          <w:tcPr>
            <w:tcW w:w="3118" w:type="dxa"/>
            <w:vAlign w:val="center"/>
          </w:tcPr>
          <w:p>
            <w:pPr>
              <w:widowControl/>
              <w:snapToGrid w:val="0"/>
              <w:spacing w:line="340" w:lineRule="exact"/>
              <w:rPr>
                <w:rFonts w:ascii="宋体" w:cs="宋体"/>
                <w:color w:val="000000" w:themeColor="text1"/>
                <w:kern w:val="0"/>
                <w:sz w:val="24"/>
              </w:rPr>
            </w:pPr>
            <w:r>
              <w:rPr>
                <w:rFonts w:hint="eastAsia" w:ascii="宋体" w:hAnsi="宋体" w:cs="宋体"/>
                <w:b/>
                <w:color w:val="000000" w:themeColor="text1"/>
                <w:sz w:val="24"/>
              </w:rPr>
              <w:t>▲</w:t>
            </w:r>
            <w:r>
              <w:rPr>
                <w:rFonts w:hint="eastAsia" w:ascii="宋体" w:hAnsi="宋体" w:cs="宋体"/>
                <w:color w:val="000000" w:themeColor="text1"/>
                <w:kern w:val="0"/>
                <w:sz w:val="24"/>
              </w:rPr>
              <w:t>符合参与政府采购活动的资格条件并且没有税收缴纳、社会保障等方面的失信记录</w:t>
            </w:r>
          </w:p>
        </w:tc>
        <w:tc>
          <w:tcPr>
            <w:tcW w:w="4962" w:type="dxa"/>
            <w:vAlign w:val="center"/>
          </w:tcPr>
          <w:p>
            <w:pPr>
              <w:widowControl/>
              <w:snapToGrid w:val="0"/>
              <w:spacing w:line="340" w:lineRule="exact"/>
              <w:rPr>
                <w:rFonts w:ascii="宋体" w:cs="宋体"/>
                <w:color w:val="000000" w:themeColor="text1"/>
                <w:sz w:val="24"/>
              </w:rPr>
            </w:pPr>
            <w:r>
              <w:rPr>
                <w:rFonts w:hint="eastAsia" w:ascii="宋体" w:cs="宋体"/>
                <w:color w:val="000000" w:themeColor="text1"/>
                <w:sz w:val="24"/>
              </w:rPr>
              <w:t>提供承诺书（格式见附件3）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hint="eastAsia" w:ascii="宋体" w:hAnsi="宋体" w:cs="宋体"/>
                <w:kern w:val="0"/>
                <w:sz w:val="24"/>
              </w:rPr>
              <w:t>7</w:t>
            </w:r>
          </w:p>
        </w:tc>
        <w:tc>
          <w:tcPr>
            <w:tcW w:w="3118" w:type="dxa"/>
            <w:vAlign w:val="center"/>
          </w:tcPr>
          <w:p>
            <w:pPr>
              <w:widowControl/>
              <w:snapToGrid w:val="0"/>
              <w:spacing w:line="340" w:lineRule="exact"/>
              <w:rPr>
                <w:rFonts w:ascii="宋体" w:cs="宋体"/>
                <w:color w:val="000000" w:themeColor="text1"/>
                <w:kern w:val="0"/>
                <w:sz w:val="24"/>
              </w:rPr>
            </w:pPr>
            <w:r>
              <w:rPr>
                <w:rFonts w:hint="eastAsia" w:ascii="宋体" w:hAnsi="宋体" w:cs="宋体"/>
                <w:b/>
                <w:color w:val="000000" w:themeColor="text1"/>
                <w:sz w:val="24"/>
              </w:rPr>
              <w:t>▲</w:t>
            </w:r>
            <w:r>
              <w:rPr>
                <w:rFonts w:hint="eastAsia" w:ascii="宋体" w:hAnsi="宋体" w:cs="宋体"/>
                <w:color w:val="000000" w:themeColor="text1"/>
                <w:kern w:val="0"/>
                <w:sz w:val="24"/>
              </w:rPr>
              <w:t>具备履行合同所必需的设备和专业技术能力的证明材料</w:t>
            </w:r>
          </w:p>
        </w:tc>
        <w:tc>
          <w:tcPr>
            <w:tcW w:w="4962" w:type="dxa"/>
            <w:vAlign w:val="center"/>
          </w:tcPr>
          <w:p>
            <w:pPr>
              <w:widowControl/>
              <w:snapToGrid w:val="0"/>
              <w:spacing w:line="340" w:lineRule="exact"/>
              <w:rPr>
                <w:rFonts w:ascii="宋体" w:cs="宋体"/>
                <w:color w:val="000000" w:themeColor="text1"/>
                <w:kern w:val="0"/>
                <w:sz w:val="24"/>
              </w:rPr>
            </w:pPr>
            <w:r>
              <w:rPr>
                <w:rFonts w:hint="eastAsia" w:ascii="宋体" w:cs="宋体"/>
                <w:color w:val="000000" w:themeColor="text1"/>
                <w:sz w:val="24"/>
              </w:rPr>
              <w:t>提供承诺书（格式见附件3）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9" w:type="dxa"/>
            <w:vAlign w:val="center"/>
          </w:tcPr>
          <w:p>
            <w:pPr>
              <w:widowControl/>
              <w:snapToGrid w:val="0"/>
              <w:spacing w:line="340" w:lineRule="exact"/>
              <w:jc w:val="center"/>
              <w:rPr>
                <w:rFonts w:ascii="宋体" w:hAnsi="宋体" w:cs="宋体"/>
                <w:kern w:val="0"/>
                <w:sz w:val="24"/>
              </w:rPr>
            </w:pPr>
            <w:r>
              <w:rPr>
                <w:rFonts w:hint="eastAsia" w:ascii="宋体" w:hAnsi="宋体" w:cs="宋体"/>
                <w:kern w:val="0"/>
                <w:sz w:val="24"/>
              </w:rPr>
              <w:t>8</w:t>
            </w:r>
          </w:p>
        </w:tc>
        <w:tc>
          <w:tcPr>
            <w:tcW w:w="3118" w:type="dxa"/>
            <w:vAlign w:val="center"/>
          </w:tcPr>
          <w:p>
            <w:pPr>
              <w:widowControl/>
              <w:snapToGrid w:val="0"/>
              <w:spacing w:line="340" w:lineRule="exact"/>
              <w:rPr>
                <w:rFonts w:ascii="宋体" w:hAnsi="宋体" w:cs="宋体"/>
                <w:kern w:val="0"/>
                <w:sz w:val="24"/>
              </w:rPr>
            </w:pPr>
            <w:r>
              <w:rPr>
                <w:rFonts w:hint="eastAsia" w:ascii="宋体" w:hAnsi="宋体" w:cs="宋体"/>
                <w:sz w:val="24"/>
              </w:rPr>
              <w:t>▲</w:t>
            </w:r>
            <w:r>
              <w:rPr>
                <w:rFonts w:hint="eastAsia" w:ascii="宋体" w:hAnsi="宋体" w:cs="宋体"/>
                <w:kern w:val="0"/>
                <w:sz w:val="24"/>
              </w:rPr>
              <w:t>《联合体投标协议》</w:t>
            </w:r>
          </w:p>
        </w:tc>
        <w:tc>
          <w:tcPr>
            <w:tcW w:w="4962"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格式、内容自拟</w:t>
            </w:r>
          </w:p>
          <w:p>
            <w:pPr>
              <w:widowControl/>
              <w:snapToGrid w:val="0"/>
              <w:spacing w:line="340" w:lineRule="exact"/>
              <w:rPr>
                <w:rFonts w:ascii="宋体" w:hAnsi="宋体" w:cs="宋体"/>
                <w:kern w:val="0"/>
                <w:sz w:val="24"/>
              </w:rPr>
            </w:pPr>
            <w:r>
              <w:rPr>
                <w:rFonts w:hint="eastAsia" w:ascii="宋体" w:hAnsi="宋体" w:cs="宋体"/>
                <w:kern w:val="0"/>
                <w:sz w:val="24"/>
              </w:rPr>
              <w:t>如果是联合体（最多2家）需要提供。并明确承担的比例。（联合体中应以承担比例高者为本项目投标人，其他联合体成员也必须符合前两条规定并提供相关资料。）</w:t>
            </w:r>
          </w:p>
        </w:tc>
      </w:tr>
    </w:tbl>
    <w:p>
      <w:pPr>
        <w:snapToGrid w:val="0"/>
        <w:spacing w:line="360" w:lineRule="auto"/>
        <w:ind w:firstLine="482" w:firstLineChars="200"/>
        <w:rPr>
          <w:rFonts w:asciiTheme="minorEastAsia" w:hAnsiTheme="minorEastAsia" w:eastAsiaTheme="minorEastAsia"/>
          <w:b/>
          <w:sz w:val="24"/>
        </w:rPr>
      </w:pPr>
    </w:p>
    <w:p>
      <w:pPr>
        <w:spacing w:line="360" w:lineRule="auto"/>
        <w:ind w:left="420"/>
        <w:rPr>
          <w:rFonts w:ascii="宋体" w:hAnsi="宋体"/>
          <w:b/>
          <w:sz w:val="28"/>
        </w:rPr>
      </w:pPr>
    </w:p>
    <w:p>
      <w:pPr>
        <w:pStyle w:val="29"/>
        <w:rPr>
          <w:rFonts w:ascii="宋体" w:hAnsi="宋体"/>
          <w:b/>
          <w:sz w:val="28"/>
        </w:rPr>
      </w:pPr>
    </w:p>
    <w:p>
      <w:pPr>
        <w:pStyle w:val="29"/>
        <w:rPr>
          <w:rFonts w:ascii="宋体" w:hAnsi="宋体"/>
          <w:b/>
          <w:sz w:val="28"/>
        </w:rPr>
      </w:pPr>
    </w:p>
    <w:p>
      <w:pPr>
        <w:spacing w:line="360" w:lineRule="auto"/>
        <w:ind w:left="420"/>
        <w:rPr>
          <w:rFonts w:ascii="宋体" w:hAnsi="宋体"/>
          <w:b/>
          <w:sz w:val="28"/>
        </w:rPr>
      </w:pPr>
    </w:p>
    <w:p>
      <w:pPr>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48" w:name="_Toc30723_WPSOffice_Level1"/>
      <w:bookmarkStart w:id="49" w:name="_Toc31708_WPSOffice_Level1"/>
      <w:r>
        <w:rPr>
          <w:rFonts w:hint="eastAsia" w:ascii="宋体" w:hAnsi="宋体"/>
          <w:b/>
          <w:kern w:val="0"/>
          <w:sz w:val="32"/>
          <w:szCs w:val="32"/>
          <w:lang w:val="zh-CN"/>
        </w:rPr>
        <w:t>投标声明书</w:t>
      </w:r>
      <w:bookmarkEnd w:id="48"/>
      <w:bookmarkEnd w:id="49"/>
    </w:p>
    <w:p>
      <w:pPr>
        <w:snapToGrid w:val="0"/>
        <w:spacing w:beforeLines="50" w:after="50" w:line="312" w:lineRule="auto"/>
        <w:rPr>
          <w:rFonts w:ascii="宋体" w:hAnsi="宋体" w:cs="宋体"/>
          <w:kern w:val="0"/>
          <w:sz w:val="24"/>
        </w:rPr>
      </w:pPr>
      <w:r>
        <w:rPr>
          <w:rFonts w:hint="eastAsia" w:ascii="宋体" w:hAnsi="宋体" w:cstheme="minorBidi"/>
          <w:sz w:val="24"/>
          <w:u w:val="single"/>
        </w:rPr>
        <w:t>温岭市政府采购中心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w:t>
      </w:r>
      <w:r>
        <w:rPr>
          <w:rFonts w:hint="eastAsia" w:ascii="宋体" w:hAnsi="宋体" w:cs="宋体"/>
          <w:color w:val="000000" w:themeColor="text1"/>
          <w:kern w:val="0"/>
          <w:sz w:val="24"/>
          <w:lang w:eastAsia="zh-CN"/>
        </w:rPr>
        <w:t>重大税收违法失信主体</w:t>
      </w:r>
      <w:r>
        <w:rPr>
          <w:rFonts w:hint="eastAsia" w:ascii="宋体" w:hAnsi="宋体" w:cs="宋体"/>
          <w:color w:val="000000" w:themeColor="text1"/>
          <w:kern w:val="0"/>
          <w:sz w:val="24"/>
        </w:rPr>
        <w:t>、政府采购严重违法失</w:t>
      </w:r>
      <w:r>
        <w:rPr>
          <w:rFonts w:hint="eastAsia" w:ascii="宋体" w:hAnsi="宋体" w:cs="宋体"/>
          <w:kern w:val="0"/>
          <w:sz w:val="24"/>
        </w:rPr>
        <w:t>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1"/>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1"/>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1"/>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1"/>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1"/>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50" w:name="_Toc24373_WPSOffice_Level1"/>
      <w:bookmarkStart w:id="51" w:name="_Toc6870_WPSOffice_Level1"/>
      <w:r>
        <w:rPr>
          <w:b/>
          <w:sz w:val="32"/>
          <w:szCs w:val="32"/>
        </w:rPr>
        <w:t>授权</w:t>
      </w:r>
      <w:r>
        <w:rPr>
          <w:rFonts w:hint="eastAsia"/>
          <w:b/>
          <w:sz w:val="32"/>
          <w:szCs w:val="32"/>
        </w:rPr>
        <w:t>委托</w:t>
      </w:r>
      <w:r>
        <w:rPr>
          <w:b/>
          <w:sz w:val="32"/>
          <w:szCs w:val="32"/>
        </w:rPr>
        <w:t>书</w:t>
      </w:r>
      <w:bookmarkEnd w:id="50"/>
      <w:bookmarkEnd w:id="51"/>
    </w:p>
    <w:p>
      <w:pPr>
        <w:snapToGrid w:val="0"/>
        <w:spacing w:beforeLines="50" w:after="50" w:line="360" w:lineRule="auto"/>
        <w:rPr>
          <w:rFonts w:ascii="宋体" w:hAnsi="宋体" w:cs="宋体"/>
          <w:kern w:val="0"/>
          <w:sz w:val="24"/>
        </w:rPr>
      </w:pPr>
      <w:r>
        <w:rPr>
          <w:rFonts w:hint="eastAsia" w:ascii="宋体" w:hAnsi="宋体" w:cstheme="minorBidi"/>
          <w:sz w:val="24"/>
          <w:u w:val="single"/>
        </w:rPr>
        <w:t>温岭市政府采购中心</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法定代表人（单位负责人）签字或盖章：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法定代表人（单位负责人）姓名：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sz w:val="52"/>
          <w:szCs w:val="52"/>
        </w:rPr>
      </w:pPr>
      <w:r>
        <w:rPr>
          <w:rFonts w:hint="eastAsia" w:ascii="宋体" w:hAnsi="宋体"/>
          <w:b/>
          <w:sz w:val="28"/>
        </w:rPr>
        <w:br w:type="page"/>
      </w:r>
      <w:bookmarkStart w:id="52" w:name="_Toc12331_WPSOffice_Level1"/>
      <w:bookmarkStart w:id="53" w:name="_Toc26389_WPSOffice_Level1"/>
      <w:bookmarkStart w:id="54" w:name="_Toc16825_WPSOffice_Level1"/>
    </w:p>
    <w:p>
      <w:pPr>
        <w:adjustRightInd w:val="0"/>
        <w:snapToGrid w:val="0"/>
        <w:spacing w:line="360" w:lineRule="auto"/>
        <w:ind w:right="480"/>
        <w:rPr>
          <w:rFonts w:ascii="宋体" w:hAnsi="宋体"/>
          <w:b/>
          <w:sz w:val="28"/>
        </w:rPr>
      </w:pPr>
      <w:r>
        <w:rPr>
          <w:rFonts w:hint="eastAsia" w:ascii="宋体" w:hAnsi="宋体"/>
          <w:b/>
          <w:sz w:val="28"/>
        </w:rPr>
        <w:t>附件3</w:t>
      </w:r>
    </w:p>
    <w:p>
      <w:pPr>
        <w:spacing w:line="360" w:lineRule="auto"/>
        <w:ind w:firstLine="321" w:firstLineChars="100"/>
        <w:jc w:val="center"/>
        <w:rPr>
          <w:b/>
          <w:sz w:val="32"/>
          <w:szCs w:val="32"/>
        </w:rPr>
      </w:pPr>
    </w:p>
    <w:p>
      <w:pPr>
        <w:spacing w:line="360" w:lineRule="auto"/>
        <w:ind w:firstLine="321" w:firstLineChars="100"/>
        <w:jc w:val="center"/>
        <w:rPr>
          <w:b/>
          <w:sz w:val="32"/>
          <w:szCs w:val="32"/>
        </w:rPr>
      </w:pPr>
      <w:r>
        <w:rPr>
          <w:rFonts w:hint="eastAsia"/>
          <w:b/>
          <w:sz w:val="32"/>
          <w:szCs w:val="32"/>
        </w:rPr>
        <w:t>承诺书</w:t>
      </w:r>
    </w:p>
    <w:p>
      <w:pPr>
        <w:spacing w:line="360" w:lineRule="auto"/>
        <w:ind w:firstLine="240" w:firstLineChars="100"/>
        <w:rPr>
          <w:rFonts w:ascii="宋体" w:hAnsi="宋体" w:cstheme="minorBidi"/>
          <w:sz w:val="24"/>
          <w:u w:val="single"/>
        </w:rPr>
      </w:pPr>
    </w:p>
    <w:p>
      <w:pPr>
        <w:spacing w:line="360" w:lineRule="auto"/>
        <w:ind w:firstLine="240" w:firstLineChars="100"/>
        <w:rPr>
          <w:rFonts w:ascii="宋体" w:hAnsi="宋体" w:cstheme="minorBidi"/>
          <w:sz w:val="24"/>
          <w:u w:val="single"/>
        </w:rPr>
      </w:pPr>
      <w:r>
        <w:rPr>
          <w:rFonts w:hint="eastAsia" w:ascii="宋体" w:hAnsi="宋体" w:cstheme="minorBidi"/>
          <w:sz w:val="24"/>
          <w:u w:val="single"/>
        </w:rPr>
        <w:t>温岭市政府采购中心：</w:t>
      </w:r>
    </w:p>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（投标人名称）      </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   的投标，为此，我公司就本次投标有关事项承诺如下：</w:t>
      </w:r>
    </w:p>
    <w:p>
      <w:pPr>
        <w:pStyle w:val="30"/>
        <w:numPr>
          <w:ilvl w:val="0"/>
          <w:numId w:val="12"/>
        </w:numPr>
        <w:snapToGrid w:val="0"/>
        <w:spacing w:line="360" w:lineRule="auto"/>
        <w:ind w:firstLineChars="0"/>
        <w:rPr>
          <w:rFonts w:ascii="宋体" w:hAnsi="宋体"/>
          <w:sz w:val="24"/>
        </w:rPr>
      </w:pPr>
      <w:r>
        <w:rPr>
          <w:rFonts w:hint="eastAsia" w:ascii="宋体" w:hAnsi="宋体" w:cs="宋体"/>
          <w:kern w:val="0"/>
          <w:sz w:val="24"/>
        </w:rPr>
        <w:t>我公司</w:t>
      </w:r>
      <w:r>
        <w:rPr>
          <w:rFonts w:ascii="宋体" w:hAnsi="宋体" w:cs="宋体"/>
          <w:kern w:val="0"/>
          <w:sz w:val="24"/>
        </w:rPr>
        <w:t>承诺符合参与政府采购活动资格条件</w:t>
      </w:r>
      <w:r>
        <w:rPr>
          <w:rFonts w:hint="eastAsia" w:ascii="宋体" w:hAnsi="宋体" w:cs="宋体"/>
          <w:kern w:val="0"/>
          <w:sz w:val="24"/>
        </w:rPr>
        <w:t>。即</w:t>
      </w:r>
      <w:r>
        <w:rPr>
          <w:rFonts w:hint="eastAsia" w:ascii="宋体" w:hAnsi="宋体" w:cs="宋体"/>
          <w:color w:val="000000" w:themeColor="text1"/>
          <w:kern w:val="0"/>
          <w:sz w:val="24"/>
        </w:rPr>
        <w:t>符合参与政府采购活动的资格条件并且没有税收缴纳、社会保障等方面的失信记录</w:t>
      </w:r>
      <w:r>
        <w:rPr>
          <w:rFonts w:ascii="宋体" w:hAnsi="宋体" w:cs="宋体"/>
          <w:kern w:val="0"/>
          <w:sz w:val="24"/>
        </w:rPr>
        <w:t>。</w:t>
      </w:r>
    </w:p>
    <w:p>
      <w:pPr>
        <w:pStyle w:val="30"/>
        <w:numPr>
          <w:ilvl w:val="0"/>
          <w:numId w:val="12"/>
        </w:numPr>
        <w:snapToGrid w:val="0"/>
        <w:spacing w:line="360" w:lineRule="auto"/>
        <w:ind w:firstLineChars="0"/>
        <w:rPr>
          <w:rFonts w:ascii="宋体" w:hAnsi="宋体"/>
          <w:sz w:val="24"/>
        </w:rPr>
      </w:pPr>
      <w:r>
        <w:rPr>
          <w:rFonts w:hint="eastAsia" w:ascii="宋体" w:hAnsi="宋体" w:cs="宋体"/>
          <w:color w:val="000000" w:themeColor="text1"/>
          <w:kern w:val="0"/>
          <w:sz w:val="24"/>
        </w:rPr>
        <w:t>我公司承诺具备履行合同所必需的设备和专业技术能力。</w:t>
      </w:r>
    </w:p>
    <w:p>
      <w:pPr>
        <w:pStyle w:val="30"/>
        <w:numPr>
          <w:ilvl w:val="0"/>
          <w:numId w:val="12"/>
        </w:numPr>
        <w:snapToGrid w:val="0"/>
        <w:spacing w:line="360" w:lineRule="auto"/>
        <w:ind w:firstLineChars="0"/>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snapToGrid w:val="0"/>
        <w:spacing w:line="360" w:lineRule="auto"/>
        <w:rPr>
          <w:rFonts w:ascii="宋体" w:hAnsi="宋体"/>
          <w:sz w:val="24"/>
        </w:rPr>
      </w:pPr>
    </w:p>
    <w:p>
      <w:pPr>
        <w:pStyle w:val="2"/>
      </w:pP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jc w:val="center"/>
        <w:rPr>
          <w:sz w:val="52"/>
          <w:szCs w:val="52"/>
        </w:rPr>
      </w:pPr>
    </w:p>
    <w:p>
      <w:pPr>
        <w:jc w:val="center"/>
        <w:rPr>
          <w:sz w:val="52"/>
          <w:szCs w:val="52"/>
        </w:rPr>
      </w:pPr>
      <w:r>
        <w:rPr>
          <w:rFonts w:hint="eastAsia"/>
          <w:sz w:val="52"/>
          <w:szCs w:val="52"/>
        </w:rPr>
        <w:t>项目名称</w:t>
      </w:r>
      <w:bookmarkEnd w:id="52"/>
      <w:bookmarkEnd w:id="53"/>
      <w:bookmarkEnd w:id="5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1"/>
      </w:pP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1"/>
      </w:pPr>
    </w:p>
    <w:p>
      <w:pPr>
        <w:spacing w:line="360" w:lineRule="auto"/>
        <w:jc w:val="center"/>
        <w:rPr>
          <w:b/>
          <w:bCs/>
          <w:sz w:val="36"/>
          <w:szCs w:val="36"/>
          <w:lang w:val="zh-CN"/>
        </w:rPr>
      </w:pPr>
      <w:bookmarkStart w:id="55" w:name="_Toc5889_WPSOffice_Level1"/>
      <w:bookmarkStart w:id="56" w:name="_Toc11308_WPSOffice_Level1"/>
      <w:r>
        <w:rPr>
          <w:rFonts w:hint="eastAsia"/>
          <w:b/>
          <w:bCs/>
          <w:sz w:val="36"/>
          <w:szCs w:val="36"/>
          <w:lang w:val="zh-CN"/>
        </w:rPr>
        <w:t>商务与技术文件目录</w:t>
      </w:r>
      <w:bookmarkEnd w:id="55"/>
      <w:bookmarkEnd w:id="56"/>
    </w:p>
    <w:tbl>
      <w:tblPr>
        <w:tblStyle w:val="22"/>
        <w:tblW w:w="91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序号</w:t>
            </w:r>
          </w:p>
        </w:tc>
        <w:tc>
          <w:tcPr>
            <w:tcW w:w="2126"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目录内容</w:t>
            </w:r>
          </w:p>
        </w:tc>
        <w:tc>
          <w:tcPr>
            <w:tcW w:w="6278"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sz w:val="24"/>
              </w:rPr>
            </w:pPr>
            <w:r>
              <w:rPr>
                <w:rFonts w:ascii="宋体" w:hAnsi="宋体" w:cs="宋体"/>
                <w:sz w:val="24"/>
              </w:rPr>
              <w:t>1</w:t>
            </w:r>
          </w:p>
        </w:tc>
        <w:tc>
          <w:tcPr>
            <w:tcW w:w="2126" w:type="dxa"/>
            <w:vAlign w:val="center"/>
          </w:tcPr>
          <w:p>
            <w:pPr>
              <w:spacing w:line="280" w:lineRule="exact"/>
              <w:ind w:right="-107" w:rightChars="-51"/>
              <w:rPr>
                <w:rFonts w:ascii="宋体" w:hAnsi="宋体"/>
                <w:kern w:val="0"/>
                <w:sz w:val="24"/>
              </w:rPr>
            </w:pPr>
            <w:r>
              <w:rPr>
                <w:rFonts w:hint="eastAsia" w:ascii="宋体" w:hAnsi="宋体"/>
                <w:kern w:val="0"/>
                <w:sz w:val="24"/>
              </w:rPr>
              <w:t>投标人自评表</w:t>
            </w:r>
          </w:p>
        </w:tc>
        <w:tc>
          <w:tcPr>
            <w:tcW w:w="6278" w:type="dxa"/>
            <w:vAlign w:val="center"/>
          </w:tcPr>
          <w:p>
            <w:pPr>
              <w:spacing w:line="280" w:lineRule="exact"/>
              <w:ind w:right="-107" w:rightChars="-51"/>
              <w:rPr>
                <w:rFonts w:ascii="宋体" w:hAnsi="宋体"/>
                <w:kern w:val="0"/>
                <w:sz w:val="24"/>
              </w:rPr>
            </w:pPr>
            <w:r>
              <w:rPr>
                <w:rFonts w:hint="eastAsia" w:ascii="宋体" w:hAnsi="宋体"/>
                <w:kern w:val="0"/>
                <w:sz w:val="24"/>
              </w:rPr>
              <w:t>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2</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企业情况介绍</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《投标人及服务网点情况表》（附件5），投标人总公司和分公司，或者联合体公司相关情况介绍。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3</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企业偿付能力情况</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提供的第三方对总公司2021年度审计报告，包括投标人所属总公司2021年综合偿付能力充足率数据。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4</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实施方案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《技术及商务内容响应表》（附件6）</w:t>
            </w:r>
          </w:p>
          <w:p>
            <w:pPr>
              <w:widowControl/>
              <w:snapToGrid w:val="0"/>
              <w:spacing w:line="280" w:lineRule="exact"/>
              <w:jc w:val="left"/>
              <w:rPr>
                <w:rFonts w:ascii="宋体" w:hAnsi="宋体" w:cs="宋体"/>
                <w:color w:val="000000"/>
                <w:sz w:val="24"/>
              </w:rPr>
            </w:pPr>
            <w:r>
              <w:rPr>
                <w:rFonts w:hint="eastAsia" w:ascii="宋体" w:hAnsi="宋体" w:cs="宋体"/>
                <w:color w:val="000000"/>
                <w:sz w:val="24"/>
              </w:rPr>
              <w:t>根据本项目要求提供组织实施方案。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5</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经营情况相关业绩</w:t>
            </w:r>
          </w:p>
        </w:tc>
        <w:tc>
          <w:tcPr>
            <w:tcW w:w="6278" w:type="dxa"/>
            <w:vAlign w:val="center"/>
          </w:tcPr>
          <w:p>
            <w:pPr>
              <w:pStyle w:val="13"/>
              <w:widowControl/>
              <w:snapToGrid w:val="0"/>
              <w:spacing w:line="280" w:lineRule="exact"/>
              <w:jc w:val="left"/>
              <w:rPr>
                <w:rFonts w:hAnsi="宋体"/>
                <w:color w:val="000000"/>
                <w:sz w:val="24"/>
              </w:rPr>
            </w:pPr>
            <w:r>
              <w:rPr>
                <w:rFonts w:hint="eastAsia" w:hAnsi="宋体"/>
                <w:color w:val="000000"/>
                <w:sz w:val="24"/>
              </w:rPr>
              <w:t>《投标人与政府医保合作项目案例一览表》（附件7），</w:t>
            </w:r>
          </w:p>
          <w:p>
            <w:pPr>
              <w:widowControl/>
              <w:snapToGrid w:val="0"/>
              <w:spacing w:line="280" w:lineRule="exact"/>
              <w:jc w:val="left"/>
              <w:rPr>
                <w:rFonts w:ascii="宋体" w:hAnsi="宋体" w:cs="宋体"/>
                <w:color w:val="000000"/>
                <w:sz w:val="24"/>
              </w:rPr>
            </w:pPr>
            <w:r>
              <w:rPr>
                <w:rFonts w:hint="eastAsia" w:ascii="宋体" w:hAnsi="宋体" w:cs="宋体"/>
                <w:color w:val="000000"/>
                <w:sz w:val="24"/>
              </w:rPr>
              <w:t>提供投标人</w:t>
            </w:r>
            <w:r>
              <w:rPr>
                <w:rFonts w:ascii="宋体" w:hAnsi="宋体" w:cs="宋体"/>
                <w:color w:val="000000"/>
                <w:sz w:val="24"/>
              </w:rPr>
              <w:t>201</w:t>
            </w:r>
            <w:r>
              <w:rPr>
                <w:rFonts w:hint="eastAsia" w:ascii="宋体" w:hAnsi="宋体" w:cs="宋体"/>
                <w:color w:val="000000"/>
                <w:sz w:val="24"/>
              </w:rPr>
              <w:t>7年</w:t>
            </w:r>
            <w:r>
              <w:rPr>
                <w:rFonts w:ascii="宋体" w:hAnsi="宋体" w:cs="宋体"/>
                <w:color w:val="000000"/>
                <w:sz w:val="24"/>
              </w:rPr>
              <w:t>1</w:t>
            </w:r>
            <w:r>
              <w:rPr>
                <w:rFonts w:hint="eastAsia" w:ascii="宋体" w:hAnsi="宋体" w:cs="宋体"/>
                <w:color w:val="000000"/>
                <w:sz w:val="24"/>
              </w:rPr>
              <w:t>月至今有与政府合作项目（以签约项目合同或政府部门文件为依据）的业绩。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6</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调查细化方案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承诺按照医保相关规定及时客观的调查参保人员医疗情况，并提供具体实施细化方案。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7</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业务熟悉程度方案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根据温岭区域医保相关政策、业务流程提出的可行性方案。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8</w:t>
            </w:r>
          </w:p>
        </w:tc>
        <w:tc>
          <w:tcPr>
            <w:tcW w:w="2126" w:type="dxa"/>
            <w:vAlign w:val="center"/>
          </w:tcPr>
          <w:p>
            <w:pPr>
              <w:widowControl/>
              <w:snapToGrid w:val="0"/>
              <w:spacing w:line="280" w:lineRule="exact"/>
              <w:jc w:val="left"/>
              <w:rPr>
                <w:rFonts w:ascii="宋体" w:hAnsi="宋体" w:cs="宋体"/>
                <w:sz w:val="24"/>
              </w:rPr>
            </w:pPr>
            <w:r>
              <w:rPr>
                <w:rFonts w:hint="eastAsia" w:ascii="宋体" w:hAnsi="宋体" w:cs="宋体"/>
                <w:sz w:val="24"/>
              </w:rPr>
              <w:t>投标相关承诺</w:t>
            </w:r>
          </w:p>
        </w:tc>
        <w:tc>
          <w:tcPr>
            <w:tcW w:w="6278" w:type="dxa"/>
            <w:vAlign w:val="center"/>
          </w:tcPr>
          <w:p>
            <w:pPr>
              <w:widowControl/>
              <w:snapToGrid w:val="0"/>
              <w:spacing w:line="280" w:lineRule="exact"/>
              <w:jc w:val="left"/>
              <w:rPr>
                <w:rFonts w:ascii="宋体" w:hAnsi="宋体" w:cs="宋体"/>
                <w:sz w:val="24"/>
              </w:rPr>
            </w:pPr>
            <w:r>
              <w:rPr>
                <w:rFonts w:hint="eastAsia" w:ascii="宋体" w:hAnsi="宋体" w:cs="宋体"/>
                <w:sz w:val="24"/>
              </w:rPr>
              <w:t>《承诺书》格式自拟</w:t>
            </w:r>
          </w:p>
          <w:p>
            <w:pPr>
              <w:widowControl/>
              <w:snapToGrid w:val="0"/>
              <w:spacing w:line="280" w:lineRule="exact"/>
              <w:jc w:val="left"/>
              <w:rPr>
                <w:rFonts w:ascii="宋体" w:hAnsi="宋体" w:cs="宋体"/>
                <w:sz w:val="24"/>
              </w:rPr>
            </w:pPr>
            <w:r>
              <w:rPr>
                <w:rFonts w:hint="eastAsia" w:ascii="宋体" w:hAnsi="宋体" w:cs="宋体"/>
                <w:sz w:val="24"/>
              </w:rPr>
              <w:t>包括：车辆和勘查设备承诺、专业人员和调查团队配备承诺、专业机构设立承诺、医疗费用划拨承诺、核查承诺、上级风险承诺等。（请根据相关评分要求进行承诺）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9</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理</w:t>
            </w:r>
            <w:r>
              <w:rPr>
                <w:rFonts w:hint="default" w:ascii="宋体" w:hAnsi="宋体" w:cs="宋体"/>
                <w:color w:val="000000"/>
                <w:sz w:val="24"/>
              </w:rPr>
              <w:t>赔</w:t>
            </w:r>
            <w:r>
              <w:rPr>
                <w:rFonts w:hint="eastAsia" w:ascii="宋体" w:hAnsi="宋体" w:cs="宋体"/>
                <w:color w:val="000000"/>
                <w:sz w:val="24"/>
              </w:rPr>
              <w:t>规范调节机制方案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投标人日常的意外伤害理赔规范和纠纷调节机制方案，有效控制投诉人员投诉率。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10</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日常培训和管理方案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投标人日常人员绩效评价、作业管理、培训管理、薪酬管理系统，人员日常管理考核和专业知识培训的方案和措施。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11</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增值服务方案</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提供其它针对医保及参保人员增值服务的措施或承诺。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widowControl/>
              <w:snapToGrid w:val="0"/>
              <w:spacing w:line="280" w:lineRule="exact"/>
              <w:jc w:val="center"/>
              <w:rPr>
                <w:rFonts w:ascii="宋体" w:hAnsi="宋体" w:cs="宋体"/>
                <w:color w:val="000000"/>
                <w:sz w:val="24"/>
              </w:rPr>
            </w:pPr>
            <w:r>
              <w:rPr>
                <w:rFonts w:hint="eastAsia" w:ascii="宋体" w:hAnsi="宋体" w:cs="宋体"/>
                <w:color w:val="000000"/>
                <w:sz w:val="24"/>
              </w:rPr>
              <w:t>12</w:t>
            </w:r>
          </w:p>
        </w:tc>
        <w:tc>
          <w:tcPr>
            <w:tcW w:w="2126"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其它资料</w:t>
            </w:r>
          </w:p>
        </w:tc>
        <w:tc>
          <w:tcPr>
            <w:tcW w:w="6278" w:type="dxa"/>
            <w:vAlign w:val="center"/>
          </w:tcPr>
          <w:p>
            <w:pPr>
              <w:widowControl/>
              <w:snapToGrid w:val="0"/>
              <w:spacing w:line="280" w:lineRule="exact"/>
              <w:jc w:val="left"/>
              <w:rPr>
                <w:rFonts w:ascii="宋体" w:hAnsi="宋体" w:cs="宋体"/>
                <w:color w:val="000000"/>
                <w:sz w:val="24"/>
              </w:rPr>
            </w:pPr>
            <w:r>
              <w:rPr>
                <w:rFonts w:hint="eastAsia" w:ascii="宋体" w:hAnsi="宋体" w:cs="宋体"/>
                <w:color w:val="000000"/>
                <w:sz w:val="24"/>
              </w:rPr>
              <w:t>投标人提供的其它资料等。</w:t>
            </w:r>
          </w:p>
        </w:tc>
      </w:tr>
    </w:tbl>
    <w:p/>
    <w:p>
      <w:pPr>
        <w:pStyle w:val="2"/>
      </w:pPr>
    </w:p>
    <w:p/>
    <w:p>
      <w:pPr>
        <w:pStyle w:val="2"/>
      </w:pPr>
    </w:p>
    <w:p/>
    <w:p>
      <w:pPr>
        <w:pStyle w:val="2"/>
      </w:pPr>
    </w:p>
    <w:p/>
    <w:p>
      <w:pPr>
        <w:pStyle w:val="2"/>
      </w:pPr>
    </w:p>
    <w:p>
      <w:pPr>
        <w:pStyle w:val="2"/>
      </w:pPr>
    </w:p>
    <w:p>
      <w:pPr>
        <w:pStyle w:val="33"/>
        <w:spacing w:before="0" w:beforeAutospacing="0" w:after="0" w:afterAutospacing="0" w:line="360" w:lineRule="auto"/>
        <w:rPr>
          <w:b/>
          <w:sz w:val="28"/>
        </w:rPr>
      </w:pPr>
      <w:r>
        <w:rPr>
          <w:rFonts w:hint="eastAsia"/>
          <w:b/>
          <w:sz w:val="28"/>
        </w:rPr>
        <w:t>附件4</w:t>
      </w:r>
    </w:p>
    <w:p>
      <w:pPr>
        <w:spacing w:line="360" w:lineRule="auto"/>
        <w:jc w:val="center"/>
        <w:rPr>
          <w:rFonts w:ascii="宋体" w:hAnsi="宋体" w:cs="宋体"/>
          <w:color w:val="000000"/>
          <w:sz w:val="24"/>
        </w:rPr>
      </w:pPr>
      <w:r>
        <w:rPr>
          <w:rFonts w:hint="eastAsia" w:ascii="宋体" w:hAnsi="宋体"/>
          <w:b/>
          <w:sz w:val="36"/>
          <w:szCs w:val="36"/>
        </w:rPr>
        <w:t>投标人自评表</w:t>
      </w:r>
    </w:p>
    <w:p>
      <w:pPr>
        <w:widowControl/>
        <w:overflowPunct w:val="0"/>
        <w:autoSpaceDE w:val="0"/>
        <w:autoSpaceDN w:val="0"/>
        <w:adjustRightInd w:val="0"/>
        <w:spacing w:after="85"/>
        <w:jc w:val="left"/>
        <w:textAlignment w:val="baseline"/>
        <w:rPr>
          <w:rFonts w:ascii="宋体" w:hAnsi="宋体" w:cs="宋体"/>
          <w:color w:val="000000"/>
          <w:sz w:val="24"/>
        </w:rPr>
      </w:pPr>
      <w:r>
        <w:rPr>
          <w:rFonts w:hint="eastAsia" w:ascii="宋体" w:hAnsi="宋体" w:cs="宋体"/>
          <w:color w:val="000000"/>
          <w:sz w:val="24"/>
        </w:rPr>
        <w:t>项目名称：</w:t>
      </w:r>
    </w:p>
    <w:p>
      <w:pPr>
        <w:widowControl/>
        <w:overflowPunct w:val="0"/>
        <w:autoSpaceDE w:val="0"/>
        <w:autoSpaceDN w:val="0"/>
        <w:adjustRightInd w:val="0"/>
        <w:spacing w:after="85"/>
        <w:jc w:val="left"/>
        <w:textAlignment w:val="baseline"/>
        <w:rPr>
          <w:rFonts w:ascii="宋体" w:hAnsi="宋体" w:cs="宋体"/>
          <w:color w:val="000000"/>
          <w:sz w:val="24"/>
        </w:rPr>
      </w:pPr>
      <w:r>
        <w:rPr>
          <w:rFonts w:hint="eastAsia" w:ascii="宋体" w:hAnsi="宋体" w:cs="宋体"/>
          <w:color w:val="000000"/>
          <w:sz w:val="24"/>
        </w:rPr>
        <w:t>招标编号：</w:t>
      </w:r>
    </w:p>
    <w:p>
      <w:pPr>
        <w:rPr>
          <w:rFonts w:hAnsi="宋体"/>
          <w:sz w:val="24"/>
        </w:rPr>
      </w:pPr>
    </w:p>
    <w:tbl>
      <w:tblPr>
        <w:tblStyle w:val="2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35"/>
        <w:gridCol w:w="852"/>
        <w:gridCol w:w="5207"/>
        <w:gridCol w:w="603"/>
        <w:gridCol w:w="603"/>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8" w:type="dxa"/>
            <w:vAlign w:val="center"/>
          </w:tcPr>
          <w:p>
            <w:pPr>
              <w:widowControl/>
              <w:spacing w:line="320" w:lineRule="exact"/>
              <w:jc w:val="center"/>
              <w:rPr>
                <w:rFonts w:ascii="宋体" w:hAnsi="宋体"/>
                <w:kern w:val="0"/>
                <w:sz w:val="24"/>
              </w:rPr>
            </w:pPr>
            <w:r>
              <w:rPr>
                <w:rFonts w:hint="eastAsia" w:ascii="宋体" w:hAnsi="宋体" w:cs="宋体"/>
                <w:kern w:val="0"/>
                <w:sz w:val="24"/>
              </w:rPr>
              <w:t>序号</w:t>
            </w:r>
          </w:p>
        </w:tc>
        <w:tc>
          <w:tcPr>
            <w:tcW w:w="735" w:type="dxa"/>
            <w:vAlign w:val="center"/>
          </w:tcPr>
          <w:p>
            <w:pPr>
              <w:widowControl/>
              <w:spacing w:line="320" w:lineRule="exact"/>
              <w:jc w:val="center"/>
              <w:rPr>
                <w:rFonts w:ascii="宋体" w:hAnsi="宋体"/>
                <w:kern w:val="0"/>
                <w:sz w:val="24"/>
              </w:rPr>
            </w:pPr>
            <w:r>
              <w:rPr>
                <w:rFonts w:hint="eastAsia" w:ascii="宋体" w:hAnsi="宋体" w:cs="宋体"/>
                <w:kern w:val="0"/>
                <w:sz w:val="24"/>
              </w:rPr>
              <w:t>项目内容</w:t>
            </w:r>
          </w:p>
        </w:tc>
        <w:tc>
          <w:tcPr>
            <w:tcW w:w="852" w:type="dxa"/>
            <w:vAlign w:val="center"/>
          </w:tcPr>
          <w:p>
            <w:pPr>
              <w:widowControl/>
              <w:spacing w:line="320" w:lineRule="exact"/>
              <w:jc w:val="center"/>
              <w:rPr>
                <w:rFonts w:ascii="宋体" w:hAnsi="宋体"/>
                <w:kern w:val="0"/>
                <w:sz w:val="24"/>
              </w:rPr>
            </w:pPr>
            <w:r>
              <w:rPr>
                <w:rFonts w:hint="eastAsia" w:ascii="宋体" w:hAnsi="宋体" w:cs="宋体"/>
                <w:kern w:val="0"/>
                <w:sz w:val="24"/>
              </w:rPr>
              <w:t>评分项</w:t>
            </w:r>
          </w:p>
        </w:tc>
        <w:tc>
          <w:tcPr>
            <w:tcW w:w="5207" w:type="dxa"/>
            <w:vAlign w:val="center"/>
          </w:tcPr>
          <w:p>
            <w:pPr>
              <w:widowControl/>
              <w:spacing w:line="320" w:lineRule="exact"/>
              <w:jc w:val="center"/>
              <w:rPr>
                <w:rFonts w:ascii="宋体" w:hAnsi="宋体"/>
                <w:kern w:val="0"/>
                <w:sz w:val="24"/>
              </w:rPr>
            </w:pPr>
            <w:r>
              <w:rPr>
                <w:rFonts w:hint="eastAsia" w:ascii="宋体" w:hAnsi="宋体" w:cs="宋体"/>
                <w:kern w:val="0"/>
                <w:sz w:val="24"/>
              </w:rPr>
              <w:t>评分标准</w:t>
            </w:r>
          </w:p>
        </w:tc>
        <w:tc>
          <w:tcPr>
            <w:tcW w:w="603"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cs="宋体"/>
                <w:kern w:val="0"/>
                <w:sz w:val="24"/>
              </w:rPr>
              <w:t>分值</w:t>
            </w:r>
          </w:p>
        </w:tc>
        <w:tc>
          <w:tcPr>
            <w:tcW w:w="603" w:type="dxa"/>
            <w:vAlign w:val="center"/>
          </w:tcPr>
          <w:p>
            <w:pPr>
              <w:widowControl/>
              <w:spacing w:line="320" w:lineRule="exact"/>
              <w:ind w:left="-105" w:leftChars="-50" w:right="-115" w:rightChars="-55"/>
              <w:jc w:val="center"/>
              <w:rPr>
                <w:rFonts w:hint="eastAsia" w:ascii="宋体" w:hAnsi="宋体" w:cs="宋体"/>
                <w:kern w:val="0"/>
                <w:sz w:val="24"/>
              </w:rPr>
            </w:pPr>
            <w:r>
              <w:rPr>
                <w:rFonts w:hint="eastAsia" w:ascii="宋体" w:hAnsi="宋体" w:cs="宋体"/>
                <w:kern w:val="0"/>
                <w:sz w:val="24"/>
              </w:rPr>
              <w:t>自评分值</w:t>
            </w:r>
          </w:p>
        </w:tc>
        <w:tc>
          <w:tcPr>
            <w:tcW w:w="604" w:type="dxa"/>
            <w:vAlign w:val="center"/>
          </w:tcPr>
          <w:p>
            <w:pPr>
              <w:widowControl/>
              <w:spacing w:line="320" w:lineRule="exact"/>
              <w:ind w:left="-105" w:leftChars="-50" w:right="-115" w:rightChars="-55"/>
              <w:jc w:val="center"/>
              <w:rPr>
                <w:rFonts w:hint="eastAsia" w:ascii="宋体" w:hAnsi="宋体" w:cs="宋体"/>
                <w:kern w:val="0"/>
                <w:sz w:val="24"/>
              </w:rPr>
            </w:pPr>
            <w:r>
              <w:rPr>
                <w:rFonts w:hint="eastAsia" w:ascii="宋体" w:hAnsi="宋体" w:cs="宋体"/>
                <w:kern w:val="0"/>
                <w:sz w:val="24"/>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48" w:type="dxa"/>
            <w:vAlign w:val="center"/>
          </w:tcPr>
          <w:p>
            <w:pPr>
              <w:widowControl/>
              <w:spacing w:line="320" w:lineRule="exact"/>
              <w:jc w:val="center"/>
              <w:rPr>
                <w:rFonts w:ascii="宋体" w:hAnsi="宋体" w:cs="宋体"/>
                <w:kern w:val="0"/>
                <w:sz w:val="24"/>
              </w:rPr>
            </w:pPr>
            <w:r>
              <w:rPr>
                <w:rFonts w:hint="eastAsia" w:ascii="宋体" w:hAnsi="宋体" w:cs="宋体"/>
                <w:kern w:val="0"/>
                <w:sz w:val="24"/>
              </w:rPr>
              <w:t>1</w:t>
            </w:r>
          </w:p>
        </w:tc>
        <w:tc>
          <w:tcPr>
            <w:tcW w:w="735" w:type="dxa"/>
            <w:vAlign w:val="center"/>
          </w:tcPr>
          <w:p>
            <w:pPr>
              <w:widowControl/>
              <w:spacing w:line="320" w:lineRule="exact"/>
              <w:rPr>
                <w:rFonts w:ascii="宋体" w:hAnsi="宋体" w:cs="宋体"/>
                <w:kern w:val="0"/>
                <w:sz w:val="24"/>
              </w:rPr>
            </w:pPr>
            <w:r>
              <w:rPr>
                <w:rFonts w:hint="eastAsia" w:ascii="宋体" w:hAnsi="宋体" w:cs="宋体"/>
                <w:kern w:val="0"/>
                <w:sz w:val="24"/>
              </w:rPr>
              <w:t>公司综合情况</w:t>
            </w:r>
          </w:p>
        </w:tc>
        <w:tc>
          <w:tcPr>
            <w:tcW w:w="852" w:type="dxa"/>
            <w:vAlign w:val="center"/>
          </w:tcPr>
          <w:p>
            <w:pPr>
              <w:widowControl/>
              <w:spacing w:line="320" w:lineRule="exact"/>
              <w:jc w:val="center"/>
              <w:rPr>
                <w:rFonts w:ascii="宋体" w:hAnsi="宋体" w:cs="宋体"/>
                <w:kern w:val="0"/>
                <w:sz w:val="24"/>
              </w:rPr>
            </w:pPr>
            <w:r>
              <w:rPr>
                <w:rFonts w:hint="eastAsia" w:ascii="宋体" w:hAnsi="宋体" w:cs="宋体"/>
                <w:kern w:val="0"/>
                <w:sz w:val="24"/>
              </w:rPr>
              <w:t>企业偿付能力情况</w:t>
            </w:r>
          </w:p>
        </w:tc>
        <w:tc>
          <w:tcPr>
            <w:tcW w:w="5207" w:type="dxa"/>
            <w:vAlign w:val="center"/>
          </w:tcPr>
          <w:p>
            <w:pPr>
              <w:widowControl/>
              <w:spacing w:line="32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投标人所属总公司2021年综合偿付能力，综合偿付能力充足率</w:t>
            </w:r>
            <w:r>
              <w:rPr>
                <w:rFonts w:ascii="宋体" w:hAnsi="宋体" w:cs="Arial"/>
                <w:color w:val="000000" w:themeColor="text1"/>
                <w:kern w:val="0"/>
                <w:sz w:val="24"/>
              </w:rPr>
              <w:t>≥</w:t>
            </w:r>
            <w:r>
              <w:rPr>
                <w:rFonts w:hint="eastAsia" w:ascii="宋体" w:hAnsi="宋体" w:cs="宋体"/>
                <w:color w:val="000000" w:themeColor="text1"/>
                <w:kern w:val="0"/>
                <w:sz w:val="24"/>
              </w:rPr>
              <w:t>250%的，得6分；200%</w:t>
            </w:r>
            <w:r>
              <w:rPr>
                <w:rFonts w:ascii="宋体" w:hAnsi="宋体" w:cs="Arial"/>
                <w:color w:val="000000" w:themeColor="text1"/>
                <w:kern w:val="0"/>
                <w:sz w:val="24"/>
              </w:rPr>
              <w:t>≤</w:t>
            </w:r>
            <w:r>
              <w:rPr>
                <w:rFonts w:hint="eastAsia" w:ascii="宋体" w:hAnsi="宋体" w:cs="宋体"/>
                <w:color w:val="000000" w:themeColor="text1"/>
                <w:kern w:val="0"/>
                <w:sz w:val="24"/>
              </w:rPr>
              <w:t>综合偿付能力充足率&lt;250%的，得4分；150%</w:t>
            </w:r>
            <w:r>
              <w:rPr>
                <w:rFonts w:ascii="宋体" w:hAnsi="宋体" w:cs="Arial"/>
                <w:color w:val="000000" w:themeColor="text1"/>
                <w:kern w:val="0"/>
                <w:sz w:val="24"/>
              </w:rPr>
              <w:t>≤</w:t>
            </w:r>
            <w:r>
              <w:rPr>
                <w:rFonts w:hint="eastAsia" w:ascii="宋体" w:hAnsi="宋体" w:cs="宋体"/>
                <w:color w:val="000000" w:themeColor="text1"/>
                <w:kern w:val="0"/>
                <w:sz w:val="24"/>
              </w:rPr>
              <w:t>综合偿付能力充足率&lt;200%得2分；综合偿付能力充足率&lt;150%的不得分。（以投标方提供的第三方对总公司2021年度审计报告为依据）</w:t>
            </w:r>
          </w:p>
        </w:tc>
        <w:tc>
          <w:tcPr>
            <w:tcW w:w="603" w:type="dxa"/>
            <w:vAlign w:val="center"/>
          </w:tcPr>
          <w:p>
            <w:pPr>
              <w:widowControl/>
              <w:spacing w:line="320" w:lineRule="exact"/>
              <w:ind w:left="-105" w:leftChars="-50" w:right="-115" w:rightChars="-55"/>
              <w:jc w:val="center"/>
              <w:rPr>
                <w:rFonts w:ascii="宋体" w:hAnsi="宋体" w:cs="宋体"/>
                <w:kern w:val="0"/>
                <w:sz w:val="24"/>
              </w:rPr>
            </w:pPr>
            <w:r>
              <w:rPr>
                <w:rFonts w:hint="eastAsia" w:ascii="宋体" w:hAnsi="宋体" w:cs="宋体"/>
                <w:kern w:val="0"/>
                <w:sz w:val="24"/>
              </w:rPr>
              <w:t>6</w:t>
            </w:r>
          </w:p>
        </w:tc>
        <w:tc>
          <w:tcPr>
            <w:tcW w:w="603" w:type="dxa"/>
            <w:vAlign w:val="center"/>
          </w:tcPr>
          <w:p>
            <w:pPr>
              <w:widowControl/>
              <w:spacing w:line="320" w:lineRule="exact"/>
              <w:ind w:left="-105" w:leftChars="-50" w:right="-115" w:rightChars="-55"/>
              <w:jc w:val="center"/>
              <w:rPr>
                <w:rFonts w:hint="eastAsia" w:ascii="宋体" w:hAnsi="宋体" w:cs="宋体"/>
                <w:kern w:val="0"/>
                <w:sz w:val="24"/>
              </w:rPr>
            </w:pPr>
          </w:p>
        </w:tc>
        <w:tc>
          <w:tcPr>
            <w:tcW w:w="604" w:type="dxa"/>
            <w:vAlign w:val="center"/>
          </w:tcPr>
          <w:p>
            <w:pPr>
              <w:widowControl/>
              <w:spacing w:line="320" w:lineRule="exact"/>
              <w:ind w:left="-105" w:leftChars="-50" w:right="-115" w:rightChars="-55"/>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48" w:type="dxa"/>
            <w:vAlign w:val="center"/>
          </w:tcPr>
          <w:p>
            <w:pPr>
              <w:widowControl/>
              <w:spacing w:line="320" w:lineRule="exact"/>
              <w:jc w:val="center"/>
              <w:rPr>
                <w:rFonts w:ascii="宋体" w:hAnsi="宋体"/>
                <w:kern w:val="0"/>
                <w:sz w:val="24"/>
              </w:rPr>
            </w:pPr>
            <w:r>
              <w:rPr>
                <w:rFonts w:hint="eastAsia" w:ascii="宋体" w:hAnsi="宋体" w:cs="宋体"/>
                <w:kern w:val="0"/>
                <w:sz w:val="24"/>
              </w:rPr>
              <w:t>2</w:t>
            </w:r>
          </w:p>
        </w:tc>
        <w:tc>
          <w:tcPr>
            <w:tcW w:w="735" w:type="dxa"/>
            <w:vAlign w:val="center"/>
          </w:tcPr>
          <w:p>
            <w:pPr>
              <w:widowControl/>
              <w:spacing w:line="320" w:lineRule="exact"/>
              <w:jc w:val="center"/>
              <w:rPr>
                <w:rFonts w:ascii="宋体" w:hAnsi="宋体"/>
                <w:kern w:val="0"/>
                <w:sz w:val="24"/>
              </w:rPr>
            </w:pPr>
            <w:r>
              <w:rPr>
                <w:rFonts w:hint="eastAsia" w:ascii="宋体" w:hAnsi="宋体" w:cs="宋体"/>
                <w:kern w:val="0"/>
                <w:sz w:val="24"/>
              </w:rPr>
              <w:t>经营情况</w:t>
            </w:r>
          </w:p>
        </w:tc>
        <w:tc>
          <w:tcPr>
            <w:tcW w:w="852" w:type="dxa"/>
            <w:vAlign w:val="center"/>
          </w:tcPr>
          <w:p>
            <w:pPr>
              <w:widowControl/>
              <w:spacing w:line="320" w:lineRule="exact"/>
              <w:jc w:val="center"/>
              <w:rPr>
                <w:rFonts w:ascii="宋体" w:hAnsi="宋体"/>
                <w:kern w:val="0"/>
                <w:sz w:val="24"/>
              </w:rPr>
            </w:pPr>
            <w:r>
              <w:rPr>
                <w:rFonts w:hint="eastAsia" w:ascii="宋体" w:hAnsi="宋体" w:cs="宋体"/>
                <w:kern w:val="0"/>
                <w:sz w:val="24"/>
              </w:rPr>
              <w:t>政企合作</w:t>
            </w:r>
          </w:p>
        </w:tc>
        <w:tc>
          <w:tcPr>
            <w:tcW w:w="5207" w:type="dxa"/>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根据投标人</w:t>
            </w:r>
            <w:r>
              <w:rPr>
                <w:rFonts w:ascii="宋体" w:hAnsi="宋体" w:cs="宋体"/>
                <w:color w:val="000000" w:themeColor="text1"/>
                <w:kern w:val="0"/>
                <w:sz w:val="24"/>
              </w:rPr>
              <w:t>20</w:t>
            </w:r>
            <w:r>
              <w:rPr>
                <w:rFonts w:hint="eastAsia" w:ascii="宋体" w:hAnsi="宋体" w:cs="宋体"/>
                <w:color w:val="000000" w:themeColor="text1"/>
                <w:kern w:val="0"/>
                <w:sz w:val="24"/>
              </w:rPr>
              <w:t>17年</w:t>
            </w:r>
            <w:r>
              <w:rPr>
                <w:rFonts w:ascii="宋体" w:hAnsi="宋体" w:cs="宋体"/>
                <w:color w:val="000000" w:themeColor="text1"/>
                <w:kern w:val="0"/>
                <w:sz w:val="24"/>
              </w:rPr>
              <w:t>1</w:t>
            </w:r>
            <w:r>
              <w:rPr>
                <w:rFonts w:hint="eastAsia" w:ascii="宋体" w:hAnsi="宋体" w:cs="宋体"/>
                <w:color w:val="000000" w:themeColor="text1"/>
                <w:kern w:val="0"/>
                <w:sz w:val="24"/>
              </w:rPr>
              <w:t>月至今有与政府合作项目（以签约项目合同或政府部门文件为依据）的业绩，每一例得1分，最高得2分。</w:t>
            </w:r>
          </w:p>
        </w:tc>
        <w:tc>
          <w:tcPr>
            <w:tcW w:w="603"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cs="宋体"/>
                <w:kern w:val="0"/>
                <w:sz w:val="24"/>
              </w:rPr>
              <w:t>2</w:t>
            </w:r>
          </w:p>
        </w:tc>
        <w:tc>
          <w:tcPr>
            <w:tcW w:w="603" w:type="dxa"/>
            <w:vAlign w:val="center"/>
          </w:tcPr>
          <w:p>
            <w:pPr>
              <w:widowControl/>
              <w:spacing w:line="320" w:lineRule="exact"/>
              <w:ind w:left="-105" w:leftChars="-50" w:right="-115" w:rightChars="-55"/>
              <w:jc w:val="center"/>
              <w:rPr>
                <w:rFonts w:hint="eastAsia" w:ascii="宋体" w:hAnsi="宋体" w:cs="宋体"/>
                <w:kern w:val="0"/>
                <w:sz w:val="24"/>
              </w:rPr>
            </w:pPr>
          </w:p>
        </w:tc>
        <w:tc>
          <w:tcPr>
            <w:tcW w:w="604" w:type="dxa"/>
            <w:vAlign w:val="center"/>
          </w:tcPr>
          <w:p>
            <w:pPr>
              <w:widowControl/>
              <w:spacing w:line="320" w:lineRule="exact"/>
              <w:ind w:left="-105" w:leftChars="-50" w:right="-115" w:rightChars="-55"/>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48" w:type="dxa"/>
            <w:vMerge w:val="restart"/>
            <w:vAlign w:val="center"/>
          </w:tcPr>
          <w:p>
            <w:pPr>
              <w:widowControl/>
              <w:spacing w:line="320" w:lineRule="exact"/>
              <w:jc w:val="center"/>
              <w:rPr>
                <w:rFonts w:ascii="宋体" w:hAnsi="宋体"/>
                <w:color w:val="FF0000"/>
                <w:kern w:val="0"/>
                <w:sz w:val="24"/>
              </w:rPr>
            </w:pPr>
            <w:r>
              <w:rPr>
                <w:rFonts w:hint="eastAsia" w:ascii="宋体" w:hAnsi="宋体"/>
                <w:color w:val="FF0000"/>
                <w:kern w:val="0"/>
                <w:sz w:val="24"/>
              </w:rPr>
              <w:t>4</w:t>
            </w:r>
          </w:p>
        </w:tc>
        <w:tc>
          <w:tcPr>
            <w:tcW w:w="735" w:type="dxa"/>
            <w:vMerge w:val="restart"/>
            <w:vAlign w:val="center"/>
          </w:tcPr>
          <w:p>
            <w:pPr>
              <w:widowControl/>
              <w:spacing w:line="320" w:lineRule="exact"/>
              <w:jc w:val="center"/>
              <w:rPr>
                <w:rFonts w:ascii="宋体" w:hAnsi="宋体"/>
                <w:kern w:val="0"/>
                <w:sz w:val="24"/>
              </w:rPr>
            </w:pPr>
            <w:r>
              <w:rPr>
                <w:rFonts w:hint="eastAsia" w:ascii="宋体" w:hAnsi="宋体" w:cs="宋体"/>
                <w:kern w:val="0"/>
                <w:sz w:val="24"/>
              </w:rPr>
              <w:t>投标承诺</w:t>
            </w:r>
          </w:p>
        </w:tc>
        <w:tc>
          <w:tcPr>
            <w:tcW w:w="852" w:type="dxa"/>
            <w:vAlign w:val="center"/>
          </w:tcPr>
          <w:p>
            <w:pPr>
              <w:widowControl/>
              <w:spacing w:line="320" w:lineRule="exact"/>
              <w:jc w:val="center"/>
              <w:rPr>
                <w:rFonts w:ascii="宋体" w:hAnsi="宋体"/>
                <w:kern w:val="0"/>
                <w:sz w:val="24"/>
              </w:rPr>
            </w:pPr>
            <w:r>
              <w:rPr>
                <w:rFonts w:hint="eastAsia" w:ascii="宋体" w:hAnsi="宋体"/>
                <w:kern w:val="0"/>
                <w:sz w:val="24"/>
              </w:rPr>
              <w:t>设备保障</w:t>
            </w:r>
          </w:p>
        </w:tc>
        <w:tc>
          <w:tcPr>
            <w:tcW w:w="5207"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配备理赔勘查、审核管控需要的车辆（标段一9辆，标段二2辆）和相应设备，承诺承保期间相关硬件设施配备到位并做好后勤保障工作得4分，不承诺不得分。</w:t>
            </w:r>
          </w:p>
        </w:tc>
        <w:tc>
          <w:tcPr>
            <w:tcW w:w="603" w:type="dxa"/>
            <w:vAlign w:val="center"/>
          </w:tcPr>
          <w:p>
            <w:pPr>
              <w:widowControl/>
              <w:spacing w:line="320" w:lineRule="exact"/>
              <w:ind w:left="-105" w:leftChars="-50" w:right="-115" w:rightChars="-55"/>
              <w:jc w:val="center"/>
              <w:rPr>
                <w:rFonts w:ascii="宋体" w:hAnsi="宋体"/>
                <w:kern w:val="0"/>
                <w:sz w:val="24"/>
              </w:rPr>
            </w:pPr>
            <w:r>
              <w:rPr>
                <w:rFonts w:ascii="宋体" w:hAnsi="宋体" w:cs="宋体"/>
                <w:kern w:val="0"/>
                <w:sz w:val="24"/>
              </w:rPr>
              <w:t>4</w:t>
            </w:r>
          </w:p>
        </w:tc>
        <w:tc>
          <w:tcPr>
            <w:tcW w:w="603" w:type="dxa"/>
            <w:vAlign w:val="center"/>
          </w:tcPr>
          <w:p>
            <w:pPr>
              <w:widowControl/>
              <w:spacing w:line="320" w:lineRule="exact"/>
              <w:ind w:left="-105" w:leftChars="-50" w:right="-115" w:rightChars="-55"/>
              <w:jc w:val="center"/>
              <w:rPr>
                <w:rFonts w:ascii="宋体" w:hAnsi="宋体" w:cs="宋体"/>
                <w:kern w:val="0"/>
                <w:sz w:val="24"/>
              </w:rPr>
            </w:pPr>
          </w:p>
        </w:tc>
        <w:tc>
          <w:tcPr>
            <w:tcW w:w="604" w:type="dxa"/>
            <w:vAlign w:val="center"/>
          </w:tcPr>
          <w:p>
            <w:pPr>
              <w:widowControl/>
              <w:spacing w:line="320" w:lineRule="exact"/>
              <w:ind w:left="-105" w:leftChars="-50" w:right="-115" w:rightChars="-55"/>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48" w:type="dxa"/>
            <w:vMerge w:val="continue"/>
            <w:vAlign w:val="center"/>
          </w:tcPr>
          <w:p>
            <w:pPr>
              <w:widowControl/>
              <w:spacing w:line="320" w:lineRule="exact"/>
              <w:jc w:val="center"/>
              <w:rPr>
                <w:rFonts w:ascii="宋体" w:hAnsi="宋体"/>
                <w:color w:val="FF0000"/>
                <w:kern w:val="0"/>
                <w:sz w:val="24"/>
              </w:rPr>
            </w:pPr>
          </w:p>
        </w:tc>
        <w:tc>
          <w:tcPr>
            <w:tcW w:w="735" w:type="dxa"/>
            <w:vMerge w:val="continue"/>
            <w:vAlign w:val="center"/>
          </w:tcPr>
          <w:p>
            <w:pPr>
              <w:widowControl/>
              <w:spacing w:line="320" w:lineRule="exact"/>
              <w:jc w:val="center"/>
              <w:rPr>
                <w:rFonts w:ascii="宋体" w:hAnsi="宋体"/>
                <w:kern w:val="0"/>
                <w:sz w:val="24"/>
              </w:rPr>
            </w:pPr>
          </w:p>
        </w:tc>
        <w:tc>
          <w:tcPr>
            <w:tcW w:w="852" w:type="dxa"/>
            <w:vMerge w:val="restart"/>
            <w:vAlign w:val="center"/>
          </w:tcPr>
          <w:p>
            <w:pPr>
              <w:widowControl/>
              <w:spacing w:line="320" w:lineRule="exact"/>
              <w:jc w:val="center"/>
              <w:rPr>
                <w:rFonts w:ascii="宋体" w:hAnsi="宋体"/>
                <w:kern w:val="0"/>
                <w:sz w:val="24"/>
              </w:rPr>
            </w:pPr>
            <w:r>
              <w:rPr>
                <w:rFonts w:hint="eastAsia" w:ascii="宋体" w:hAnsi="宋体" w:cs="宋体"/>
                <w:kern w:val="0"/>
                <w:sz w:val="24"/>
              </w:rPr>
              <w:t>专业人员配备</w:t>
            </w:r>
          </w:p>
        </w:tc>
        <w:tc>
          <w:tcPr>
            <w:tcW w:w="5207"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标段一：城乡医保项目。承诺承包期间配备到岗人员</w:t>
            </w:r>
            <w:r>
              <w:rPr>
                <w:rFonts w:hint="eastAsia" w:ascii="宋体" w:hAnsi="宋体" w:cs="宋体"/>
                <w:color w:val="000000" w:themeColor="text1"/>
                <w:kern w:val="0"/>
                <w:sz w:val="24"/>
                <w:u w:val="single"/>
              </w:rPr>
              <w:t>6</w:t>
            </w:r>
            <w:r>
              <w:rPr>
                <w:rFonts w:hint="eastAsia" w:ascii="宋体" w:hAnsi="宋体" w:cs="宋体"/>
                <w:color w:val="000000" w:themeColor="text1"/>
                <w:kern w:val="0"/>
                <w:sz w:val="24"/>
              </w:rPr>
              <w:t>人得</w:t>
            </w:r>
            <w:r>
              <w:rPr>
                <w:rFonts w:hint="eastAsia" w:ascii="宋体" w:hAnsi="宋体" w:cs="宋体"/>
                <w:color w:val="000000" w:themeColor="text1"/>
                <w:kern w:val="0"/>
                <w:sz w:val="24"/>
                <w:lang w:val="en-US" w:eastAsia="zh-CN"/>
              </w:rPr>
              <w:t>3</w:t>
            </w:r>
            <w:r>
              <w:rPr>
                <w:rFonts w:hint="eastAsia" w:ascii="宋体" w:hAnsi="宋体" w:cs="宋体"/>
                <w:color w:val="000000" w:themeColor="text1"/>
                <w:kern w:val="0"/>
                <w:sz w:val="24"/>
              </w:rPr>
              <w:t>分，其中医学专业</w:t>
            </w:r>
            <w:r>
              <w:rPr>
                <w:rFonts w:hint="eastAsia" w:ascii="宋体" w:hAnsi="宋体" w:cs="宋体"/>
                <w:color w:val="000000" w:themeColor="text1"/>
                <w:kern w:val="0"/>
                <w:sz w:val="24"/>
                <w:u w:val="single"/>
              </w:rPr>
              <w:t>3</w:t>
            </w:r>
            <w:r>
              <w:rPr>
                <w:rFonts w:hint="eastAsia" w:ascii="宋体" w:hAnsi="宋体" w:cs="宋体"/>
                <w:color w:val="000000" w:themeColor="text1"/>
                <w:kern w:val="0"/>
                <w:sz w:val="24"/>
              </w:rPr>
              <w:t>名</w:t>
            </w:r>
            <w:r>
              <w:rPr>
                <w:rFonts w:hint="eastAsia" w:ascii="宋体" w:hAnsi="宋体" w:cs="宋体"/>
                <w:color w:val="000000" w:themeColor="text1"/>
                <w:kern w:val="0"/>
                <w:sz w:val="24"/>
                <w:lang w:val="en-US" w:eastAsia="zh-CN"/>
              </w:rPr>
              <w:t>及</w:t>
            </w:r>
            <w:r>
              <w:rPr>
                <w:rFonts w:hint="eastAsia" w:ascii="宋体" w:hAnsi="宋体" w:cs="宋体"/>
                <w:color w:val="000000" w:themeColor="text1"/>
                <w:kern w:val="0"/>
                <w:sz w:val="24"/>
              </w:rPr>
              <w:t>以上得</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分，不承诺不得分。</w:t>
            </w:r>
          </w:p>
        </w:tc>
        <w:tc>
          <w:tcPr>
            <w:tcW w:w="603" w:type="dxa"/>
            <w:vMerge w:val="restart"/>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7</w:t>
            </w:r>
          </w:p>
        </w:tc>
        <w:tc>
          <w:tcPr>
            <w:tcW w:w="603" w:type="dxa"/>
            <w:vAlign w:val="center"/>
          </w:tcPr>
          <w:p>
            <w:pPr>
              <w:widowControl/>
              <w:spacing w:line="320" w:lineRule="exact"/>
              <w:jc w:val="center"/>
              <w:rPr>
                <w:rFonts w:hint="eastAsia" w:ascii="宋体" w:hAnsi="宋体" w:cs="宋体"/>
                <w:kern w:val="0"/>
                <w:sz w:val="24"/>
              </w:rPr>
            </w:pPr>
          </w:p>
        </w:tc>
        <w:tc>
          <w:tcPr>
            <w:tcW w:w="604" w:type="dxa"/>
            <w:vAlign w:val="center"/>
          </w:tcPr>
          <w:p>
            <w:pPr>
              <w:widowControl/>
              <w:spacing w:line="3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48" w:type="dxa"/>
            <w:vMerge w:val="continue"/>
            <w:vAlign w:val="center"/>
          </w:tcPr>
          <w:p>
            <w:pPr>
              <w:widowControl/>
              <w:spacing w:line="320" w:lineRule="exact"/>
              <w:jc w:val="center"/>
              <w:rPr>
                <w:rFonts w:ascii="宋体" w:hAnsi="宋体"/>
                <w:color w:val="FF0000"/>
                <w:kern w:val="0"/>
                <w:sz w:val="24"/>
              </w:rPr>
            </w:pPr>
          </w:p>
        </w:tc>
        <w:tc>
          <w:tcPr>
            <w:tcW w:w="735" w:type="dxa"/>
            <w:vMerge w:val="continue"/>
            <w:vAlign w:val="center"/>
          </w:tcPr>
          <w:p>
            <w:pPr>
              <w:widowControl/>
              <w:spacing w:line="320" w:lineRule="exact"/>
              <w:jc w:val="center"/>
              <w:rPr>
                <w:rFonts w:ascii="宋体" w:hAnsi="宋体"/>
                <w:kern w:val="0"/>
                <w:sz w:val="24"/>
              </w:rPr>
            </w:pPr>
          </w:p>
        </w:tc>
        <w:tc>
          <w:tcPr>
            <w:tcW w:w="852" w:type="dxa"/>
            <w:vMerge w:val="continue"/>
            <w:vAlign w:val="center"/>
          </w:tcPr>
          <w:p>
            <w:pPr>
              <w:widowControl/>
              <w:spacing w:line="320" w:lineRule="exact"/>
              <w:jc w:val="center"/>
              <w:rPr>
                <w:rFonts w:ascii="宋体" w:hAnsi="宋体"/>
                <w:kern w:val="0"/>
                <w:sz w:val="24"/>
              </w:rPr>
            </w:pPr>
          </w:p>
        </w:tc>
        <w:tc>
          <w:tcPr>
            <w:tcW w:w="5207"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标段二：职工医保项目。承诺承包期间配备到岗人员4人得3分，其中医学专业</w:t>
            </w:r>
            <w:r>
              <w:rPr>
                <w:rFonts w:ascii="宋体" w:hAnsi="宋体" w:cs="宋体"/>
                <w:color w:val="000000" w:themeColor="text1"/>
                <w:kern w:val="0"/>
                <w:sz w:val="24"/>
                <w:u w:val="single"/>
              </w:rPr>
              <w:t>1</w:t>
            </w:r>
            <w:r>
              <w:rPr>
                <w:rFonts w:hint="eastAsia" w:ascii="宋体" w:hAnsi="宋体" w:cs="宋体"/>
                <w:color w:val="000000" w:themeColor="text1"/>
                <w:kern w:val="0"/>
                <w:sz w:val="24"/>
              </w:rPr>
              <w:t>名</w:t>
            </w:r>
            <w:r>
              <w:rPr>
                <w:rFonts w:hint="eastAsia" w:ascii="宋体" w:hAnsi="宋体" w:cs="宋体"/>
                <w:color w:val="000000" w:themeColor="text1"/>
                <w:kern w:val="0"/>
                <w:sz w:val="24"/>
                <w:lang w:val="en-US" w:eastAsia="zh-CN"/>
              </w:rPr>
              <w:t>及</w:t>
            </w:r>
            <w:r>
              <w:rPr>
                <w:rFonts w:hint="eastAsia" w:ascii="宋体" w:hAnsi="宋体" w:cs="宋体"/>
                <w:color w:val="000000" w:themeColor="text1"/>
                <w:kern w:val="0"/>
                <w:sz w:val="24"/>
              </w:rPr>
              <w:t>以上得</w:t>
            </w:r>
            <w:r>
              <w:rPr>
                <w:rFonts w:ascii="宋体" w:hAnsi="宋体" w:cs="宋体"/>
                <w:color w:val="000000" w:themeColor="text1"/>
                <w:kern w:val="0"/>
                <w:sz w:val="24"/>
              </w:rPr>
              <w:t>4</w:t>
            </w:r>
            <w:r>
              <w:rPr>
                <w:rFonts w:hint="eastAsia" w:ascii="宋体" w:hAnsi="宋体" w:cs="宋体"/>
                <w:color w:val="000000" w:themeColor="text1"/>
                <w:kern w:val="0"/>
                <w:sz w:val="24"/>
              </w:rPr>
              <w:t>分，不承诺不得分。</w:t>
            </w:r>
          </w:p>
        </w:tc>
        <w:tc>
          <w:tcPr>
            <w:tcW w:w="603" w:type="dxa"/>
            <w:vMerge w:val="continue"/>
            <w:vAlign w:val="center"/>
          </w:tcPr>
          <w:p>
            <w:pPr>
              <w:widowControl/>
              <w:spacing w:line="320" w:lineRule="exact"/>
              <w:jc w:val="center"/>
              <w:rPr>
                <w:rFonts w:ascii="宋体" w:hAnsi="宋体"/>
                <w:color w:val="000000" w:themeColor="text1"/>
                <w:kern w:val="0"/>
                <w:sz w:val="24"/>
              </w:rPr>
            </w:pPr>
          </w:p>
        </w:tc>
        <w:tc>
          <w:tcPr>
            <w:tcW w:w="603" w:type="dxa"/>
            <w:vAlign w:val="center"/>
          </w:tcPr>
          <w:p>
            <w:pPr>
              <w:widowControl/>
              <w:spacing w:line="320" w:lineRule="exact"/>
              <w:jc w:val="center"/>
              <w:rPr>
                <w:rFonts w:ascii="宋体" w:hAnsi="宋体"/>
                <w:kern w:val="0"/>
                <w:sz w:val="24"/>
              </w:rPr>
            </w:pPr>
          </w:p>
        </w:tc>
        <w:tc>
          <w:tcPr>
            <w:tcW w:w="604" w:type="dxa"/>
            <w:vAlign w:val="center"/>
          </w:tcPr>
          <w:p>
            <w:pPr>
              <w:widowControl/>
              <w:spacing w:line="3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8" w:type="dxa"/>
            <w:vMerge w:val="continue"/>
            <w:vAlign w:val="center"/>
          </w:tcPr>
          <w:p>
            <w:pPr>
              <w:widowControl/>
              <w:spacing w:line="320" w:lineRule="exact"/>
              <w:jc w:val="center"/>
              <w:rPr>
                <w:rFonts w:ascii="宋体" w:hAnsi="宋体"/>
                <w:color w:val="FF0000"/>
                <w:kern w:val="0"/>
                <w:sz w:val="24"/>
              </w:rPr>
            </w:pPr>
          </w:p>
        </w:tc>
        <w:tc>
          <w:tcPr>
            <w:tcW w:w="735" w:type="dxa"/>
            <w:vMerge w:val="continue"/>
            <w:vAlign w:val="center"/>
          </w:tcPr>
          <w:p>
            <w:pPr>
              <w:widowControl/>
              <w:spacing w:line="320" w:lineRule="exact"/>
              <w:jc w:val="center"/>
              <w:rPr>
                <w:rFonts w:ascii="宋体" w:hAnsi="宋体"/>
                <w:kern w:val="0"/>
                <w:sz w:val="24"/>
              </w:rPr>
            </w:pPr>
          </w:p>
        </w:tc>
        <w:tc>
          <w:tcPr>
            <w:tcW w:w="852" w:type="dxa"/>
            <w:vMerge w:val="restart"/>
            <w:vAlign w:val="center"/>
          </w:tcPr>
          <w:p>
            <w:pPr>
              <w:widowControl/>
              <w:spacing w:line="320" w:lineRule="exact"/>
              <w:jc w:val="center"/>
              <w:rPr>
                <w:rFonts w:ascii="宋体" w:hAnsi="宋体"/>
                <w:kern w:val="0"/>
                <w:sz w:val="24"/>
              </w:rPr>
            </w:pPr>
            <w:r>
              <w:rPr>
                <w:rFonts w:hint="eastAsia" w:ascii="宋体" w:hAnsi="宋体"/>
                <w:kern w:val="0"/>
                <w:sz w:val="24"/>
              </w:rPr>
              <w:t>调查团队</w:t>
            </w:r>
          </w:p>
        </w:tc>
        <w:tc>
          <w:tcPr>
            <w:tcW w:w="5207"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标段一：城乡医保项目。承诺承包期间成立本项目独立调查团队</w:t>
            </w:r>
            <w:r>
              <w:rPr>
                <w:rFonts w:hint="eastAsia" w:ascii="宋体" w:hAnsi="宋体" w:cs="宋体"/>
                <w:color w:val="000000" w:themeColor="text1"/>
                <w:kern w:val="0"/>
                <w:sz w:val="24"/>
                <w:u w:val="single"/>
              </w:rPr>
              <w:t>18</w:t>
            </w:r>
            <w:r>
              <w:rPr>
                <w:rFonts w:hint="eastAsia" w:ascii="宋体" w:hAnsi="宋体" w:cs="宋体"/>
                <w:color w:val="000000" w:themeColor="text1"/>
                <w:kern w:val="0"/>
                <w:sz w:val="24"/>
              </w:rPr>
              <w:t>人得</w:t>
            </w:r>
            <w:r>
              <w:rPr>
                <w:rFonts w:hint="eastAsia" w:ascii="宋体" w:hAnsi="宋体" w:cs="宋体"/>
                <w:color w:val="000000" w:themeColor="text1"/>
                <w:kern w:val="0"/>
                <w:sz w:val="24"/>
                <w:lang w:val="en-US" w:eastAsia="zh-CN"/>
              </w:rPr>
              <w:t>3</w:t>
            </w:r>
            <w:r>
              <w:rPr>
                <w:rFonts w:hint="eastAsia" w:ascii="宋体" w:hAnsi="宋体" w:cs="宋体"/>
                <w:color w:val="000000" w:themeColor="text1"/>
                <w:kern w:val="0"/>
                <w:sz w:val="24"/>
              </w:rPr>
              <w:t>分，其中医学专业</w:t>
            </w:r>
            <w:r>
              <w:rPr>
                <w:rFonts w:hint="eastAsia" w:ascii="宋体" w:hAnsi="宋体" w:cs="宋体"/>
                <w:color w:val="000000" w:themeColor="text1"/>
                <w:kern w:val="0"/>
                <w:sz w:val="24"/>
                <w:u w:val="single"/>
              </w:rPr>
              <w:t>3</w:t>
            </w:r>
            <w:r>
              <w:rPr>
                <w:rFonts w:hint="eastAsia" w:ascii="宋体" w:hAnsi="宋体" w:cs="宋体"/>
                <w:color w:val="000000" w:themeColor="text1"/>
                <w:kern w:val="0"/>
                <w:sz w:val="24"/>
              </w:rPr>
              <w:t>名</w:t>
            </w:r>
            <w:r>
              <w:rPr>
                <w:rFonts w:hint="eastAsia" w:ascii="宋体" w:hAnsi="宋体" w:cs="宋体"/>
                <w:color w:val="000000" w:themeColor="text1"/>
                <w:kern w:val="0"/>
                <w:sz w:val="24"/>
                <w:lang w:val="en-US" w:eastAsia="zh-CN"/>
              </w:rPr>
              <w:t>及</w:t>
            </w:r>
            <w:r>
              <w:rPr>
                <w:rFonts w:hint="eastAsia" w:ascii="宋体" w:hAnsi="宋体" w:cs="宋体"/>
                <w:color w:val="000000" w:themeColor="text1"/>
                <w:kern w:val="0"/>
                <w:sz w:val="24"/>
              </w:rPr>
              <w:t>以上得</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分，不承诺不得分。</w:t>
            </w:r>
          </w:p>
        </w:tc>
        <w:tc>
          <w:tcPr>
            <w:tcW w:w="603" w:type="dxa"/>
            <w:vMerge w:val="restart"/>
            <w:vAlign w:val="center"/>
          </w:tcPr>
          <w:p>
            <w:pPr>
              <w:widowControl/>
              <w:spacing w:line="320" w:lineRule="exact"/>
              <w:ind w:left="-105" w:leftChars="-50" w:right="-115" w:rightChars="-55"/>
              <w:jc w:val="center"/>
              <w:rPr>
                <w:rFonts w:ascii="宋体" w:hAnsi="宋体"/>
                <w:color w:val="000000" w:themeColor="text1"/>
                <w:kern w:val="0"/>
                <w:sz w:val="24"/>
              </w:rPr>
            </w:pPr>
            <w:r>
              <w:rPr>
                <w:rFonts w:hint="eastAsia" w:ascii="宋体" w:hAnsi="宋体"/>
                <w:color w:val="000000" w:themeColor="text1"/>
                <w:kern w:val="0"/>
                <w:sz w:val="24"/>
              </w:rPr>
              <w:t>7</w:t>
            </w:r>
          </w:p>
        </w:tc>
        <w:tc>
          <w:tcPr>
            <w:tcW w:w="603" w:type="dxa"/>
            <w:vAlign w:val="center"/>
          </w:tcPr>
          <w:p>
            <w:pPr>
              <w:widowControl/>
              <w:spacing w:line="320" w:lineRule="exact"/>
              <w:ind w:left="-105" w:leftChars="-50" w:right="-115" w:rightChars="-55"/>
              <w:jc w:val="center"/>
              <w:rPr>
                <w:rFonts w:hint="eastAsia" w:ascii="宋体" w:hAnsi="宋体"/>
                <w:kern w:val="0"/>
                <w:sz w:val="24"/>
              </w:rPr>
            </w:pPr>
          </w:p>
        </w:tc>
        <w:tc>
          <w:tcPr>
            <w:tcW w:w="604" w:type="dxa"/>
            <w:vAlign w:val="center"/>
          </w:tcPr>
          <w:p>
            <w:pPr>
              <w:widowControl/>
              <w:spacing w:line="320" w:lineRule="exact"/>
              <w:ind w:left="-105" w:leftChars="-50" w:right="-115" w:rightChars="-55"/>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8" w:type="dxa"/>
            <w:vMerge w:val="continue"/>
            <w:vAlign w:val="center"/>
          </w:tcPr>
          <w:p>
            <w:pPr>
              <w:widowControl/>
              <w:spacing w:line="320" w:lineRule="exact"/>
              <w:jc w:val="center"/>
              <w:rPr>
                <w:rFonts w:ascii="宋体" w:hAnsi="宋体"/>
                <w:color w:val="FF0000"/>
              </w:rPr>
            </w:pPr>
          </w:p>
        </w:tc>
        <w:tc>
          <w:tcPr>
            <w:tcW w:w="735" w:type="dxa"/>
            <w:vMerge w:val="continue"/>
            <w:vAlign w:val="center"/>
          </w:tcPr>
          <w:p>
            <w:pPr>
              <w:widowControl/>
              <w:spacing w:line="320" w:lineRule="exact"/>
              <w:jc w:val="center"/>
              <w:rPr>
                <w:rFonts w:ascii="宋体" w:hAnsi="宋体"/>
              </w:rPr>
            </w:pPr>
          </w:p>
        </w:tc>
        <w:tc>
          <w:tcPr>
            <w:tcW w:w="852" w:type="dxa"/>
            <w:vMerge w:val="continue"/>
            <w:vAlign w:val="center"/>
          </w:tcPr>
          <w:p>
            <w:pPr>
              <w:widowControl/>
              <w:spacing w:line="320" w:lineRule="exact"/>
              <w:jc w:val="center"/>
              <w:rPr>
                <w:rFonts w:ascii="宋体" w:hAnsi="宋体"/>
              </w:rPr>
            </w:pPr>
          </w:p>
        </w:tc>
        <w:tc>
          <w:tcPr>
            <w:tcW w:w="5207"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标段二：职工医保项目。承诺承包期间成立本项目独立调查团队</w:t>
            </w:r>
            <w:r>
              <w:rPr>
                <w:rFonts w:hint="eastAsia" w:ascii="宋体" w:hAnsi="宋体" w:cs="宋体"/>
                <w:color w:val="000000" w:themeColor="text1"/>
                <w:kern w:val="0"/>
                <w:sz w:val="24"/>
                <w:u w:val="single"/>
              </w:rPr>
              <w:t>4</w:t>
            </w:r>
            <w:r>
              <w:rPr>
                <w:rFonts w:hint="eastAsia" w:ascii="宋体" w:hAnsi="宋体" w:cs="宋体"/>
                <w:color w:val="000000" w:themeColor="text1"/>
                <w:kern w:val="0"/>
                <w:sz w:val="24"/>
              </w:rPr>
              <w:t>人得3分，其中医学专业</w:t>
            </w:r>
            <w:r>
              <w:rPr>
                <w:rFonts w:ascii="宋体" w:hAnsi="宋体" w:cs="宋体"/>
                <w:color w:val="000000" w:themeColor="text1"/>
                <w:kern w:val="0"/>
                <w:sz w:val="24"/>
                <w:u w:val="single"/>
              </w:rPr>
              <w:t>1</w:t>
            </w:r>
            <w:r>
              <w:rPr>
                <w:rFonts w:hint="eastAsia" w:ascii="宋体" w:hAnsi="宋体" w:cs="宋体"/>
                <w:color w:val="000000" w:themeColor="text1"/>
                <w:kern w:val="0"/>
                <w:sz w:val="24"/>
              </w:rPr>
              <w:t>名</w:t>
            </w:r>
            <w:r>
              <w:rPr>
                <w:rFonts w:hint="eastAsia" w:ascii="宋体" w:hAnsi="宋体" w:cs="宋体"/>
                <w:color w:val="000000" w:themeColor="text1"/>
                <w:kern w:val="0"/>
                <w:sz w:val="24"/>
                <w:lang w:val="en-US" w:eastAsia="zh-CN"/>
              </w:rPr>
              <w:t>及</w:t>
            </w:r>
            <w:r>
              <w:rPr>
                <w:rFonts w:hint="eastAsia" w:ascii="宋体" w:hAnsi="宋体" w:cs="宋体"/>
                <w:color w:val="000000" w:themeColor="text1"/>
                <w:kern w:val="0"/>
                <w:sz w:val="24"/>
              </w:rPr>
              <w:t>以上得</w:t>
            </w:r>
            <w:r>
              <w:rPr>
                <w:rFonts w:ascii="宋体" w:hAnsi="宋体" w:cs="宋体"/>
                <w:color w:val="000000" w:themeColor="text1"/>
                <w:kern w:val="0"/>
                <w:sz w:val="24"/>
              </w:rPr>
              <w:t>4</w:t>
            </w:r>
            <w:r>
              <w:rPr>
                <w:rFonts w:hint="eastAsia" w:ascii="宋体" w:hAnsi="宋体" w:cs="宋体"/>
                <w:color w:val="000000" w:themeColor="text1"/>
                <w:kern w:val="0"/>
                <w:sz w:val="24"/>
              </w:rPr>
              <w:t>分，不承诺不得分。</w:t>
            </w:r>
          </w:p>
        </w:tc>
        <w:tc>
          <w:tcPr>
            <w:tcW w:w="603" w:type="dxa"/>
            <w:vMerge w:val="continue"/>
            <w:vAlign w:val="center"/>
          </w:tcPr>
          <w:p>
            <w:pPr>
              <w:widowControl/>
              <w:spacing w:line="320" w:lineRule="exact"/>
              <w:jc w:val="center"/>
              <w:rPr>
                <w:rFonts w:ascii="宋体" w:hAnsi="宋体"/>
              </w:rPr>
            </w:pPr>
          </w:p>
        </w:tc>
        <w:tc>
          <w:tcPr>
            <w:tcW w:w="603" w:type="dxa"/>
            <w:vAlign w:val="center"/>
          </w:tcPr>
          <w:p>
            <w:pPr>
              <w:widowControl/>
              <w:spacing w:line="320" w:lineRule="exact"/>
              <w:jc w:val="center"/>
              <w:rPr>
                <w:rFonts w:ascii="宋体" w:hAnsi="宋体"/>
              </w:rPr>
            </w:pPr>
          </w:p>
        </w:tc>
        <w:tc>
          <w:tcPr>
            <w:tcW w:w="604" w:type="dxa"/>
            <w:vAlign w:val="center"/>
          </w:tcPr>
          <w:p>
            <w:pPr>
              <w:widowControl/>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48" w:type="dxa"/>
            <w:vMerge w:val="continue"/>
            <w:vAlign w:val="center"/>
          </w:tcPr>
          <w:p>
            <w:pPr>
              <w:widowControl/>
              <w:spacing w:line="320" w:lineRule="exact"/>
              <w:jc w:val="center"/>
              <w:rPr>
                <w:rFonts w:ascii="宋体" w:hAnsi="宋体"/>
                <w:color w:val="FF0000"/>
                <w:kern w:val="0"/>
                <w:sz w:val="24"/>
              </w:rPr>
            </w:pPr>
          </w:p>
        </w:tc>
        <w:tc>
          <w:tcPr>
            <w:tcW w:w="735" w:type="dxa"/>
            <w:vMerge w:val="continue"/>
            <w:vAlign w:val="center"/>
          </w:tcPr>
          <w:p>
            <w:pPr>
              <w:widowControl/>
              <w:spacing w:line="320" w:lineRule="exact"/>
              <w:jc w:val="center"/>
              <w:rPr>
                <w:rFonts w:ascii="宋体" w:hAnsi="宋体"/>
                <w:kern w:val="0"/>
                <w:sz w:val="24"/>
              </w:rPr>
            </w:pPr>
          </w:p>
        </w:tc>
        <w:tc>
          <w:tcPr>
            <w:tcW w:w="852" w:type="dxa"/>
            <w:vAlign w:val="center"/>
          </w:tcPr>
          <w:p>
            <w:pPr>
              <w:widowControl/>
              <w:spacing w:line="320" w:lineRule="exact"/>
              <w:jc w:val="center"/>
              <w:rPr>
                <w:rFonts w:ascii="宋体" w:hAnsi="宋体"/>
                <w:kern w:val="0"/>
                <w:sz w:val="24"/>
              </w:rPr>
            </w:pPr>
            <w:r>
              <w:rPr>
                <w:rFonts w:hint="eastAsia" w:ascii="宋体" w:hAnsi="宋体" w:cs="宋体"/>
                <w:kern w:val="0"/>
                <w:sz w:val="24"/>
              </w:rPr>
              <w:t>专业机构设立承诺</w:t>
            </w:r>
          </w:p>
        </w:tc>
        <w:tc>
          <w:tcPr>
            <w:tcW w:w="5207" w:type="dxa"/>
            <w:vAlign w:val="center"/>
          </w:tcPr>
          <w:p>
            <w:pPr>
              <w:widowControl/>
              <w:spacing w:line="320" w:lineRule="exact"/>
              <w:jc w:val="left"/>
              <w:rPr>
                <w:rFonts w:ascii="宋体" w:hAnsi="宋体"/>
                <w:kern w:val="0"/>
                <w:sz w:val="24"/>
              </w:rPr>
            </w:pPr>
            <w:r>
              <w:rPr>
                <w:rFonts w:hint="eastAsia" w:ascii="宋体" w:hAnsi="宋体" w:cs="宋体"/>
                <w:kern w:val="0"/>
                <w:sz w:val="24"/>
              </w:rPr>
              <w:t>承诺能针对本项目成立专业的组织机构和服务部门得</w:t>
            </w:r>
            <w:r>
              <w:rPr>
                <w:rFonts w:ascii="宋体" w:hAnsi="宋体" w:cs="宋体"/>
                <w:kern w:val="0"/>
                <w:sz w:val="24"/>
              </w:rPr>
              <w:t>3</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不成立专业的组织机构和服务部门不得分。</w:t>
            </w:r>
          </w:p>
          <w:p>
            <w:pPr>
              <w:widowControl/>
              <w:spacing w:line="320" w:lineRule="exact"/>
              <w:ind w:left="240" w:hanging="240" w:hangingChars="100"/>
              <w:jc w:val="left"/>
              <w:rPr>
                <w:rFonts w:ascii="宋体" w:hAnsi="宋体"/>
                <w:kern w:val="0"/>
                <w:sz w:val="24"/>
              </w:rPr>
            </w:pPr>
            <w:r>
              <w:rPr>
                <w:rFonts w:hint="eastAsia" w:ascii="宋体" w:hAnsi="宋体" w:cs="宋体"/>
                <w:kern w:val="0"/>
                <w:sz w:val="24"/>
              </w:rPr>
              <w:t>在温岭市设立(或者承诺在中标后一个月内设立）营销服务部及以上级别保险公司的分支机构得3分。没有设立及不承诺设立者不得分。</w:t>
            </w:r>
          </w:p>
        </w:tc>
        <w:tc>
          <w:tcPr>
            <w:tcW w:w="603"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cs="宋体"/>
                <w:kern w:val="0"/>
                <w:sz w:val="24"/>
              </w:rPr>
              <w:t>6</w:t>
            </w:r>
          </w:p>
        </w:tc>
        <w:tc>
          <w:tcPr>
            <w:tcW w:w="603" w:type="dxa"/>
            <w:vAlign w:val="center"/>
          </w:tcPr>
          <w:p>
            <w:pPr>
              <w:widowControl/>
              <w:spacing w:line="320" w:lineRule="exact"/>
              <w:ind w:left="-105" w:leftChars="-50" w:right="-115" w:rightChars="-55"/>
              <w:jc w:val="center"/>
              <w:rPr>
                <w:rFonts w:hint="eastAsia" w:ascii="宋体" w:hAnsi="宋体" w:cs="宋体"/>
                <w:kern w:val="0"/>
                <w:sz w:val="24"/>
              </w:rPr>
            </w:pPr>
          </w:p>
        </w:tc>
        <w:tc>
          <w:tcPr>
            <w:tcW w:w="604" w:type="dxa"/>
            <w:vAlign w:val="center"/>
          </w:tcPr>
          <w:p>
            <w:pPr>
              <w:widowControl/>
              <w:spacing w:line="320" w:lineRule="exact"/>
              <w:ind w:left="-105" w:leftChars="-50" w:right="-115" w:rightChars="-55"/>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48" w:type="dxa"/>
            <w:vMerge w:val="continue"/>
            <w:vAlign w:val="center"/>
          </w:tcPr>
          <w:p>
            <w:pPr>
              <w:widowControl/>
              <w:spacing w:line="320" w:lineRule="exact"/>
              <w:jc w:val="center"/>
              <w:rPr>
                <w:rFonts w:ascii="宋体" w:hAnsi="宋体"/>
                <w:color w:val="FF0000"/>
                <w:kern w:val="0"/>
                <w:sz w:val="24"/>
              </w:rPr>
            </w:pPr>
          </w:p>
        </w:tc>
        <w:tc>
          <w:tcPr>
            <w:tcW w:w="735" w:type="dxa"/>
            <w:vMerge w:val="continue"/>
            <w:vAlign w:val="center"/>
          </w:tcPr>
          <w:p>
            <w:pPr>
              <w:widowControl/>
              <w:spacing w:line="320" w:lineRule="exact"/>
              <w:jc w:val="center"/>
              <w:rPr>
                <w:rFonts w:ascii="宋体" w:hAnsi="宋体"/>
                <w:kern w:val="0"/>
                <w:sz w:val="24"/>
              </w:rPr>
            </w:pPr>
          </w:p>
        </w:tc>
        <w:tc>
          <w:tcPr>
            <w:tcW w:w="852" w:type="dxa"/>
            <w:vAlign w:val="center"/>
          </w:tcPr>
          <w:p>
            <w:pPr>
              <w:widowControl/>
              <w:spacing w:line="320" w:lineRule="exact"/>
              <w:jc w:val="center"/>
              <w:rPr>
                <w:rFonts w:ascii="宋体" w:hAnsi="宋体"/>
                <w:color w:val="000000" w:themeColor="text1"/>
                <w:kern w:val="0"/>
                <w:sz w:val="24"/>
              </w:rPr>
            </w:pPr>
            <w:r>
              <w:rPr>
                <w:rFonts w:hint="eastAsia" w:ascii="宋体" w:hAnsi="宋体" w:cs="宋体"/>
                <w:color w:val="000000" w:themeColor="text1"/>
                <w:kern w:val="0"/>
                <w:sz w:val="24"/>
              </w:rPr>
              <w:t>医疗费用划拨承诺</w:t>
            </w:r>
          </w:p>
        </w:tc>
        <w:tc>
          <w:tcPr>
            <w:tcW w:w="5207" w:type="dxa"/>
            <w:vAlign w:val="center"/>
          </w:tcPr>
          <w:p>
            <w:pPr>
              <w:widowControl/>
              <w:spacing w:line="320" w:lineRule="exact"/>
              <w:jc w:val="left"/>
              <w:rPr>
                <w:rFonts w:ascii="宋体" w:hAnsi="宋体"/>
                <w:color w:val="000000" w:themeColor="text1"/>
                <w:kern w:val="0"/>
                <w:sz w:val="24"/>
              </w:rPr>
            </w:pPr>
            <w:r>
              <w:rPr>
                <w:rFonts w:hint="eastAsia" w:ascii="宋体" w:hAnsi="宋体" w:cs="宋体"/>
                <w:color w:val="000000" w:themeColor="text1"/>
                <w:kern w:val="0"/>
                <w:sz w:val="24"/>
              </w:rPr>
              <w:t>承诺规定时间内划拨医疗费用报销款，确保与要经办机构结账及时得4分，没有不得分。</w:t>
            </w:r>
          </w:p>
        </w:tc>
        <w:tc>
          <w:tcPr>
            <w:tcW w:w="603" w:type="dxa"/>
            <w:vAlign w:val="center"/>
          </w:tcPr>
          <w:p>
            <w:pPr>
              <w:widowControl/>
              <w:spacing w:line="320" w:lineRule="exact"/>
              <w:ind w:left="-105" w:leftChars="-50" w:right="-115" w:rightChars="-55"/>
              <w:jc w:val="center"/>
              <w:rPr>
                <w:rFonts w:ascii="宋体" w:hAnsi="宋体"/>
                <w:color w:val="000000" w:themeColor="text1"/>
                <w:kern w:val="0"/>
                <w:sz w:val="24"/>
              </w:rPr>
            </w:pPr>
            <w:r>
              <w:rPr>
                <w:rFonts w:hint="eastAsia" w:ascii="宋体" w:hAnsi="宋体" w:cs="宋体"/>
                <w:color w:val="000000" w:themeColor="text1"/>
                <w:kern w:val="0"/>
                <w:sz w:val="24"/>
              </w:rPr>
              <w:t>4</w:t>
            </w:r>
          </w:p>
        </w:tc>
        <w:tc>
          <w:tcPr>
            <w:tcW w:w="603" w:type="dxa"/>
            <w:vAlign w:val="center"/>
          </w:tcPr>
          <w:p>
            <w:pPr>
              <w:widowControl/>
              <w:spacing w:line="320" w:lineRule="exact"/>
              <w:ind w:left="-105" w:leftChars="-50" w:right="-115" w:rightChars="-55"/>
              <w:jc w:val="center"/>
              <w:rPr>
                <w:rFonts w:hint="eastAsia" w:ascii="宋体" w:hAnsi="宋体" w:cs="宋体"/>
                <w:color w:val="000000" w:themeColor="text1"/>
                <w:kern w:val="0"/>
                <w:sz w:val="24"/>
              </w:rPr>
            </w:pPr>
          </w:p>
        </w:tc>
        <w:tc>
          <w:tcPr>
            <w:tcW w:w="604" w:type="dxa"/>
            <w:vAlign w:val="center"/>
          </w:tcPr>
          <w:p>
            <w:pPr>
              <w:widowControl/>
              <w:spacing w:line="320" w:lineRule="exact"/>
              <w:ind w:left="-105" w:leftChars="-50" w:right="-115" w:rightChars="-55"/>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48" w:type="dxa"/>
            <w:vMerge w:val="continue"/>
            <w:vAlign w:val="center"/>
          </w:tcPr>
          <w:p>
            <w:pPr>
              <w:widowControl/>
              <w:spacing w:line="320" w:lineRule="exact"/>
              <w:jc w:val="center"/>
              <w:rPr>
                <w:rFonts w:ascii="宋体" w:hAnsi="宋体"/>
                <w:color w:val="FF0000"/>
                <w:kern w:val="0"/>
                <w:sz w:val="24"/>
              </w:rPr>
            </w:pPr>
          </w:p>
        </w:tc>
        <w:tc>
          <w:tcPr>
            <w:tcW w:w="735" w:type="dxa"/>
            <w:vMerge w:val="continue"/>
            <w:vAlign w:val="center"/>
          </w:tcPr>
          <w:p>
            <w:pPr>
              <w:widowControl/>
              <w:spacing w:line="320" w:lineRule="exact"/>
              <w:jc w:val="center"/>
              <w:rPr>
                <w:rFonts w:ascii="宋体" w:hAnsi="宋体"/>
                <w:kern w:val="0"/>
                <w:sz w:val="24"/>
              </w:rPr>
            </w:pPr>
          </w:p>
        </w:tc>
        <w:tc>
          <w:tcPr>
            <w:tcW w:w="852" w:type="dxa"/>
            <w:vAlign w:val="center"/>
          </w:tcPr>
          <w:p>
            <w:pPr>
              <w:widowControl/>
              <w:spacing w:line="320" w:lineRule="exact"/>
              <w:jc w:val="center"/>
              <w:rPr>
                <w:rFonts w:ascii="宋体" w:hAnsi="宋体"/>
                <w:kern w:val="0"/>
                <w:sz w:val="24"/>
              </w:rPr>
            </w:pPr>
            <w:r>
              <w:rPr>
                <w:rFonts w:hint="eastAsia" w:ascii="宋体" w:hAnsi="宋体" w:cs="宋体"/>
                <w:kern w:val="0"/>
                <w:sz w:val="24"/>
              </w:rPr>
              <w:t>核查承诺</w:t>
            </w:r>
          </w:p>
        </w:tc>
        <w:tc>
          <w:tcPr>
            <w:tcW w:w="5207" w:type="dxa"/>
            <w:vAlign w:val="center"/>
          </w:tcPr>
          <w:p>
            <w:pPr>
              <w:widowControl/>
              <w:spacing w:line="320" w:lineRule="exact"/>
              <w:ind w:left="240" w:hanging="240" w:hangingChars="100"/>
              <w:jc w:val="left"/>
              <w:rPr>
                <w:rFonts w:hint="default" w:eastAsia="宋体"/>
                <w:lang w:val="en-US" w:eastAsia="zh-CN"/>
              </w:rPr>
            </w:pPr>
            <w:r>
              <w:rPr>
                <w:rFonts w:hint="eastAsia" w:ascii="宋体" w:hAnsi="宋体" w:cs="宋体"/>
                <w:kern w:val="0"/>
                <w:sz w:val="24"/>
              </w:rPr>
              <w:t>承诺核查做到应查尽查，并能提供核查方案</w:t>
            </w:r>
            <w:r>
              <w:rPr>
                <w:rFonts w:hint="eastAsia" w:ascii="宋体" w:hAnsi="宋体" w:cs="宋体"/>
                <w:kern w:val="0"/>
                <w:sz w:val="24"/>
                <w:lang w:eastAsia="zh-CN"/>
              </w:rPr>
              <w:t>，不承诺或不提供核查方案的不得分。</w:t>
            </w:r>
          </w:p>
        </w:tc>
        <w:tc>
          <w:tcPr>
            <w:tcW w:w="603"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cs="宋体"/>
                <w:kern w:val="0"/>
                <w:sz w:val="24"/>
              </w:rPr>
              <w:t>6</w:t>
            </w:r>
          </w:p>
        </w:tc>
        <w:tc>
          <w:tcPr>
            <w:tcW w:w="603" w:type="dxa"/>
            <w:vAlign w:val="center"/>
          </w:tcPr>
          <w:p>
            <w:pPr>
              <w:widowControl/>
              <w:spacing w:line="320" w:lineRule="exact"/>
              <w:ind w:left="-105" w:leftChars="-50" w:right="-115" w:rightChars="-55"/>
              <w:jc w:val="center"/>
              <w:rPr>
                <w:rFonts w:hint="eastAsia" w:ascii="宋体" w:hAnsi="宋体" w:cs="宋体"/>
                <w:kern w:val="0"/>
                <w:sz w:val="24"/>
              </w:rPr>
            </w:pPr>
          </w:p>
        </w:tc>
        <w:tc>
          <w:tcPr>
            <w:tcW w:w="604" w:type="dxa"/>
            <w:vAlign w:val="center"/>
          </w:tcPr>
          <w:p>
            <w:pPr>
              <w:widowControl/>
              <w:spacing w:line="320" w:lineRule="exact"/>
              <w:ind w:left="-105" w:leftChars="-50" w:right="-115" w:rightChars="-55"/>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48" w:type="dxa"/>
            <w:vMerge w:val="continue"/>
            <w:vAlign w:val="center"/>
          </w:tcPr>
          <w:p>
            <w:pPr>
              <w:widowControl/>
              <w:spacing w:line="320" w:lineRule="exact"/>
              <w:jc w:val="center"/>
              <w:rPr>
                <w:rFonts w:ascii="宋体" w:hAnsi="宋体"/>
                <w:color w:val="FF0000"/>
                <w:kern w:val="0"/>
                <w:sz w:val="24"/>
              </w:rPr>
            </w:pPr>
          </w:p>
        </w:tc>
        <w:tc>
          <w:tcPr>
            <w:tcW w:w="735" w:type="dxa"/>
            <w:vMerge w:val="continue"/>
            <w:vAlign w:val="center"/>
          </w:tcPr>
          <w:p>
            <w:pPr>
              <w:widowControl/>
              <w:spacing w:line="320" w:lineRule="exact"/>
              <w:jc w:val="center"/>
              <w:rPr>
                <w:rFonts w:ascii="宋体" w:hAnsi="宋体"/>
                <w:kern w:val="0"/>
                <w:sz w:val="24"/>
              </w:rPr>
            </w:pPr>
          </w:p>
        </w:tc>
        <w:tc>
          <w:tcPr>
            <w:tcW w:w="852" w:type="dxa"/>
            <w:vAlign w:val="center"/>
          </w:tcPr>
          <w:p>
            <w:pPr>
              <w:widowControl/>
              <w:spacing w:line="320" w:lineRule="exact"/>
              <w:jc w:val="center"/>
              <w:rPr>
                <w:rFonts w:ascii="宋体" w:hAnsi="宋体"/>
                <w:kern w:val="0"/>
                <w:sz w:val="24"/>
              </w:rPr>
            </w:pPr>
            <w:r>
              <w:rPr>
                <w:rFonts w:hint="eastAsia" w:ascii="宋体" w:hAnsi="宋体" w:cs="宋体"/>
                <w:kern w:val="0"/>
                <w:sz w:val="24"/>
              </w:rPr>
              <w:t>上级风险承诺</w:t>
            </w:r>
          </w:p>
        </w:tc>
        <w:tc>
          <w:tcPr>
            <w:tcW w:w="5207" w:type="dxa"/>
            <w:vAlign w:val="center"/>
          </w:tcPr>
          <w:p>
            <w:pPr>
              <w:widowControl/>
              <w:spacing w:line="320" w:lineRule="exact"/>
              <w:jc w:val="left"/>
              <w:rPr>
                <w:rFonts w:ascii="宋体" w:hAnsi="宋体"/>
                <w:kern w:val="0"/>
                <w:sz w:val="24"/>
              </w:rPr>
            </w:pPr>
            <w:r>
              <w:rPr>
                <w:rFonts w:hint="eastAsia" w:ascii="宋体" w:hAnsi="宋体" w:cs="宋体"/>
                <w:kern w:val="0"/>
                <w:sz w:val="24"/>
              </w:rPr>
              <w:t>上级公司承担风险承诺，包括承诺当参加竞标的保险公司无能力支付赔偿金额时由上级公司承担赔偿责任得4分，没有不得分。</w:t>
            </w:r>
          </w:p>
        </w:tc>
        <w:tc>
          <w:tcPr>
            <w:tcW w:w="603" w:type="dxa"/>
            <w:vAlign w:val="center"/>
          </w:tcPr>
          <w:p>
            <w:pPr>
              <w:widowControl/>
              <w:spacing w:line="320" w:lineRule="exact"/>
              <w:ind w:left="-105" w:leftChars="-50" w:right="-115" w:rightChars="-55"/>
              <w:jc w:val="center"/>
              <w:rPr>
                <w:rFonts w:ascii="宋体" w:hAnsi="宋体"/>
                <w:kern w:val="0"/>
                <w:sz w:val="24"/>
              </w:rPr>
            </w:pPr>
            <w:r>
              <w:rPr>
                <w:rFonts w:hint="eastAsia" w:ascii="宋体" w:hAnsi="宋体" w:cs="宋体"/>
                <w:kern w:val="0"/>
                <w:sz w:val="24"/>
              </w:rPr>
              <w:t>4</w:t>
            </w:r>
          </w:p>
        </w:tc>
        <w:tc>
          <w:tcPr>
            <w:tcW w:w="603" w:type="dxa"/>
            <w:vAlign w:val="center"/>
          </w:tcPr>
          <w:p>
            <w:pPr>
              <w:widowControl/>
              <w:spacing w:line="320" w:lineRule="exact"/>
              <w:ind w:left="-105" w:leftChars="-50" w:right="-115" w:rightChars="-55"/>
              <w:jc w:val="center"/>
              <w:rPr>
                <w:rFonts w:hint="eastAsia" w:ascii="宋体" w:hAnsi="宋体" w:cs="宋体"/>
                <w:kern w:val="0"/>
                <w:sz w:val="24"/>
              </w:rPr>
            </w:pPr>
          </w:p>
        </w:tc>
        <w:tc>
          <w:tcPr>
            <w:tcW w:w="604" w:type="dxa"/>
            <w:vAlign w:val="center"/>
          </w:tcPr>
          <w:p>
            <w:pPr>
              <w:widowControl/>
              <w:spacing w:line="320" w:lineRule="exact"/>
              <w:ind w:left="-105" w:leftChars="-50" w:right="-115" w:rightChars="-55"/>
              <w:jc w:val="center"/>
              <w:rPr>
                <w:rFonts w:hint="eastAsia" w:ascii="宋体" w:hAnsi="宋体" w:cs="宋体"/>
                <w:kern w:val="0"/>
                <w:sz w:val="24"/>
              </w:rPr>
            </w:pPr>
          </w:p>
        </w:tc>
      </w:tr>
    </w:tbl>
    <w:p>
      <w:pPr>
        <w:pStyle w:val="2"/>
      </w:pPr>
    </w:p>
    <w:p>
      <w:pPr>
        <w:rPr>
          <w:rFonts w:hAnsi="宋体" w:cs="宋体"/>
          <w:sz w:val="24"/>
        </w:rPr>
      </w:pPr>
      <w:r>
        <w:rPr>
          <w:rFonts w:hint="eastAsia" w:hAnsi="宋体"/>
          <w:sz w:val="24"/>
        </w:rPr>
        <w:t>注：本表可在不更改格式的情况下由投标人自行增减。</w:t>
      </w:r>
    </w:p>
    <w:p>
      <w:pPr>
        <w:tabs>
          <w:tab w:val="left" w:pos="5792"/>
        </w:tabs>
        <w:spacing w:line="460" w:lineRule="exact"/>
        <w:jc w:val="left"/>
        <w:rPr>
          <w:rFonts w:hAnsi="宋体" w:cs="宋体"/>
          <w:sz w:val="24"/>
        </w:rPr>
      </w:pPr>
    </w:p>
    <w:p>
      <w:pPr>
        <w:tabs>
          <w:tab w:val="left" w:pos="5792"/>
        </w:tabs>
        <w:spacing w:line="460" w:lineRule="exact"/>
        <w:jc w:val="left"/>
        <w:rPr>
          <w:rFonts w:hAnsi="宋体" w:cs="宋体"/>
          <w:sz w:val="24"/>
        </w:rPr>
      </w:pPr>
      <w:r>
        <w:rPr>
          <w:rFonts w:hint="eastAsia" w:hAnsi="宋体" w:cs="宋体"/>
          <w:sz w:val="24"/>
        </w:rPr>
        <w:t>投标人名称（单位公章）：</w:t>
      </w:r>
    </w:p>
    <w:p>
      <w:pPr>
        <w:tabs>
          <w:tab w:val="left" w:pos="4525"/>
        </w:tabs>
        <w:spacing w:line="460" w:lineRule="exact"/>
        <w:jc w:val="left"/>
        <w:rPr>
          <w:rFonts w:hAnsi="宋体" w:cs="宋体"/>
          <w:sz w:val="24"/>
        </w:rPr>
      </w:pPr>
      <w:r>
        <w:rPr>
          <w:rFonts w:hint="eastAsia" w:hAnsi="宋体" w:cs="宋体"/>
          <w:sz w:val="24"/>
        </w:rPr>
        <w:t>法定代表人或委托代理人（盖章或签字）：</w:t>
      </w:r>
    </w:p>
    <w:p>
      <w:pPr>
        <w:ind w:firstLine="5400" w:firstLineChars="2250"/>
        <w:jc w:val="left"/>
        <w:rPr>
          <w:rFonts w:hAnsi="宋体" w:cs="宋体"/>
          <w:sz w:val="24"/>
        </w:rPr>
      </w:pPr>
    </w:p>
    <w:p>
      <w:pPr>
        <w:widowControl/>
        <w:jc w:val="left"/>
        <w:rPr>
          <w:b/>
          <w:bCs/>
          <w:color w:val="000000" w:themeColor="text1"/>
          <w:sz w:val="28"/>
          <w:szCs w:val="28"/>
        </w:rPr>
      </w:pPr>
      <w:r>
        <w:rPr>
          <w:rFonts w:hint="eastAsia" w:hAnsi="宋体" w:cs="宋体"/>
          <w:sz w:val="24"/>
        </w:rPr>
        <w:t>日  期：</w:t>
      </w:r>
    </w:p>
    <w:p>
      <w:pPr>
        <w:pStyle w:val="33"/>
        <w:shd w:val="clear" w:color="auto" w:fill="FFFFFF"/>
        <w:spacing w:before="0" w:beforeAutospacing="0" w:after="0" w:afterAutospacing="0" w:line="360" w:lineRule="auto"/>
        <w:rPr>
          <w:b/>
          <w:bCs/>
          <w:color w:val="000000" w:themeColor="text1"/>
          <w:kern w:val="2"/>
        </w:rPr>
      </w:pPr>
    </w:p>
    <w:p>
      <w:pPr>
        <w:pStyle w:val="33"/>
        <w:shd w:val="clear" w:color="auto" w:fill="FFFFFF"/>
        <w:spacing w:before="0" w:beforeAutospacing="0" w:after="0" w:afterAutospacing="0" w:line="360" w:lineRule="auto"/>
        <w:rPr>
          <w:b/>
          <w:bCs/>
          <w:color w:val="000000" w:themeColor="text1"/>
          <w:kern w:val="2"/>
        </w:rPr>
      </w:pPr>
    </w:p>
    <w:p>
      <w:pPr>
        <w:rPr>
          <w:rFonts w:ascii="宋体" w:hAnsi="宋体"/>
          <w:sz w:val="28"/>
          <w:szCs w:val="28"/>
        </w:rPr>
      </w:pPr>
      <w:r>
        <w:rPr>
          <w:rFonts w:hint="eastAsia" w:ascii="宋体" w:hAnsi="宋体"/>
          <w:sz w:val="28"/>
          <w:szCs w:val="28"/>
        </w:rPr>
        <w:br w:type="page"/>
      </w:r>
    </w:p>
    <w:p>
      <w:pPr>
        <w:pStyle w:val="8"/>
        <w:spacing w:line="440" w:lineRule="exact"/>
        <w:rPr>
          <w:rFonts w:ascii="宋体" w:hAnsi="宋体"/>
          <w:sz w:val="28"/>
          <w:szCs w:val="28"/>
        </w:rPr>
      </w:pPr>
      <w:r>
        <w:rPr>
          <w:rFonts w:hint="eastAsia" w:ascii="宋体" w:hAnsi="宋体"/>
          <w:sz w:val="28"/>
          <w:szCs w:val="28"/>
        </w:rPr>
        <w:t>附件5</w:t>
      </w:r>
    </w:p>
    <w:p>
      <w:pPr>
        <w:pStyle w:val="13"/>
        <w:spacing w:line="560" w:lineRule="exact"/>
        <w:jc w:val="center"/>
        <w:rPr>
          <w:rFonts w:hAnsi="宋体"/>
          <w:b/>
          <w:sz w:val="36"/>
          <w:szCs w:val="36"/>
        </w:rPr>
      </w:pPr>
      <w:r>
        <w:rPr>
          <w:rFonts w:hint="eastAsia" w:hAnsi="宋体"/>
          <w:b/>
          <w:sz w:val="36"/>
          <w:szCs w:val="36"/>
        </w:rPr>
        <w:t>投标人及服务网点情况表</w:t>
      </w:r>
    </w:p>
    <w:p>
      <w:pPr>
        <w:snapToGrid w:val="0"/>
        <w:spacing w:beforeLines="50" w:after="50" w:line="360" w:lineRule="auto"/>
        <w:rPr>
          <w:rFonts w:ascii="宋体" w:hAnsi="宋体"/>
          <w:sz w:val="24"/>
          <w:u w:val="single"/>
        </w:rPr>
      </w:pPr>
      <w:r>
        <w:rPr>
          <w:rFonts w:hint="eastAsia" w:ascii="宋体" w:hAnsi="宋体"/>
          <w:bCs/>
          <w:sz w:val="24"/>
        </w:rPr>
        <w:t>项目名称：（标段    ）</w:t>
      </w:r>
      <w:r>
        <w:rPr>
          <w:rFonts w:hint="eastAsia" w:ascii="宋体" w:hAnsi="宋体"/>
          <w:sz w:val="24"/>
          <w:u w:val="single"/>
        </w:rPr>
        <w:t xml:space="preserve">                               </w:t>
      </w:r>
    </w:p>
    <w:p>
      <w:pPr>
        <w:snapToGrid w:val="0"/>
        <w:spacing w:beforeLines="50" w:after="50" w:line="360" w:lineRule="auto"/>
        <w:rPr>
          <w:rFonts w:ascii="宋体" w:hAnsi="宋体"/>
          <w:sz w:val="24"/>
        </w:rPr>
      </w:pPr>
      <w:r>
        <w:rPr>
          <w:rFonts w:hint="eastAsia" w:ascii="宋体" w:hAnsi="宋体"/>
          <w:bCs/>
          <w:sz w:val="24"/>
        </w:rPr>
        <w:t>项目编号：WLCG-2022-38-GK</w:t>
      </w:r>
      <w:r>
        <w:rPr>
          <w:rFonts w:hint="eastAsia" w:ascii="宋体" w:hAnsi="宋体"/>
          <w:sz w:val="24"/>
        </w:rPr>
        <w:t xml:space="preserve"> </w:t>
      </w:r>
    </w:p>
    <w:tbl>
      <w:tblPr>
        <w:tblStyle w:val="22"/>
        <w:tblW w:w="93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1"/>
        <w:gridCol w:w="1439"/>
        <w:gridCol w:w="901"/>
        <w:gridCol w:w="1483"/>
        <w:gridCol w:w="8"/>
        <w:gridCol w:w="484"/>
        <w:gridCol w:w="184"/>
        <w:gridCol w:w="711"/>
        <w:gridCol w:w="7"/>
        <w:gridCol w:w="180"/>
        <w:gridCol w:w="16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投标人名称</w:t>
            </w:r>
          </w:p>
        </w:tc>
        <w:tc>
          <w:tcPr>
            <w:tcW w:w="7039" w:type="dxa"/>
            <w:gridSpan w:val="10"/>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公司地址</w:t>
            </w:r>
          </w:p>
        </w:tc>
        <w:tc>
          <w:tcPr>
            <w:tcW w:w="3831" w:type="dxa"/>
            <w:gridSpan w:val="4"/>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c>
          <w:tcPr>
            <w:tcW w:w="1379"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总公司注册资本金</w:t>
            </w:r>
          </w:p>
        </w:tc>
        <w:tc>
          <w:tcPr>
            <w:tcW w:w="1829"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cs="宋体"/>
                <w:sz w:val="24"/>
              </w:rPr>
              <w:t>当地机构设置年限：</w:t>
            </w:r>
            <w:r>
              <w:rPr>
                <w:rFonts w:hint="eastAsia" w:ascii="宋体" w:hAnsi="宋体"/>
                <w:sz w:val="24"/>
              </w:rPr>
              <w:t>注册（成立）时间</w:t>
            </w:r>
          </w:p>
        </w:tc>
        <w:tc>
          <w:tcPr>
            <w:tcW w:w="3823"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c>
          <w:tcPr>
            <w:tcW w:w="1394"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负责人</w:t>
            </w:r>
          </w:p>
        </w:tc>
        <w:tc>
          <w:tcPr>
            <w:tcW w:w="1822" w:type="dxa"/>
            <w:gridSpan w:val="2"/>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cs="宋体"/>
                <w:sz w:val="24"/>
              </w:rPr>
            </w:pPr>
            <w:r>
              <w:rPr>
                <w:rFonts w:hint="eastAsia" w:ascii="宋体" w:hAnsi="宋体"/>
                <w:sz w:val="24"/>
              </w:rPr>
              <w:t>业务咨询电话</w:t>
            </w:r>
          </w:p>
        </w:tc>
        <w:tc>
          <w:tcPr>
            <w:tcW w:w="3823"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c>
          <w:tcPr>
            <w:tcW w:w="1394"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传 真</w:t>
            </w:r>
          </w:p>
        </w:tc>
        <w:tc>
          <w:tcPr>
            <w:tcW w:w="1822" w:type="dxa"/>
            <w:gridSpan w:val="2"/>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当地服务网点数量</w:t>
            </w:r>
          </w:p>
        </w:tc>
        <w:tc>
          <w:tcPr>
            <w:tcW w:w="7039" w:type="dxa"/>
            <w:gridSpan w:val="10"/>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员工总人数</w:t>
            </w:r>
          </w:p>
        </w:tc>
        <w:tc>
          <w:tcPr>
            <w:tcW w:w="2340" w:type="dxa"/>
            <w:gridSpan w:val="2"/>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c>
          <w:tcPr>
            <w:tcW w:w="2159" w:type="dxa"/>
            <w:gridSpan w:val="4"/>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其中：技术人员数</w:t>
            </w:r>
          </w:p>
        </w:tc>
        <w:tc>
          <w:tcPr>
            <w:tcW w:w="2540" w:type="dxa"/>
            <w:gridSpan w:val="4"/>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高职人员数量</w:t>
            </w:r>
          </w:p>
        </w:tc>
        <w:tc>
          <w:tcPr>
            <w:tcW w:w="234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sz w:val="24"/>
              </w:rPr>
            </w:pPr>
          </w:p>
        </w:tc>
        <w:tc>
          <w:tcPr>
            <w:tcW w:w="2159" w:type="dxa"/>
            <w:gridSpan w:val="4"/>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sz w:val="24"/>
              </w:rPr>
            </w:pPr>
            <w:r>
              <w:rPr>
                <w:rFonts w:hint="eastAsia" w:ascii="宋体" w:hAnsi="宋体" w:cs="宋体"/>
                <w:sz w:val="24"/>
              </w:rPr>
              <w:t>其中：医学或法学专业人员数</w:t>
            </w:r>
          </w:p>
        </w:tc>
        <w:tc>
          <w:tcPr>
            <w:tcW w:w="2540" w:type="dxa"/>
            <w:gridSpan w:val="4"/>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工作业绩(</w:t>
            </w:r>
            <w:r>
              <w:rPr>
                <w:rFonts w:hint="eastAsia" w:ascii="宋体" w:hAnsi="宋体" w:cs="宋体"/>
                <w:sz w:val="24"/>
              </w:rPr>
              <w:t>保险案例)</w:t>
            </w:r>
          </w:p>
        </w:tc>
        <w:tc>
          <w:tcPr>
            <w:tcW w:w="7039" w:type="dxa"/>
            <w:gridSpan w:val="10"/>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cs="宋体"/>
                <w:sz w:val="24"/>
              </w:rPr>
              <w:t>政府医保合作项目经验</w:t>
            </w:r>
          </w:p>
        </w:tc>
        <w:tc>
          <w:tcPr>
            <w:tcW w:w="7039" w:type="dxa"/>
            <w:gridSpan w:val="10"/>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cs="宋体"/>
                <w:sz w:val="24"/>
              </w:rPr>
            </w:pPr>
            <w:r>
              <w:rPr>
                <w:rFonts w:hint="eastAsia" w:ascii="宋体" w:hAnsi="宋体" w:cs="宋体"/>
                <w:sz w:val="24"/>
              </w:rPr>
              <w:t>信用记录</w:t>
            </w:r>
          </w:p>
        </w:tc>
        <w:tc>
          <w:tcPr>
            <w:tcW w:w="7039" w:type="dxa"/>
            <w:gridSpan w:val="10"/>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cs="宋体"/>
                <w:sz w:val="24"/>
              </w:rPr>
            </w:pPr>
            <w:r>
              <w:rPr>
                <w:rFonts w:hint="eastAsia" w:ascii="宋体" w:hAnsi="宋体" w:cs="宋体"/>
                <w:sz w:val="24"/>
              </w:rPr>
              <w:t>纳税情况</w:t>
            </w:r>
          </w:p>
        </w:tc>
        <w:tc>
          <w:tcPr>
            <w:tcW w:w="7039" w:type="dxa"/>
            <w:gridSpan w:val="10"/>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2020年度          元；2021年度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cs="宋体"/>
                <w:sz w:val="24"/>
              </w:rPr>
            </w:pPr>
            <w:r>
              <w:rPr>
                <w:rFonts w:hint="eastAsia" w:ascii="宋体" w:hAnsi="宋体" w:cs="宋体"/>
                <w:sz w:val="24"/>
              </w:rPr>
              <w:t>公司相关车辆情况</w:t>
            </w:r>
          </w:p>
        </w:tc>
        <w:tc>
          <w:tcPr>
            <w:tcW w:w="7039" w:type="dxa"/>
            <w:gridSpan w:val="10"/>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公司办公地点</w:t>
            </w:r>
          </w:p>
        </w:tc>
        <w:tc>
          <w:tcPr>
            <w:tcW w:w="1439"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地点</w:t>
            </w:r>
          </w:p>
        </w:tc>
        <w:tc>
          <w:tcPr>
            <w:tcW w:w="2876" w:type="dxa"/>
            <w:gridSpan w:val="4"/>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c>
          <w:tcPr>
            <w:tcW w:w="1082" w:type="dxa"/>
            <w:gridSpan w:val="4"/>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sz w:val="24"/>
              </w:rPr>
              <w:t>面积</w:t>
            </w:r>
          </w:p>
        </w:tc>
        <w:tc>
          <w:tcPr>
            <w:tcW w:w="1642"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2281" w:type="dxa"/>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r>
              <w:rPr>
                <w:rFonts w:hint="eastAsia" w:ascii="宋体" w:hAnsi="宋体" w:cs="宋体"/>
                <w:sz w:val="24"/>
              </w:rPr>
              <w:t>是否已建立医保费用审核信息系统</w:t>
            </w:r>
          </w:p>
        </w:tc>
        <w:tc>
          <w:tcPr>
            <w:tcW w:w="7039" w:type="dxa"/>
            <w:gridSpan w:val="10"/>
            <w:tcBorders>
              <w:top w:val="single" w:color="auto" w:sz="4" w:space="0"/>
              <w:left w:val="single" w:color="auto" w:sz="4" w:space="0"/>
              <w:bottom w:val="single" w:color="auto" w:sz="4" w:space="0"/>
              <w:right w:val="single" w:color="auto" w:sz="4" w:space="0"/>
            </w:tcBorders>
          </w:tcPr>
          <w:p>
            <w:pPr>
              <w:snapToGrid w:val="0"/>
              <w:spacing w:before="50" w:afterLines="50" w:line="280" w:lineRule="exact"/>
              <w:rPr>
                <w:rFonts w:ascii="宋体" w:hAnsi="宋体"/>
                <w:sz w:val="24"/>
              </w:rPr>
            </w:pPr>
          </w:p>
        </w:tc>
      </w:tr>
    </w:tbl>
    <w:p>
      <w:pPr>
        <w:spacing w:line="400" w:lineRule="exact"/>
        <w:ind w:firstLine="480" w:firstLineChars="200"/>
        <w:rPr>
          <w:rFonts w:ascii="宋体" w:hAnsi="宋体"/>
          <w:sz w:val="24"/>
        </w:rPr>
      </w:pPr>
      <w:r>
        <w:rPr>
          <w:rFonts w:hint="eastAsia" w:ascii="宋体" w:hAnsi="宋体"/>
          <w:sz w:val="24"/>
        </w:rPr>
        <w:t>投标人全称：</w:t>
      </w:r>
      <w:r>
        <w:rPr>
          <w:rFonts w:hint="eastAsia" w:ascii="宋体" w:hAnsi="宋体"/>
          <w:sz w:val="24"/>
          <w:u w:val="single"/>
        </w:rPr>
        <w:t xml:space="preserve">                     </w:t>
      </w:r>
      <w:r>
        <w:rPr>
          <w:rFonts w:hint="eastAsia" w:ascii="宋体" w:hAnsi="宋体"/>
          <w:sz w:val="24"/>
        </w:rPr>
        <w:t>（公章）</w:t>
      </w:r>
    </w:p>
    <w:p>
      <w:pPr>
        <w:pStyle w:val="13"/>
        <w:spacing w:line="360" w:lineRule="exact"/>
        <w:ind w:firstLine="480" w:firstLineChars="200"/>
        <w:rPr>
          <w:rFonts w:hAnsi="宋体"/>
          <w:sz w:val="24"/>
          <w:u w:val="single"/>
        </w:rPr>
      </w:pPr>
      <w:r>
        <w:rPr>
          <w:rFonts w:hint="eastAsia" w:hAnsi="宋体"/>
          <w:sz w:val="24"/>
        </w:rPr>
        <w:t>授权代表签字：</w:t>
      </w:r>
      <w:r>
        <w:rPr>
          <w:rFonts w:hint="eastAsia" w:hAnsi="宋体"/>
          <w:sz w:val="24"/>
          <w:u w:val="single"/>
        </w:rPr>
        <w:t xml:space="preserve">                   </w:t>
      </w:r>
    </w:p>
    <w:p>
      <w:pPr>
        <w:pStyle w:val="13"/>
        <w:spacing w:line="360" w:lineRule="exact"/>
        <w:ind w:firstLine="480" w:firstLineChars="200"/>
        <w:rPr>
          <w:rFonts w:hAnsi="宋体"/>
          <w:sz w:val="24"/>
        </w:rPr>
      </w:pPr>
      <w:r>
        <w:rPr>
          <w:rFonts w:hint="eastAsia"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13"/>
        <w:spacing w:line="360" w:lineRule="exact"/>
        <w:ind w:firstLine="480" w:firstLineChars="200"/>
        <w:rPr>
          <w:rFonts w:hAnsi="宋体"/>
          <w:sz w:val="24"/>
        </w:rPr>
      </w:pPr>
    </w:p>
    <w:p>
      <w:pPr>
        <w:pStyle w:val="13"/>
        <w:spacing w:line="360" w:lineRule="exact"/>
        <w:ind w:firstLine="480" w:firstLineChars="200"/>
        <w:rPr>
          <w:rFonts w:hAnsi="宋体"/>
          <w:sz w:val="24"/>
        </w:rPr>
      </w:pPr>
    </w:p>
    <w:p>
      <w:pPr>
        <w:pStyle w:val="13"/>
        <w:spacing w:line="360" w:lineRule="exact"/>
        <w:ind w:firstLine="480" w:firstLineChars="200"/>
        <w:rPr>
          <w:rFonts w:hAnsi="宋体"/>
          <w:sz w:val="24"/>
        </w:rPr>
      </w:pPr>
    </w:p>
    <w:p>
      <w:pPr>
        <w:pStyle w:val="13"/>
        <w:spacing w:line="360" w:lineRule="exact"/>
        <w:ind w:firstLine="480" w:firstLineChars="200"/>
        <w:rPr>
          <w:rFonts w:hAnsi="宋体"/>
          <w:sz w:val="24"/>
        </w:rPr>
      </w:pPr>
    </w:p>
    <w:p>
      <w:pPr>
        <w:pStyle w:val="13"/>
        <w:spacing w:line="360" w:lineRule="exact"/>
        <w:ind w:firstLine="480" w:firstLineChars="200"/>
        <w:rPr>
          <w:rFonts w:hAnsi="宋体"/>
          <w:sz w:val="24"/>
        </w:rPr>
      </w:pPr>
    </w:p>
    <w:p>
      <w:pPr>
        <w:pStyle w:val="8"/>
        <w:spacing w:line="440" w:lineRule="exact"/>
        <w:rPr>
          <w:rFonts w:ascii="宋体" w:hAnsi="宋体"/>
          <w:sz w:val="28"/>
          <w:szCs w:val="28"/>
        </w:rPr>
      </w:pPr>
      <w:r>
        <w:rPr>
          <w:rFonts w:hint="eastAsia" w:ascii="宋体" w:hAnsi="宋体"/>
          <w:sz w:val="28"/>
          <w:szCs w:val="28"/>
        </w:rPr>
        <w:t>附件6</w:t>
      </w:r>
    </w:p>
    <w:p>
      <w:pPr>
        <w:pStyle w:val="13"/>
        <w:spacing w:line="560" w:lineRule="exact"/>
        <w:jc w:val="center"/>
        <w:rPr>
          <w:rFonts w:hAnsi="宋体"/>
          <w:b/>
          <w:sz w:val="36"/>
          <w:szCs w:val="36"/>
        </w:rPr>
      </w:pPr>
      <w:r>
        <w:rPr>
          <w:rFonts w:hint="eastAsia" w:hAnsi="宋体"/>
          <w:b/>
          <w:sz w:val="36"/>
          <w:szCs w:val="36"/>
        </w:rPr>
        <w:t>技术及商务内容响应表</w:t>
      </w:r>
    </w:p>
    <w:p>
      <w:pPr>
        <w:snapToGrid w:val="0"/>
        <w:spacing w:beforeLines="50" w:after="50" w:line="360" w:lineRule="auto"/>
        <w:rPr>
          <w:rFonts w:ascii="宋体" w:hAnsi="宋体"/>
          <w:sz w:val="24"/>
          <w:u w:val="single"/>
        </w:rPr>
      </w:pPr>
      <w:r>
        <w:rPr>
          <w:rFonts w:hint="eastAsia" w:ascii="宋体" w:hAnsi="宋体"/>
          <w:bCs/>
          <w:sz w:val="24"/>
        </w:rPr>
        <w:t>项目名称：（标段    ）</w:t>
      </w:r>
      <w:r>
        <w:rPr>
          <w:rFonts w:hint="eastAsia" w:ascii="宋体" w:hAnsi="宋体"/>
          <w:sz w:val="24"/>
          <w:u w:val="single"/>
        </w:rPr>
        <w:t xml:space="preserve">                               </w:t>
      </w:r>
    </w:p>
    <w:p>
      <w:pPr>
        <w:snapToGrid w:val="0"/>
        <w:spacing w:beforeLines="50" w:after="50" w:line="360" w:lineRule="auto"/>
        <w:rPr>
          <w:rFonts w:ascii="宋体" w:hAnsi="宋体"/>
          <w:sz w:val="24"/>
        </w:rPr>
      </w:pPr>
      <w:r>
        <w:rPr>
          <w:rFonts w:hint="eastAsia" w:ascii="宋体" w:hAnsi="宋体"/>
          <w:bCs/>
          <w:sz w:val="24"/>
        </w:rPr>
        <w:t>项目编号：WLCG-2022-38-GK</w:t>
      </w:r>
    </w:p>
    <w:tbl>
      <w:tblPr>
        <w:tblStyle w:val="22"/>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3395"/>
        <w:gridCol w:w="126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b/>
                <w:sz w:val="24"/>
              </w:rPr>
            </w:pPr>
            <w:r>
              <w:rPr>
                <w:rFonts w:hint="eastAsia" w:ascii="宋体" w:hAnsi="宋体"/>
                <w:b/>
                <w:sz w:val="24"/>
              </w:rPr>
              <w:t>内容</w:t>
            </w:r>
          </w:p>
        </w:tc>
        <w:tc>
          <w:tcPr>
            <w:tcW w:w="3395"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b/>
                <w:sz w:val="24"/>
              </w:rPr>
            </w:pPr>
            <w:r>
              <w:rPr>
                <w:rFonts w:hint="eastAsia" w:ascii="宋体" w:hAnsi="宋体"/>
                <w:b/>
                <w:sz w:val="24"/>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b/>
                <w:sz w:val="24"/>
              </w:rPr>
            </w:pPr>
            <w:r>
              <w:rPr>
                <w:rFonts w:hint="eastAsia" w:ascii="宋体" w:hAnsi="宋体"/>
                <w:b/>
                <w:sz w:val="24"/>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339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339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339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86"/>
              <w:jc w:val="center"/>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8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339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339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339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339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339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339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3395"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sz w:val="24"/>
              </w:rPr>
            </w:pPr>
          </w:p>
        </w:tc>
      </w:tr>
    </w:tbl>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投标人全称：</w:t>
      </w:r>
      <w:r>
        <w:rPr>
          <w:rFonts w:hint="eastAsia" w:ascii="宋体" w:hAnsi="宋体"/>
          <w:sz w:val="24"/>
          <w:u w:val="single"/>
        </w:rPr>
        <w:t xml:space="preserve">                     </w:t>
      </w:r>
      <w:r>
        <w:rPr>
          <w:rFonts w:hint="eastAsia" w:ascii="宋体" w:hAnsi="宋体"/>
          <w:sz w:val="24"/>
        </w:rPr>
        <w:t>（公章）</w:t>
      </w:r>
    </w:p>
    <w:p>
      <w:pPr>
        <w:pStyle w:val="13"/>
        <w:spacing w:line="360" w:lineRule="exact"/>
        <w:ind w:firstLine="480" w:firstLineChars="200"/>
        <w:rPr>
          <w:rFonts w:hAnsi="宋体"/>
          <w:sz w:val="24"/>
          <w:u w:val="single"/>
        </w:rPr>
      </w:pPr>
      <w:r>
        <w:rPr>
          <w:rFonts w:hint="eastAsia" w:hAnsi="宋体"/>
          <w:sz w:val="24"/>
        </w:rPr>
        <w:t>授权代表签字：</w:t>
      </w:r>
      <w:r>
        <w:rPr>
          <w:rFonts w:hint="eastAsia" w:hAnsi="宋体"/>
          <w:sz w:val="24"/>
          <w:u w:val="single"/>
        </w:rPr>
        <w:t xml:space="preserve">                   </w:t>
      </w:r>
    </w:p>
    <w:p>
      <w:pPr>
        <w:pStyle w:val="13"/>
        <w:spacing w:line="360" w:lineRule="exact"/>
        <w:ind w:firstLine="480" w:firstLineChars="200"/>
        <w:rPr>
          <w:rFonts w:hAnsi="宋体"/>
          <w:sz w:val="24"/>
        </w:rPr>
      </w:pPr>
      <w:r>
        <w:rPr>
          <w:rFonts w:hint="eastAsia" w:hAnsi="宋体"/>
          <w:sz w:val="24"/>
        </w:rPr>
        <w:t xml:space="preserve">日        期：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13"/>
        <w:spacing w:line="360" w:lineRule="exact"/>
        <w:ind w:firstLine="480" w:firstLineChars="200"/>
        <w:rPr>
          <w:rFonts w:hAnsi="宋体"/>
          <w:sz w:val="24"/>
        </w:rPr>
      </w:pPr>
    </w:p>
    <w:p>
      <w:pPr>
        <w:pStyle w:val="13"/>
        <w:spacing w:line="360" w:lineRule="exact"/>
        <w:ind w:firstLine="480" w:firstLineChars="200"/>
        <w:rPr>
          <w:rFonts w:hAnsi="宋体"/>
          <w:sz w:val="24"/>
        </w:rPr>
      </w:pPr>
    </w:p>
    <w:p>
      <w:pPr>
        <w:pStyle w:val="13"/>
        <w:spacing w:line="360" w:lineRule="exact"/>
        <w:ind w:firstLine="480" w:firstLineChars="200"/>
        <w:rPr>
          <w:rFonts w:hAnsi="宋体"/>
          <w:sz w:val="24"/>
        </w:rPr>
      </w:pPr>
    </w:p>
    <w:p>
      <w:pPr>
        <w:snapToGrid w:val="0"/>
        <w:spacing w:before="50" w:afterLines="50" w:line="360" w:lineRule="auto"/>
        <w:rPr>
          <w:rFonts w:ascii="宋体" w:hAnsi="宋体"/>
          <w:sz w:val="28"/>
          <w:szCs w:val="28"/>
        </w:rPr>
      </w:pPr>
    </w:p>
    <w:p>
      <w:pPr>
        <w:snapToGrid w:val="0"/>
        <w:spacing w:before="50" w:afterLines="50" w:line="360" w:lineRule="auto"/>
        <w:rPr>
          <w:rFonts w:ascii="宋体" w:hAnsi="宋体"/>
          <w:sz w:val="28"/>
          <w:szCs w:val="28"/>
        </w:rPr>
      </w:pPr>
      <w:r>
        <w:rPr>
          <w:rFonts w:hint="eastAsia" w:ascii="宋体" w:hAnsi="宋体"/>
          <w:sz w:val="28"/>
          <w:szCs w:val="28"/>
        </w:rPr>
        <w:t>附件7</w:t>
      </w:r>
    </w:p>
    <w:p>
      <w:pPr>
        <w:pStyle w:val="13"/>
        <w:spacing w:line="560" w:lineRule="exact"/>
        <w:jc w:val="center"/>
        <w:rPr>
          <w:rFonts w:hAnsi="宋体"/>
          <w:b/>
          <w:sz w:val="36"/>
          <w:szCs w:val="36"/>
        </w:rPr>
      </w:pPr>
      <w:r>
        <w:rPr>
          <w:rFonts w:hint="eastAsia" w:hAnsi="宋体"/>
          <w:b/>
          <w:sz w:val="36"/>
          <w:szCs w:val="36"/>
        </w:rPr>
        <w:t>投标人与政府医保合作项目案例一览表</w:t>
      </w:r>
    </w:p>
    <w:p>
      <w:pPr>
        <w:snapToGrid w:val="0"/>
        <w:spacing w:beforeLines="50" w:after="50" w:line="360" w:lineRule="auto"/>
        <w:rPr>
          <w:rFonts w:ascii="宋体" w:hAnsi="宋体"/>
          <w:sz w:val="24"/>
          <w:u w:val="single"/>
        </w:rPr>
      </w:pPr>
      <w:r>
        <w:rPr>
          <w:rFonts w:hint="eastAsia" w:ascii="宋体" w:hAnsi="宋体"/>
          <w:bCs/>
          <w:sz w:val="24"/>
        </w:rPr>
        <w:t>项目名称：（标段    ）</w:t>
      </w:r>
      <w:r>
        <w:rPr>
          <w:rFonts w:hint="eastAsia" w:ascii="宋体" w:hAnsi="宋体"/>
          <w:sz w:val="24"/>
          <w:u w:val="single"/>
        </w:rPr>
        <w:t xml:space="preserve">                               </w:t>
      </w:r>
    </w:p>
    <w:p>
      <w:pPr>
        <w:snapToGrid w:val="0"/>
        <w:spacing w:beforeLines="50" w:after="50" w:line="360" w:lineRule="auto"/>
        <w:rPr>
          <w:rFonts w:ascii="宋体" w:hAnsi="宋体"/>
          <w:bCs/>
          <w:sz w:val="24"/>
        </w:rPr>
      </w:pPr>
      <w:r>
        <w:rPr>
          <w:rFonts w:hint="eastAsia" w:ascii="宋体" w:hAnsi="宋体"/>
          <w:bCs/>
          <w:sz w:val="24"/>
        </w:rPr>
        <w:t>项目编号：WLCG-2022-38-GK</w:t>
      </w:r>
      <w:r>
        <w:rPr>
          <w:rFonts w:hint="eastAsia" w:ascii="宋体" w:hAnsi="宋体"/>
          <w:sz w:val="24"/>
        </w:rPr>
        <w:t xml:space="preserve"> </w:t>
      </w:r>
    </w:p>
    <w:tbl>
      <w:tblPr>
        <w:tblStyle w:val="22"/>
        <w:tblW w:w="938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268"/>
        <w:gridCol w:w="783"/>
        <w:gridCol w:w="891"/>
        <w:gridCol w:w="1212"/>
        <w:gridCol w:w="1000"/>
        <w:gridCol w:w="12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00" w:type="dxa"/>
            <w:vAlign w:val="center"/>
          </w:tcPr>
          <w:p>
            <w:pPr>
              <w:jc w:val="center"/>
              <w:rPr>
                <w:rFonts w:ascii="宋体" w:hAnsi="宋体"/>
                <w:sz w:val="24"/>
              </w:rPr>
            </w:pPr>
            <w:r>
              <w:rPr>
                <w:rFonts w:hint="eastAsia" w:ascii="宋体" w:hAnsi="宋体"/>
                <w:sz w:val="24"/>
              </w:rPr>
              <w:t>序号</w:t>
            </w:r>
          </w:p>
        </w:tc>
        <w:tc>
          <w:tcPr>
            <w:tcW w:w="2268" w:type="dxa"/>
            <w:vAlign w:val="center"/>
          </w:tcPr>
          <w:p>
            <w:pPr>
              <w:jc w:val="center"/>
              <w:rPr>
                <w:rFonts w:ascii="宋体" w:hAnsi="宋体" w:cs="宋体"/>
                <w:sz w:val="24"/>
              </w:rPr>
            </w:pPr>
            <w:r>
              <w:rPr>
                <w:rFonts w:hint="eastAsia" w:ascii="宋体" w:hAnsi="宋体" w:cs="宋体"/>
                <w:sz w:val="24"/>
              </w:rPr>
              <w:t>项目名称</w:t>
            </w:r>
          </w:p>
        </w:tc>
        <w:tc>
          <w:tcPr>
            <w:tcW w:w="783" w:type="dxa"/>
            <w:vAlign w:val="center"/>
          </w:tcPr>
          <w:p>
            <w:pPr>
              <w:jc w:val="center"/>
              <w:rPr>
                <w:rFonts w:ascii="宋体" w:hAnsi="宋体" w:cs="宋体"/>
                <w:sz w:val="24"/>
              </w:rPr>
            </w:pPr>
            <w:r>
              <w:rPr>
                <w:rFonts w:hint="eastAsia" w:ascii="宋体" w:hAnsi="宋体" w:cs="宋体"/>
                <w:sz w:val="24"/>
              </w:rPr>
              <w:t>业主</w:t>
            </w:r>
          </w:p>
        </w:tc>
        <w:tc>
          <w:tcPr>
            <w:tcW w:w="891" w:type="dxa"/>
            <w:vAlign w:val="center"/>
          </w:tcPr>
          <w:p>
            <w:pPr>
              <w:jc w:val="center"/>
              <w:rPr>
                <w:rFonts w:ascii="宋体" w:hAnsi="宋体" w:cs="宋体"/>
                <w:sz w:val="24"/>
              </w:rPr>
            </w:pPr>
            <w:r>
              <w:rPr>
                <w:rFonts w:hint="eastAsia" w:ascii="宋体" w:hAnsi="宋体" w:cs="宋体"/>
                <w:sz w:val="24"/>
              </w:rPr>
              <w:t>起止时间</w:t>
            </w:r>
          </w:p>
        </w:tc>
        <w:tc>
          <w:tcPr>
            <w:tcW w:w="1212" w:type="dxa"/>
            <w:vAlign w:val="center"/>
          </w:tcPr>
          <w:p>
            <w:pPr>
              <w:jc w:val="center"/>
              <w:rPr>
                <w:rFonts w:ascii="宋体" w:hAnsi="宋体" w:cs="宋体"/>
                <w:sz w:val="24"/>
              </w:rPr>
            </w:pPr>
            <w:r>
              <w:rPr>
                <w:rFonts w:hint="eastAsia" w:ascii="宋体" w:hAnsi="宋体" w:cs="宋体"/>
                <w:sz w:val="24"/>
              </w:rPr>
              <w:t>保费收入</w:t>
            </w:r>
          </w:p>
        </w:tc>
        <w:tc>
          <w:tcPr>
            <w:tcW w:w="1000" w:type="dxa"/>
            <w:vAlign w:val="center"/>
          </w:tcPr>
          <w:p>
            <w:pPr>
              <w:jc w:val="center"/>
              <w:rPr>
                <w:rFonts w:ascii="宋体" w:hAnsi="宋体" w:cs="宋体"/>
                <w:sz w:val="24"/>
              </w:rPr>
            </w:pPr>
            <w:r>
              <w:rPr>
                <w:rFonts w:hint="eastAsia" w:ascii="宋体" w:hAnsi="宋体" w:cs="宋体"/>
                <w:sz w:val="24"/>
              </w:rPr>
              <w:t>项目</w:t>
            </w:r>
          </w:p>
          <w:p>
            <w:pPr>
              <w:jc w:val="center"/>
              <w:rPr>
                <w:rFonts w:ascii="宋体" w:hAnsi="宋体" w:cs="宋体"/>
                <w:sz w:val="24"/>
              </w:rPr>
            </w:pPr>
            <w:r>
              <w:rPr>
                <w:rFonts w:hint="eastAsia" w:ascii="宋体" w:hAnsi="宋体" w:cs="宋体"/>
                <w:sz w:val="24"/>
              </w:rPr>
              <w:t>主要负责人</w:t>
            </w:r>
          </w:p>
        </w:tc>
        <w:tc>
          <w:tcPr>
            <w:tcW w:w="1218" w:type="dxa"/>
            <w:vAlign w:val="center"/>
          </w:tcPr>
          <w:p>
            <w:pPr>
              <w:jc w:val="center"/>
              <w:rPr>
                <w:rFonts w:ascii="宋体" w:hAnsi="宋体" w:cs="宋体"/>
                <w:sz w:val="24"/>
              </w:rPr>
            </w:pPr>
            <w:r>
              <w:rPr>
                <w:rFonts w:hint="eastAsia" w:ascii="宋体" w:hAnsi="宋体" w:cs="宋体"/>
                <w:sz w:val="24"/>
              </w:rPr>
              <w:t>已合作年份</w:t>
            </w:r>
          </w:p>
        </w:tc>
        <w:tc>
          <w:tcPr>
            <w:tcW w:w="1110" w:type="dxa"/>
            <w:vAlign w:val="center"/>
          </w:tcPr>
          <w:p>
            <w:pPr>
              <w:jc w:val="center"/>
              <w:rPr>
                <w:rFonts w:ascii="宋体" w:hAnsi="宋体" w:cs="宋体"/>
                <w:sz w:val="24"/>
              </w:rPr>
            </w:pPr>
            <w:r>
              <w:rPr>
                <w:rFonts w:hint="eastAsia" w:ascii="宋体" w:hAnsi="宋体" w:cs="宋体"/>
                <w:sz w:val="24"/>
              </w:rPr>
              <w:t>业主联系电话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pStyle w:val="9"/>
        <w:snapToGrid w:val="0"/>
        <w:spacing w:before="120" w:after="120" w:line="360" w:lineRule="auto"/>
        <w:ind w:firstLine="720" w:firstLineChars="300"/>
        <w:rPr>
          <w:rFonts w:ascii="宋体" w:hAnsi="宋体" w:eastAsia="宋体"/>
          <w:sz w:val="24"/>
          <w:szCs w:val="24"/>
        </w:rPr>
      </w:pPr>
      <w:r>
        <w:rPr>
          <w:rFonts w:hint="eastAsia" w:ascii="宋体" w:hAnsi="宋体" w:eastAsia="宋体"/>
          <w:sz w:val="24"/>
          <w:szCs w:val="24"/>
        </w:rPr>
        <w:t>注：须提供投标人</w:t>
      </w:r>
      <w:r>
        <w:rPr>
          <w:rFonts w:hint="eastAsia" w:ascii="宋体" w:hAnsi="宋体" w:eastAsia="宋体" w:cs="宋体"/>
          <w:sz w:val="24"/>
          <w:szCs w:val="24"/>
        </w:rPr>
        <w:t>与政府医保合作项目</w:t>
      </w:r>
      <w:r>
        <w:rPr>
          <w:rFonts w:hint="eastAsia" w:ascii="宋体" w:hAnsi="宋体" w:eastAsia="宋体"/>
          <w:sz w:val="24"/>
          <w:szCs w:val="24"/>
        </w:rPr>
        <w:t>案例合同复印件（附此表后）。</w:t>
      </w:r>
    </w:p>
    <w:p>
      <w:pPr>
        <w:spacing w:line="440" w:lineRule="exact"/>
        <w:rPr>
          <w:rFonts w:ascii="宋体" w:hAnsi="宋体"/>
          <w:sz w:val="24"/>
          <w:lang w:val="zh-CN"/>
        </w:rPr>
      </w:pPr>
      <w:r>
        <w:rPr>
          <w:rFonts w:hint="eastAsia" w:ascii="宋体" w:hAnsi="宋体"/>
          <w:sz w:val="24"/>
          <w:lang w:val="zh-CN"/>
        </w:rPr>
        <w:t xml:space="preserve">        </w:t>
      </w:r>
    </w:p>
    <w:p>
      <w:pPr>
        <w:spacing w:line="400" w:lineRule="exact"/>
        <w:ind w:firstLine="480" w:firstLineChars="200"/>
        <w:rPr>
          <w:rFonts w:ascii="宋体" w:hAnsi="宋体"/>
          <w:sz w:val="24"/>
        </w:rPr>
      </w:pPr>
      <w:r>
        <w:rPr>
          <w:rFonts w:hint="eastAsia" w:ascii="宋体" w:hAnsi="宋体"/>
          <w:sz w:val="24"/>
        </w:rPr>
        <w:t>投标人全称：</w:t>
      </w:r>
      <w:r>
        <w:rPr>
          <w:rFonts w:hint="eastAsia" w:ascii="宋体" w:hAnsi="宋体"/>
          <w:sz w:val="24"/>
          <w:u w:val="single"/>
        </w:rPr>
        <w:t xml:space="preserve">                     </w:t>
      </w:r>
      <w:r>
        <w:rPr>
          <w:rFonts w:hint="eastAsia" w:ascii="宋体" w:hAnsi="宋体"/>
          <w:sz w:val="24"/>
        </w:rPr>
        <w:t>（公章）</w:t>
      </w:r>
    </w:p>
    <w:p>
      <w:pPr>
        <w:pStyle w:val="13"/>
        <w:spacing w:line="360" w:lineRule="exact"/>
        <w:ind w:firstLine="480" w:firstLineChars="200"/>
        <w:rPr>
          <w:rFonts w:hAnsi="宋体"/>
          <w:sz w:val="24"/>
          <w:u w:val="single"/>
        </w:rPr>
      </w:pPr>
      <w:r>
        <w:rPr>
          <w:rFonts w:hint="eastAsia" w:hAnsi="宋体"/>
          <w:sz w:val="24"/>
        </w:rPr>
        <w:t>授权代表签字：</w:t>
      </w:r>
      <w:r>
        <w:rPr>
          <w:rFonts w:hint="eastAsia" w:hAnsi="宋体"/>
          <w:sz w:val="24"/>
          <w:u w:val="single"/>
        </w:rPr>
        <w:t xml:space="preserve">                   </w:t>
      </w:r>
    </w:p>
    <w:p>
      <w:pPr>
        <w:pStyle w:val="13"/>
        <w:spacing w:line="360" w:lineRule="exact"/>
        <w:ind w:firstLine="480" w:firstLineChars="200"/>
        <w:rPr>
          <w:rFonts w:hAnsi="宋体"/>
          <w:sz w:val="24"/>
        </w:rPr>
      </w:pPr>
      <w:r>
        <w:rPr>
          <w:rFonts w:hint="eastAsia" w:hAnsi="宋体"/>
          <w:sz w:val="24"/>
        </w:rPr>
        <w:t xml:space="preserve">日        期：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tabs>
          <w:tab w:val="left" w:pos="2460"/>
        </w:tabs>
        <w:spacing w:line="360" w:lineRule="auto"/>
        <w:ind w:firstLine="435"/>
        <w:rPr>
          <w:rFonts w:ascii="宋体" w:hAnsi="宋体"/>
          <w:b/>
          <w:sz w:val="28"/>
        </w:rPr>
      </w:pPr>
    </w:p>
    <w:p>
      <w:pPr>
        <w:rPr>
          <w:rFonts w:ascii="宋体" w:hAnsi="宋体"/>
          <w:sz w:val="24"/>
          <w:u w:val="single"/>
        </w:rPr>
      </w:pPr>
      <w:r>
        <w:rPr>
          <w:rFonts w:ascii="宋体" w:hAnsi="宋体"/>
          <w:b/>
          <w:sz w:val="28"/>
        </w:rPr>
        <w:br w:type="page"/>
      </w:r>
    </w:p>
    <w:p>
      <w:pPr>
        <w:jc w:val="center"/>
        <w:rPr>
          <w:sz w:val="52"/>
          <w:szCs w:val="52"/>
        </w:rPr>
      </w:pPr>
      <w:bookmarkStart w:id="57" w:name="_Toc21322_WPSOffice_Level1"/>
      <w:bookmarkStart w:id="58" w:name="_Toc30468_WPSOffice_Level1"/>
      <w:bookmarkStart w:id="59" w:name="_Toc4615_WPSOffice_Level1"/>
    </w:p>
    <w:p>
      <w:pPr>
        <w:jc w:val="center"/>
        <w:rPr>
          <w:sz w:val="52"/>
          <w:szCs w:val="52"/>
        </w:rPr>
      </w:pPr>
      <w:r>
        <w:rPr>
          <w:rFonts w:hint="eastAsia"/>
          <w:sz w:val="52"/>
          <w:szCs w:val="52"/>
        </w:rPr>
        <w:t>项目名称</w:t>
      </w:r>
      <w:bookmarkEnd w:id="57"/>
      <w:bookmarkEnd w:id="58"/>
      <w:bookmarkEnd w:id="5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60" w:name="_Toc8885_WPSOffice_Level1"/>
      <w:bookmarkStart w:id="61" w:name="_Toc9453_WPSOffice_Level1"/>
      <w:r>
        <w:rPr>
          <w:rFonts w:hint="eastAsia"/>
          <w:sz w:val="84"/>
          <w:szCs w:val="84"/>
        </w:rPr>
        <w:t>报</w:t>
      </w:r>
      <w:bookmarkEnd w:id="60"/>
      <w:bookmarkEnd w:id="61"/>
    </w:p>
    <w:p>
      <w:pPr>
        <w:jc w:val="center"/>
        <w:rPr>
          <w:sz w:val="84"/>
          <w:szCs w:val="84"/>
        </w:rPr>
      </w:pPr>
      <w:bookmarkStart w:id="62" w:name="_Toc7485_WPSOffice_Level1"/>
      <w:bookmarkStart w:id="63" w:name="_Toc10910_WPSOffice_Level1"/>
      <w:r>
        <w:rPr>
          <w:rFonts w:hint="eastAsia"/>
          <w:sz w:val="84"/>
          <w:szCs w:val="84"/>
        </w:rPr>
        <w:t>价</w:t>
      </w:r>
      <w:bookmarkEnd w:id="62"/>
      <w:bookmarkEnd w:id="63"/>
    </w:p>
    <w:p>
      <w:pPr>
        <w:jc w:val="center"/>
        <w:rPr>
          <w:sz w:val="84"/>
          <w:szCs w:val="84"/>
        </w:rPr>
      </w:pPr>
      <w:bookmarkStart w:id="64" w:name="_Toc3932_WPSOffice_Level1"/>
      <w:bookmarkStart w:id="65" w:name="_Toc14572_WPSOffice_Level1"/>
      <w:r>
        <w:rPr>
          <w:rFonts w:hint="eastAsia"/>
          <w:sz w:val="84"/>
          <w:szCs w:val="84"/>
        </w:rPr>
        <w:t>文</w:t>
      </w:r>
      <w:bookmarkEnd w:id="64"/>
      <w:bookmarkEnd w:id="65"/>
    </w:p>
    <w:p>
      <w:pPr>
        <w:jc w:val="center"/>
        <w:rPr>
          <w:sz w:val="84"/>
          <w:szCs w:val="84"/>
        </w:rPr>
      </w:pPr>
      <w:bookmarkStart w:id="66" w:name="_Toc16973_WPSOffice_Level1"/>
      <w:bookmarkStart w:id="67" w:name="_Toc7562_WPSOffice_Level1"/>
      <w:r>
        <w:rPr>
          <w:rFonts w:hint="eastAsia"/>
          <w:sz w:val="84"/>
          <w:szCs w:val="84"/>
        </w:rPr>
        <w:t>件</w:t>
      </w:r>
      <w:bookmarkEnd w:id="66"/>
      <w:bookmarkEnd w:id="67"/>
    </w:p>
    <w:p>
      <w:pPr>
        <w:spacing w:line="360" w:lineRule="auto"/>
        <w:ind w:right="532"/>
        <w:rPr>
          <w:rFonts w:ascii="宋体" w:hAnsi="宋体"/>
          <w:sz w:val="36"/>
          <w:szCs w:val="36"/>
        </w:rPr>
      </w:pPr>
    </w:p>
    <w:p>
      <w:pPr>
        <w:pStyle w:val="21"/>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68" w:name="_Toc26700_WPSOffice_Level1"/>
      <w:bookmarkStart w:id="69" w:name="_Toc4603_WPSOffice_Level1"/>
      <w:r>
        <w:rPr>
          <w:rFonts w:hint="eastAsia" w:ascii="宋体" w:hAnsi="宋体"/>
          <w:sz w:val="36"/>
          <w:szCs w:val="36"/>
        </w:rPr>
        <w:t>投标人全称（公章）：</w:t>
      </w:r>
      <w:bookmarkEnd w:id="68"/>
      <w:bookmarkEnd w:id="69"/>
    </w:p>
    <w:p>
      <w:pPr>
        <w:spacing w:line="360" w:lineRule="auto"/>
        <w:ind w:right="-108" w:firstLine="720" w:firstLineChars="200"/>
        <w:rPr>
          <w:rFonts w:ascii="宋体" w:hAnsi="宋体"/>
          <w:sz w:val="36"/>
          <w:szCs w:val="36"/>
        </w:rPr>
      </w:pPr>
      <w:bookmarkStart w:id="70" w:name="_Toc1391_WPSOffice_Level1"/>
      <w:bookmarkStart w:id="71" w:name="_Toc32593_WPSOffice_Level1"/>
      <w:r>
        <w:rPr>
          <w:rFonts w:hint="eastAsia" w:ascii="宋体" w:hAnsi="宋体"/>
          <w:sz w:val="36"/>
          <w:szCs w:val="36"/>
        </w:rPr>
        <w:t>地    址：</w:t>
      </w:r>
      <w:bookmarkEnd w:id="70"/>
      <w:bookmarkEnd w:id="71"/>
    </w:p>
    <w:p>
      <w:pPr>
        <w:spacing w:line="360" w:lineRule="auto"/>
        <w:ind w:right="-108" w:firstLine="720" w:firstLineChars="200"/>
        <w:rPr>
          <w:rFonts w:ascii="宋体" w:hAnsi="宋体"/>
          <w:sz w:val="36"/>
          <w:szCs w:val="36"/>
        </w:rPr>
      </w:pPr>
      <w:bookmarkStart w:id="72" w:name="_Toc20938_WPSOffice_Level1"/>
      <w:bookmarkStart w:id="73" w:name="_Toc3791_WPSOffice_Level1"/>
      <w:r>
        <w:rPr>
          <w:rFonts w:hint="eastAsia" w:ascii="宋体" w:hAnsi="宋体"/>
          <w:sz w:val="36"/>
          <w:szCs w:val="36"/>
        </w:rPr>
        <w:t>时    间：</w:t>
      </w:r>
      <w:bookmarkEnd w:id="72"/>
      <w:bookmarkEnd w:id="73"/>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8"/>
        <w:ind w:firstLine="0"/>
        <w:rPr>
          <w:rFonts w:ascii="仿宋_GB2312" w:hAnsi="宋体" w:eastAsia="仿宋_GB2312"/>
          <w:b/>
          <w:sz w:val="36"/>
          <w:szCs w:val="36"/>
        </w:rPr>
      </w:pPr>
    </w:p>
    <w:p>
      <w:pPr>
        <w:pStyle w:val="8"/>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74" w:name="_Toc19972_WPSOffice_Level1"/>
      <w:bookmarkStart w:id="75" w:name="_Toc29537_WPSOffice_Level1"/>
      <w:r>
        <w:rPr>
          <w:rFonts w:hint="eastAsia" w:ascii="宋体" w:hAnsi="宋体"/>
          <w:b/>
          <w:bCs/>
          <w:sz w:val="36"/>
          <w:szCs w:val="36"/>
        </w:rPr>
        <w:t>报价文件目录</w:t>
      </w:r>
      <w:bookmarkEnd w:id="74"/>
      <w:bookmarkEnd w:id="75"/>
    </w:p>
    <w:tbl>
      <w:tblPr>
        <w:tblStyle w:val="22"/>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72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hint="eastAsia" w:ascii="宋体" w:hAnsi="宋体" w:cs="宋体"/>
                <w:sz w:val="24"/>
              </w:rPr>
              <w:t>序号</w:t>
            </w:r>
          </w:p>
        </w:tc>
        <w:tc>
          <w:tcPr>
            <w:tcW w:w="3724" w:type="dxa"/>
            <w:vAlign w:val="center"/>
          </w:tcPr>
          <w:p>
            <w:pPr>
              <w:widowControl/>
              <w:snapToGrid w:val="0"/>
              <w:spacing w:line="340" w:lineRule="exact"/>
              <w:jc w:val="center"/>
              <w:rPr>
                <w:rFonts w:ascii="宋体" w:cs="宋体"/>
                <w:sz w:val="24"/>
              </w:rPr>
            </w:pPr>
            <w:r>
              <w:rPr>
                <w:rFonts w:hint="eastAsia" w:ascii="宋体" w:hAnsi="宋体" w:cs="宋体"/>
                <w:sz w:val="24"/>
              </w:rPr>
              <w:t>内容</w:t>
            </w:r>
          </w:p>
        </w:tc>
        <w:tc>
          <w:tcPr>
            <w:tcW w:w="4728" w:type="dxa"/>
            <w:vAlign w:val="center"/>
          </w:tcPr>
          <w:p>
            <w:pPr>
              <w:widowControl/>
              <w:snapToGrid w:val="0"/>
              <w:spacing w:line="340" w:lineRule="exact"/>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ascii="宋体" w:hAnsi="宋体" w:cs="宋体"/>
                <w:sz w:val="24"/>
              </w:rPr>
              <w:t>1</w:t>
            </w:r>
          </w:p>
        </w:tc>
        <w:tc>
          <w:tcPr>
            <w:tcW w:w="3724" w:type="dxa"/>
            <w:vAlign w:val="center"/>
          </w:tcPr>
          <w:p>
            <w:pPr>
              <w:widowControl/>
              <w:snapToGrid w:val="0"/>
              <w:spacing w:line="340" w:lineRule="exact"/>
              <w:rPr>
                <w:rFonts w:ascii="宋体" w:cs="宋体"/>
                <w:kern w:val="0"/>
                <w:sz w:val="24"/>
              </w:rPr>
            </w:pPr>
            <w:r>
              <w:rPr>
                <w:rFonts w:hint="eastAsia" w:ascii="宋体" w:hAnsi="宋体" w:cs="宋体"/>
                <w:kern w:val="0"/>
                <w:sz w:val="24"/>
              </w:rPr>
              <w:t>开标一览表</w:t>
            </w:r>
          </w:p>
        </w:tc>
        <w:tc>
          <w:tcPr>
            <w:tcW w:w="4728" w:type="dxa"/>
            <w:vAlign w:val="center"/>
          </w:tcPr>
          <w:p>
            <w:pPr>
              <w:widowControl/>
              <w:snapToGrid w:val="0"/>
              <w:spacing w:line="340" w:lineRule="exact"/>
              <w:rPr>
                <w:rFonts w:ascii="宋体" w:cs="宋体"/>
                <w:kern w:val="0"/>
                <w:sz w:val="24"/>
              </w:rPr>
            </w:pPr>
            <w:r>
              <w:rPr>
                <w:rFonts w:hint="eastAsia" w:ascii="宋体" w:hAnsi="宋体" w:cs="宋体"/>
                <w:kern w:val="0"/>
                <w:sz w:val="24"/>
              </w:rPr>
              <w:t>附件8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3724" w:type="dxa"/>
            <w:vAlign w:val="center"/>
          </w:tcPr>
          <w:p>
            <w:pPr>
              <w:snapToGrid w:val="0"/>
              <w:spacing w:line="340" w:lineRule="exact"/>
              <w:rPr>
                <w:rFonts w:ascii="宋体" w:hAnsi="宋体" w:cs="宋体"/>
                <w:kern w:val="0"/>
                <w:sz w:val="24"/>
              </w:rPr>
            </w:pPr>
            <w:r>
              <w:rPr>
                <w:rFonts w:hint="eastAsia" w:ascii="宋体" w:hAnsi="宋体" w:cs="宋体"/>
                <w:kern w:val="0"/>
                <w:sz w:val="24"/>
              </w:rPr>
              <w:t>投标人的《中小企业声明函》</w:t>
            </w:r>
          </w:p>
        </w:tc>
        <w:tc>
          <w:tcPr>
            <w:tcW w:w="4728" w:type="dxa"/>
            <w:vAlign w:val="center"/>
          </w:tcPr>
          <w:p>
            <w:pPr>
              <w:snapToGrid w:val="0"/>
              <w:spacing w:line="340" w:lineRule="exact"/>
              <w:rPr>
                <w:rFonts w:ascii="宋体" w:hAnsi="宋体" w:cs="宋体"/>
                <w:sz w:val="24"/>
              </w:rPr>
            </w:pPr>
            <w:r>
              <w:rPr>
                <w:rFonts w:hint="eastAsia" w:ascii="宋体" w:hAnsi="宋体" w:cs="宋体"/>
                <w:kern w:val="0"/>
                <w:sz w:val="24"/>
              </w:rPr>
              <w:t>投标人若参与小微企业评审的，格式见附件9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3</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残疾人福利性单位声明函</w:t>
            </w:r>
          </w:p>
        </w:tc>
        <w:tc>
          <w:tcPr>
            <w:tcW w:w="4728" w:type="dxa"/>
            <w:vAlign w:val="center"/>
          </w:tcPr>
          <w:p>
            <w:pPr>
              <w:widowControl/>
              <w:snapToGrid w:val="0"/>
              <w:spacing w:line="340" w:lineRule="exact"/>
              <w:rPr>
                <w:rFonts w:ascii="宋体" w:hAnsi="宋体" w:cs="宋体"/>
                <w:sz w:val="24"/>
              </w:rPr>
            </w:pPr>
            <w:r>
              <w:rPr>
                <w:rFonts w:hint="eastAsia" w:ascii="宋体" w:hAnsi="宋体" w:cs="宋体"/>
                <w:kern w:val="0"/>
                <w:sz w:val="24"/>
              </w:rPr>
              <w:t>投标人若参与残疾人福利性单位评审的，根据《关于促进残疾人就业政府采购政策的通知》（财库【</w:t>
            </w:r>
            <w:r>
              <w:rPr>
                <w:rFonts w:ascii="宋体" w:hAnsi="宋体" w:cs="宋体"/>
                <w:kern w:val="0"/>
                <w:sz w:val="24"/>
              </w:rPr>
              <w:t>2017</w:t>
            </w:r>
            <w:r>
              <w:rPr>
                <w:rFonts w:hint="eastAsia" w:ascii="宋体" w:hAnsi="宋体" w:cs="宋体"/>
                <w:kern w:val="0"/>
                <w:sz w:val="24"/>
              </w:rPr>
              <w:t>】</w:t>
            </w:r>
            <w:r>
              <w:rPr>
                <w:rFonts w:ascii="宋体" w:hAnsi="宋体" w:cs="宋体"/>
                <w:kern w:val="0"/>
                <w:sz w:val="24"/>
              </w:rPr>
              <w:t>141</w:t>
            </w:r>
            <w:r>
              <w:rPr>
                <w:rFonts w:hint="eastAsia" w:ascii="宋体" w:hAnsi="宋体" w:cs="宋体"/>
                <w:kern w:val="0"/>
                <w:sz w:val="24"/>
              </w:rPr>
              <w:t>号）的规定</w:t>
            </w:r>
            <w:r>
              <w:rPr>
                <w:rFonts w:ascii="宋体" w:cs="宋体"/>
                <w:kern w:val="0"/>
                <w:sz w:val="24"/>
              </w:rPr>
              <w:t>,</w:t>
            </w:r>
            <w:r>
              <w:rPr>
                <w:rFonts w:ascii="宋体" w:hAnsi="宋体" w:cs="宋体"/>
                <w:kern w:val="0"/>
                <w:sz w:val="24"/>
              </w:rPr>
              <w:t xml:space="preserve"> </w:t>
            </w:r>
            <w:r>
              <w:rPr>
                <w:rFonts w:hint="eastAsia" w:ascii="宋体" w:hAnsi="宋体" w:cs="宋体"/>
                <w:kern w:val="0"/>
                <w:sz w:val="24"/>
              </w:rPr>
              <w:t>提供残疾人福利性单位声明函，格式见附件11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snapToGrid w:val="0"/>
              <w:spacing w:line="340" w:lineRule="exact"/>
              <w:jc w:val="center"/>
              <w:rPr>
                <w:rFonts w:ascii="宋体" w:hAnsi="宋体" w:cs="宋体"/>
                <w:sz w:val="24"/>
              </w:rPr>
            </w:pPr>
            <w:r>
              <w:rPr>
                <w:rFonts w:hint="eastAsia" w:ascii="宋体" w:hAnsi="宋体" w:cs="宋体"/>
                <w:sz w:val="24"/>
              </w:rPr>
              <w:t>4</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省级以上监狱管理局、戒毒管理局（含新疆生产建设兵团）开具的属于监狱企业的证明文件</w:t>
            </w:r>
          </w:p>
        </w:tc>
        <w:tc>
          <w:tcPr>
            <w:tcW w:w="4728" w:type="dxa"/>
            <w:vAlign w:val="center"/>
          </w:tcPr>
          <w:p>
            <w:pPr>
              <w:widowControl/>
              <w:snapToGrid w:val="0"/>
              <w:spacing w:line="340" w:lineRule="exact"/>
              <w:rPr>
                <w:rFonts w:ascii="宋体" w:hAnsi="宋体" w:cs="宋体"/>
                <w:sz w:val="24"/>
              </w:rPr>
            </w:pPr>
            <w:r>
              <w:rPr>
                <w:rFonts w:hint="eastAsia" w:ascii="宋体" w:hAnsi="宋体" w:cs="宋体"/>
                <w:kern w:val="0"/>
                <w:sz w:val="24"/>
              </w:rPr>
              <w:t>投标人若参与监狱企业评审的，根据《财政部司法部关于政府采购支持监狱企业发展有关问题的通知》（财库【</w:t>
            </w:r>
            <w:r>
              <w:rPr>
                <w:rFonts w:ascii="宋体" w:hAnsi="宋体" w:cs="宋体"/>
                <w:kern w:val="0"/>
                <w:sz w:val="24"/>
              </w:rPr>
              <w:t>2014</w:t>
            </w:r>
            <w:r>
              <w:rPr>
                <w:rFonts w:hint="eastAsia" w:ascii="宋体" w:hAnsi="宋体" w:cs="宋体"/>
                <w:kern w:val="0"/>
                <w:sz w:val="24"/>
              </w:rPr>
              <w:t>】</w:t>
            </w:r>
            <w:r>
              <w:rPr>
                <w:rFonts w:ascii="宋体" w:hAnsi="宋体" w:cs="宋体"/>
                <w:kern w:val="0"/>
                <w:sz w:val="24"/>
              </w:rPr>
              <w:t>68</w:t>
            </w:r>
            <w:r>
              <w:rPr>
                <w:rFonts w:hint="eastAsia" w:ascii="宋体" w:hAnsi="宋体" w:cs="宋体"/>
                <w:kern w:val="0"/>
                <w:sz w:val="24"/>
              </w:rPr>
              <w:t>号）的规定</w:t>
            </w:r>
            <w:r>
              <w:rPr>
                <w:rFonts w:ascii="宋体" w:cs="宋体"/>
                <w:kern w:val="0"/>
                <w:sz w:val="24"/>
              </w:rPr>
              <w:t>,</w:t>
            </w:r>
            <w:r>
              <w:rPr>
                <w:rFonts w:hint="eastAsia" w:ascii="宋体" w:hAnsi="宋体" w:cs="宋体"/>
                <w:kern w:val="0"/>
                <w:sz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5</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投标人认为需要提供的其它文件和资料</w:t>
            </w:r>
          </w:p>
        </w:tc>
        <w:tc>
          <w:tcPr>
            <w:tcW w:w="4728" w:type="dxa"/>
            <w:vAlign w:val="center"/>
          </w:tcPr>
          <w:p>
            <w:pPr>
              <w:widowControl/>
              <w:snapToGrid w:val="0"/>
              <w:spacing w:line="340" w:lineRule="exact"/>
              <w:rPr>
                <w:rFonts w:ascii="宋体" w:hAnsi="宋体" w:cs="宋体"/>
                <w:kern w:val="0"/>
                <w:sz w:val="24"/>
              </w:rPr>
            </w:pPr>
            <w:r>
              <w:rPr>
                <w:rFonts w:hint="eastAsia" w:ascii="宋体" w:hAnsi="宋体" w:cs="宋体"/>
                <w:sz w:val="24"/>
              </w:rPr>
              <w:t>自行提供</w:t>
            </w:r>
          </w:p>
        </w:tc>
      </w:tr>
    </w:tbl>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r>
        <w:rPr>
          <w:rFonts w:hint="eastAsia" w:ascii="宋体" w:hAnsi="宋体"/>
          <w:b/>
          <w:sz w:val="28"/>
        </w:rPr>
        <w:t>附件8</w:t>
      </w:r>
    </w:p>
    <w:p>
      <w:pPr>
        <w:pStyle w:val="13"/>
        <w:spacing w:line="360" w:lineRule="exact"/>
        <w:jc w:val="center"/>
        <w:rPr>
          <w:rFonts w:hAnsi="宋体"/>
          <w:b/>
          <w:sz w:val="36"/>
          <w:szCs w:val="36"/>
        </w:rPr>
      </w:pPr>
    </w:p>
    <w:p>
      <w:pPr>
        <w:pStyle w:val="13"/>
        <w:spacing w:line="360" w:lineRule="exact"/>
        <w:jc w:val="center"/>
        <w:rPr>
          <w:rFonts w:hAnsi="宋体"/>
          <w:b/>
          <w:sz w:val="36"/>
          <w:szCs w:val="36"/>
        </w:rPr>
      </w:pPr>
      <w:r>
        <w:rPr>
          <w:rFonts w:hint="eastAsia" w:hAnsi="宋体"/>
          <w:b/>
          <w:sz w:val="36"/>
          <w:szCs w:val="36"/>
        </w:rPr>
        <w:t>开 标 一 览 表（标段一）</w:t>
      </w:r>
    </w:p>
    <w:p>
      <w:pPr>
        <w:spacing w:line="440" w:lineRule="exact"/>
        <w:jc w:val="right"/>
        <w:rPr>
          <w:rFonts w:ascii="宋体" w:hAnsi="宋体"/>
          <w:sz w:val="24"/>
        </w:rPr>
      </w:pPr>
    </w:p>
    <w:p>
      <w:pPr>
        <w:pStyle w:val="2"/>
      </w:pPr>
    </w:p>
    <w:p>
      <w:pPr>
        <w:snapToGrid w:val="0"/>
        <w:spacing w:beforeLines="50" w:after="50" w:line="360" w:lineRule="auto"/>
        <w:rPr>
          <w:rFonts w:ascii="宋体" w:hAnsi="宋体"/>
          <w:sz w:val="24"/>
          <w:u w:val="single"/>
        </w:rPr>
      </w:pPr>
      <w:r>
        <w:rPr>
          <w:rFonts w:hint="eastAsia" w:ascii="宋体" w:hAnsi="宋体"/>
          <w:bCs/>
          <w:sz w:val="24"/>
        </w:rPr>
        <w:t>项目：</w:t>
      </w:r>
      <w:r>
        <w:rPr>
          <w:rFonts w:hint="eastAsia" w:ascii="宋体" w:hAnsi="宋体"/>
          <w:bCs/>
          <w:sz w:val="24"/>
          <w:u w:val="single"/>
        </w:rPr>
        <w:t>（标段一）温岭市城乡居民基本医疗保险意外伤害住院医疗费用服务外包项目</w:t>
      </w:r>
    </w:p>
    <w:p>
      <w:pPr>
        <w:snapToGrid w:val="0"/>
        <w:spacing w:beforeLines="50" w:after="50" w:line="360" w:lineRule="auto"/>
        <w:rPr>
          <w:rFonts w:ascii="宋体" w:hAnsi="宋体"/>
          <w:sz w:val="24"/>
        </w:rPr>
      </w:pPr>
      <w:r>
        <w:rPr>
          <w:rFonts w:hint="eastAsia" w:ascii="宋体" w:hAnsi="宋体"/>
          <w:bCs/>
          <w:sz w:val="24"/>
        </w:rPr>
        <w:t xml:space="preserve">项目编号：WLCG-2022-38-GK                               </w:t>
      </w:r>
      <w:r>
        <w:rPr>
          <w:rFonts w:hint="eastAsia" w:ascii="宋体" w:hAnsi="宋体"/>
          <w:sz w:val="24"/>
        </w:rPr>
        <w:t>单位：人民币元</w:t>
      </w:r>
    </w:p>
    <w:tbl>
      <w:tblPr>
        <w:tblStyle w:val="22"/>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439"/>
        <w:gridCol w:w="1813"/>
        <w:gridCol w:w="1456"/>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902" w:type="dxa"/>
            <w:vAlign w:val="center"/>
          </w:tcPr>
          <w:p>
            <w:pPr>
              <w:pStyle w:val="13"/>
              <w:spacing w:before="120" w:after="120" w:line="420" w:lineRule="exact"/>
              <w:jc w:val="center"/>
              <w:rPr>
                <w:rFonts w:hAnsi="宋体"/>
                <w:b/>
                <w:sz w:val="24"/>
              </w:rPr>
            </w:pPr>
            <w:r>
              <w:rPr>
                <w:rFonts w:hint="eastAsia" w:hAnsi="宋体"/>
                <w:b/>
                <w:sz w:val="24"/>
              </w:rPr>
              <w:t>内容</w:t>
            </w:r>
          </w:p>
        </w:tc>
        <w:tc>
          <w:tcPr>
            <w:tcW w:w="1439" w:type="dxa"/>
            <w:vAlign w:val="center"/>
          </w:tcPr>
          <w:p>
            <w:pPr>
              <w:pStyle w:val="13"/>
              <w:spacing w:before="120" w:after="120" w:line="420" w:lineRule="exact"/>
              <w:jc w:val="center"/>
              <w:rPr>
                <w:rFonts w:hAnsi="宋体"/>
                <w:b/>
                <w:sz w:val="24"/>
              </w:rPr>
            </w:pPr>
            <w:r>
              <w:rPr>
                <w:rFonts w:hint="eastAsia" w:hAnsi="宋体"/>
                <w:b/>
                <w:sz w:val="24"/>
              </w:rPr>
              <w:t>投标单价上限</w:t>
            </w:r>
          </w:p>
        </w:tc>
        <w:tc>
          <w:tcPr>
            <w:tcW w:w="1813" w:type="dxa"/>
            <w:vAlign w:val="center"/>
          </w:tcPr>
          <w:p>
            <w:pPr>
              <w:pStyle w:val="13"/>
              <w:spacing w:before="120" w:after="120" w:line="420" w:lineRule="exact"/>
              <w:jc w:val="center"/>
              <w:rPr>
                <w:rFonts w:hAnsi="宋体"/>
                <w:b/>
                <w:sz w:val="24"/>
              </w:rPr>
            </w:pPr>
            <w:r>
              <w:rPr>
                <w:rFonts w:hint="eastAsia" w:hAnsi="宋体"/>
                <w:b/>
                <w:sz w:val="24"/>
              </w:rPr>
              <w:t>投标单价</w:t>
            </w:r>
          </w:p>
        </w:tc>
        <w:tc>
          <w:tcPr>
            <w:tcW w:w="1456" w:type="dxa"/>
            <w:vAlign w:val="center"/>
          </w:tcPr>
          <w:p>
            <w:pPr>
              <w:pStyle w:val="13"/>
              <w:spacing w:before="120" w:after="120" w:line="420" w:lineRule="exact"/>
              <w:jc w:val="center"/>
              <w:rPr>
                <w:rFonts w:hAnsi="宋体"/>
                <w:b/>
                <w:sz w:val="24"/>
              </w:rPr>
            </w:pPr>
            <w:r>
              <w:rPr>
                <w:rFonts w:hint="eastAsia" w:hAnsi="宋体"/>
                <w:b/>
                <w:sz w:val="24"/>
              </w:rPr>
              <w:t>人数（</w:t>
            </w:r>
            <w:r>
              <w:rPr>
                <w:rFonts w:hint="eastAsia" w:hAnsi="宋体"/>
                <w:sz w:val="24"/>
              </w:rPr>
              <w:t>暂定数，结算时按实结算）</w:t>
            </w:r>
          </w:p>
        </w:tc>
        <w:tc>
          <w:tcPr>
            <w:tcW w:w="2019" w:type="dxa"/>
            <w:vAlign w:val="center"/>
          </w:tcPr>
          <w:p>
            <w:pPr>
              <w:pStyle w:val="13"/>
              <w:spacing w:before="120" w:after="120" w:line="420" w:lineRule="exact"/>
              <w:jc w:val="center"/>
              <w:rPr>
                <w:rFonts w:hAnsi="宋体"/>
                <w:b/>
                <w:sz w:val="24"/>
              </w:rPr>
            </w:pPr>
            <w:r>
              <w:rPr>
                <w:rFonts w:hint="eastAsia" w:hAnsi="宋体"/>
                <w:b/>
                <w:sz w:val="24"/>
              </w:rPr>
              <w:t>一年合计总价（元）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902" w:type="dxa"/>
            <w:vAlign w:val="center"/>
          </w:tcPr>
          <w:p>
            <w:pPr>
              <w:spacing w:line="420" w:lineRule="exact"/>
              <w:jc w:val="center"/>
              <w:rPr>
                <w:rFonts w:ascii="宋体" w:hAnsi="宋体" w:cs="宋体"/>
                <w:sz w:val="24"/>
              </w:rPr>
            </w:pPr>
            <w:r>
              <w:rPr>
                <w:rFonts w:hint="eastAsia" w:ascii="宋体" w:hAnsi="宋体"/>
                <w:bCs/>
                <w:sz w:val="24"/>
              </w:rPr>
              <w:t>温岭市城乡居民基本医疗保险意外伤害住院医疗费用服务外包</w:t>
            </w:r>
            <w:r>
              <w:rPr>
                <w:rFonts w:hint="eastAsia" w:ascii="宋体" w:hAnsi="宋体" w:cs="宋体"/>
                <w:sz w:val="24"/>
              </w:rPr>
              <w:t>项目</w:t>
            </w:r>
          </w:p>
        </w:tc>
        <w:tc>
          <w:tcPr>
            <w:tcW w:w="1439" w:type="dxa"/>
            <w:vAlign w:val="center"/>
          </w:tcPr>
          <w:p>
            <w:pPr>
              <w:spacing w:line="420" w:lineRule="exact"/>
              <w:jc w:val="center"/>
              <w:rPr>
                <w:rFonts w:ascii="宋体" w:hAnsi="宋体" w:cs="宋体"/>
                <w:sz w:val="24"/>
              </w:rPr>
            </w:pPr>
            <w:r>
              <w:rPr>
                <w:rFonts w:hint="eastAsia" w:ascii="宋体" w:hAnsi="宋体" w:cs="宋体"/>
                <w:color w:val="000000"/>
                <w:sz w:val="24"/>
              </w:rPr>
              <w:t>保险费92.66元/人/年</w:t>
            </w:r>
          </w:p>
        </w:tc>
        <w:tc>
          <w:tcPr>
            <w:tcW w:w="1813" w:type="dxa"/>
            <w:vAlign w:val="center"/>
          </w:tcPr>
          <w:p>
            <w:pPr>
              <w:spacing w:line="420" w:lineRule="exact"/>
              <w:rPr>
                <w:rFonts w:ascii="宋体" w:hAnsi="宋体"/>
                <w:b/>
                <w:sz w:val="24"/>
              </w:rPr>
            </w:pPr>
            <w:r>
              <w:rPr>
                <w:rFonts w:hint="eastAsia" w:ascii="宋体" w:hAnsi="宋体" w:cs="宋体"/>
                <w:sz w:val="24"/>
                <w:u w:val="single"/>
              </w:rPr>
              <w:t xml:space="preserve">        </w:t>
            </w:r>
            <w:r>
              <w:rPr>
                <w:rFonts w:hint="eastAsia" w:ascii="宋体" w:hAnsi="宋体" w:cs="宋体"/>
                <w:sz w:val="24"/>
              </w:rPr>
              <w:t>元/人/年）</w:t>
            </w:r>
          </w:p>
        </w:tc>
        <w:tc>
          <w:tcPr>
            <w:tcW w:w="1456" w:type="dxa"/>
            <w:vAlign w:val="center"/>
          </w:tcPr>
          <w:p>
            <w:pPr>
              <w:pStyle w:val="13"/>
              <w:spacing w:before="120" w:after="120" w:line="420" w:lineRule="exact"/>
              <w:jc w:val="center"/>
              <w:rPr>
                <w:rFonts w:hAnsi="宋体"/>
                <w:b/>
                <w:sz w:val="24"/>
              </w:rPr>
            </w:pPr>
            <w:r>
              <w:rPr>
                <w:rFonts w:hint="eastAsia" w:hAnsi="宋体" w:cs="宋体"/>
                <w:color w:val="000000"/>
                <w:sz w:val="24"/>
              </w:rPr>
              <w:t>78.5万人</w:t>
            </w:r>
            <w:r>
              <w:rPr>
                <w:rFonts w:hint="eastAsia" w:hAnsi="宋体"/>
                <w:sz w:val="24"/>
              </w:rPr>
              <w:t>/年</w:t>
            </w:r>
          </w:p>
        </w:tc>
        <w:tc>
          <w:tcPr>
            <w:tcW w:w="2019" w:type="dxa"/>
            <w:vAlign w:val="center"/>
          </w:tcPr>
          <w:p>
            <w:pPr>
              <w:pStyle w:val="13"/>
              <w:spacing w:before="120" w:after="120" w:line="420" w:lineRule="exact"/>
              <w:jc w:val="center"/>
              <w:rPr>
                <w:rFonts w:hAnsi="宋体"/>
                <w:b/>
                <w:sz w:val="24"/>
              </w:rPr>
            </w:pPr>
          </w:p>
        </w:tc>
      </w:tr>
    </w:tbl>
    <w:p>
      <w:pPr>
        <w:pStyle w:val="13"/>
        <w:spacing w:line="420" w:lineRule="exact"/>
        <w:ind w:firstLine="480" w:firstLineChars="200"/>
        <w:rPr>
          <w:rFonts w:hAnsi="宋体"/>
          <w:sz w:val="24"/>
        </w:rPr>
      </w:pPr>
      <w:r>
        <w:rPr>
          <w:rFonts w:hint="eastAsia" w:hAnsi="宋体"/>
          <w:sz w:val="24"/>
        </w:rPr>
        <w:t>投标人全称：</w:t>
      </w:r>
      <w:r>
        <w:rPr>
          <w:rFonts w:hint="eastAsia" w:hAnsi="宋体"/>
          <w:sz w:val="24"/>
          <w:u w:val="single"/>
        </w:rPr>
        <w:t xml:space="preserve">                     </w:t>
      </w:r>
      <w:r>
        <w:rPr>
          <w:rFonts w:hint="eastAsia" w:hAnsi="宋体"/>
          <w:sz w:val="24"/>
        </w:rPr>
        <w:t>（公章）</w:t>
      </w:r>
    </w:p>
    <w:p>
      <w:pPr>
        <w:pStyle w:val="13"/>
        <w:spacing w:line="420" w:lineRule="exact"/>
        <w:ind w:firstLine="480" w:firstLineChars="200"/>
        <w:rPr>
          <w:rFonts w:hAnsi="宋体"/>
          <w:sz w:val="24"/>
          <w:u w:val="single"/>
        </w:rPr>
      </w:pPr>
      <w:r>
        <w:rPr>
          <w:rFonts w:hint="eastAsia" w:hAnsi="宋体"/>
          <w:sz w:val="24"/>
        </w:rPr>
        <w:t>授权代表签字：</w:t>
      </w:r>
      <w:r>
        <w:rPr>
          <w:rFonts w:hint="eastAsia" w:hAnsi="宋体"/>
          <w:sz w:val="24"/>
          <w:u w:val="single"/>
        </w:rPr>
        <w:t xml:space="preserve">                   </w:t>
      </w:r>
    </w:p>
    <w:p>
      <w:pPr>
        <w:pStyle w:val="13"/>
        <w:spacing w:line="420" w:lineRule="exact"/>
        <w:ind w:firstLine="480" w:firstLineChars="200"/>
        <w:rPr>
          <w:rFonts w:hAnsi="宋体"/>
          <w:sz w:val="24"/>
        </w:rPr>
      </w:pPr>
      <w:r>
        <w:rPr>
          <w:rFonts w:hint="eastAsia"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13"/>
        <w:spacing w:before="120" w:after="120" w:line="420" w:lineRule="exact"/>
        <w:ind w:right="980" w:firstLine="588" w:firstLineChars="245"/>
        <w:rPr>
          <w:rFonts w:hAnsi="宋体"/>
          <w:sz w:val="24"/>
          <w:u w:val="single"/>
        </w:rPr>
      </w:pPr>
    </w:p>
    <w:p>
      <w:pPr>
        <w:pStyle w:val="13"/>
        <w:spacing w:line="360" w:lineRule="exact"/>
        <w:jc w:val="center"/>
        <w:rPr>
          <w:rFonts w:hAnsi="宋体"/>
          <w:b/>
          <w:sz w:val="36"/>
          <w:szCs w:val="36"/>
        </w:rPr>
      </w:pPr>
    </w:p>
    <w:p>
      <w:pPr>
        <w:pStyle w:val="14"/>
        <w:ind w:left="5250"/>
      </w:pPr>
    </w:p>
    <w:p/>
    <w:p>
      <w:pPr>
        <w:pStyle w:val="2"/>
      </w:pPr>
    </w:p>
    <w:p/>
    <w:p>
      <w:pPr>
        <w:pStyle w:val="13"/>
        <w:spacing w:line="360" w:lineRule="exact"/>
        <w:jc w:val="center"/>
        <w:rPr>
          <w:rFonts w:hAnsi="宋体"/>
          <w:b/>
          <w:sz w:val="36"/>
          <w:szCs w:val="36"/>
        </w:rPr>
      </w:pPr>
    </w:p>
    <w:p>
      <w:pPr>
        <w:pStyle w:val="13"/>
        <w:spacing w:line="360" w:lineRule="exact"/>
        <w:jc w:val="center"/>
        <w:rPr>
          <w:rFonts w:hAnsi="宋体"/>
          <w:b/>
          <w:sz w:val="36"/>
          <w:szCs w:val="36"/>
        </w:rPr>
      </w:pPr>
    </w:p>
    <w:p>
      <w:pPr>
        <w:pStyle w:val="13"/>
        <w:spacing w:line="360" w:lineRule="exact"/>
        <w:jc w:val="center"/>
        <w:rPr>
          <w:rFonts w:hAnsi="宋体"/>
          <w:b/>
          <w:sz w:val="36"/>
          <w:szCs w:val="36"/>
        </w:rPr>
      </w:pPr>
    </w:p>
    <w:p>
      <w:pPr>
        <w:pStyle w:val="13"/>
        <w:spacing w:line="360" w:lineRule="exact"/>
        <w:jc w:val="center"/>
        <w:rPr>
          <w:rFonts w:hAnsi="宋体"/>
          <w:b/>
          <w:sz w:val="36"/>
          <w:szCs w:val="36"/>
        </w:rPr>
      </w:pPr>
    </w:p>
    <w:p>
      <w:pPr>
        <w:pStyle w:val="13"/>
        <w:spacing w:line="360" w:lineRule="exact"/>
        <w:jc w:val="center"/>
        <w:rPr>
          <w:rFonts w:hAnsi="宋体"/>
          <w:b/>
          <w:sz w:val="36"/>
          <w:szCs w:val="36"/>
        </w:rPr>
      </w:pPr>
    </w:p>
    <w:p>
      <w:pPr>
        <w:pStyle w:val="13"/>
        <w:spacing w:line="360" w:lineRule="exact"/>
        <w:jc w:val="center"/>
        <w:rPr>
          <w:rFonts w:hint="eastAsia" w:hAnsi="宋体"/>
          <w:b/>
          <w:sz w:val="36"/>
          <w:szCs w:val="36"/>
        </w:rPr>
      </w:pPr>
    </w:p>
    <w:p>
      <w:pPr>
        <w:pStyle w:val="13"/>
        <w:spacing w:line="360" w:lineRule="exact"/>
        <w:jc w:val="center"/>
        <w:rPr>
          <w:rFonts w:hint="eastAsia" w:hAnsi="宋体"/>
          <w:b/>
          <w:sz w:val="36"/>
          <w:szCs w:val="36"/>
        </w:rPr>
      </w:pPr>
    </w:p>
    <w:p>
      <w:pPr>
        <w:pStyle w:val="13"/>
        <w:spacing w:line="360" w:lineRule="exact"/>
        <w:jc w:val="center"/>
        <w:rPr>
          <w:rFonts w:hAnsi="宋体"/>
          <w:b/>
          <w:sz w:val="36"/>
          <w:szCs w:val="36"/>
        </w:rPr>
      </w:pPr>
      <w:r>
        <w:rPr>
          <w:rFonts w:hint="eastAsia" w:hAnsi="宋体"/>
          <w:b/>
          <w:sz w:val="36"/>
          <w:szCs w:val="36"/>
        </w:rPr>
        <w:t>开 标 一 览 表（标段二）</w:t>
      </w:r>
    </w:p>
    <w:p>
      <w:pPr>
        <w:spacing w:line="440" w:lineRule="exact"/>
        <w:jc w:val="right"/>
        <w:rPr>
          <w:rFonts w:ascii="宋体" w:hAnsi="宋体"/>
          <w:sz w:val="24"/>
        </w:rPr>
      </w:pPr>
    </w:p>
    <w:p>
      <w:pPr>
        <w:spacing w:line="440" w:lineRule="exact"/>
        <w:jc w:val="right"/>
        <w:rPr>
          <w:rFonts w:ascii="宋体" w:hAnsi="宋体"/>
          <w:sz w:val="24"/>
        </w:rPr>
      </w:pPr>
    </w:p>
    <w:p>
      <w:pPr>
        <w:snapToGrid w:val="0"/>
        <w:spacing w:beforeLines="50" w:after="50" w:line="360" w:lineRule="auto"/>
        <w:rPr>
          <w:rFonts w:ascii="宋体" w:hAnsi="宋体"/>
          <w:sz w:val="24"/>
          <w:u w:val="single"/>
        </w:rPr>
      </w:pPr>
      <w:r>
        <w:rPr>
          <w:rFonts w:hint="eastAsia" w:ascii="宋体" w:hAnsi="宋体"/>
          <w:bCs/>
          <w:sz w:val="24"/>
        </w:rPr>
        <w:t>项目：</w:t>
      </w:r>
      <w:r>
        <w:rPr>
          <w:rFonts w:hint="eastAsia" w:ascii="宋体" w:hAnsi="宋体"/>
          <w:bCs/>
          <w:sz w:val="24"/>
          <w:u w:val="single"/>
        </w:rPr>
        <w:t>（标段二）</w:t>
      </w:r>
      <w:r>
        <w:rPr>
          <w:rFonts w:hint="eastAsia" w:ascii="宋体" w:hAnsi="宋体" w:cs="宋体"/>
          <w:color w:val="000000"/>
          <w:sz w:val="24"/>
          <w:u w:val="single"/>
        </w:rPr>
        <w:t>温岭市职工基本医疗保险意外伤害住院医疗费用服务外包</w:t>
      </w:r>
      <w:r>
        <w:rPr>
          <w:rFonts w:hint="eastAsia" w:ascii="宋体" w:hAnsi="宋体" w:cs="宋体"/>
          <w:sz w:val="24"/>
          <w:u w:val="single"/>
        </w:rPr>
        <w:t>项目</w:t>
      </w:r>
    </w:p>
    <w:p>
      <w:pPr>
        <w:snapToGrid w:val="0"/>
        <w:spacing w:beforeLines="50" w:after="50" w:line="360" w:lineRule="auto"/>
        <w:rPr>
          <w:rFonts w:ascii="宋体" w:hAnsi="宋体"/>
          <w:sz w:val="24"/>
        </w:rPr>
      </w:pPr>
      <w:r>
        <w:rPr>
          <w:rFonts w:hint="eastAsia" w:ascii="宋体" w:hAnsi="宋体"/>
          <w:bCs/>
          <w:sz w:val="24"/>
        </w:rPr>
        <w:t xml:space="preserve">项目编号：WLCG-2022-38-GK                               </w:t>
      </w:r>
      <w:r>
        <w:rPr>
          <w:rFonts w:hint="eastAsia" w:ascii="宋体" w:hAnsi="宋体"/>
          <w:sz w:val="24"/>
        </w:rPr>
        <w:t>单位：人民币元</w:t>
      </w:r>
    </w:p>
    <w:tbl>
      <w:tblPr>
        <w:tblStyle w:val="2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484"/>
        <w:gridCol w:w="1870"/>
        <w:gridCol w:w="150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961" w:type="dxa"/>
            <w:vAlign w:val="center"/>
          </w:tcPr>
          <w:p>
            <w:pPr>
              <w:pStyle w:val="13"/>
              <w:spacing w:before="120" w:after="120" w:line="420" w:lineRule="exact"/>
              <w:jc w:val="center"/>
              <w:rPr>
                <w:rFonts w:hAnsi="宋体"/>
                <w:b/>
                <w:sz w:val="24"/>
              </w:rPr>
            </w:pPr>
            <w:r>
              <w:rPr>
                <w:rFonts w:hint="eastAsia" w:hAnsi="宋体"/>
                <w:b/>
                <w:sz w:val="24"/>
              </w:rPr>
              <w:t>内容</w:t>
            </w:r>
          </w:p>
        </w:tc>
        <w:tc>
          <w:tcPr>
            <w:tcW w:w="1484" w:type="dxa"/>
            <w:vAlign w:val="center"/>
          </w:tcPr>
          <w:p>
            <w:pPr>
              <w:pStyle w:val="13"/>
              <w:spacing w:before="120" w:after="120" w:line="420" w:lineRule="exact"/>
              <w:jc w:val="center"/>
              <w:rPr>
                <w:rFonts w:hAnsi="宋体"/>
                <w:b/>
                <w:sz w:val="24"/>
              </w:rPr>
            </w:pPr>
            <w:r>
              <w:rPr>
                <w:rFonts w:hint="eastAsia" w:hAnsi="宋体"/>
                <w:b/>
                <w:sz w:val="24"/>
              </w:rPr>
              <w:t>投标单价上限</w:t>
            </w:r>
          </w:p>
        </w:tc>
        <w:tc>
          <w:tcPr>
            <w:tcW w:w="1870" w:type="dxa"/>
            <w:vAlign w:val="center"/>
          </w:tcPr>
          <w:p>
            <w:pPr>
              <w:pStyle w:val="13"/>
              <w:spacing w:before="120" w:after="120" w:line="420" w:lineRule="exact"/>
              <w:jc w:val="center"/>
              <w:rPr>
                <w:rFonts w:hAnsi="宋体"/>
                <w:b/>
                <w:sz w:val="24"/>
              </w:rPr>
            </w:pPr>
            <w:r>
              <w:rPr>
                <w:rFonts w:hint="eastAsia" w:hAnsi="宋体"/>
                <w:b/>
                <w:sz w:val="24"/>
              </w:rPr>
              <w:t>投标单价</w:t>
            </w:r>
          </w:p>
        </w:tc>
        <w:tc>
          <w:tcPr>
            <w:tcW w:w="1501" w:type="dxa"/>
            <w:vAlign w:val="center"/>
          </w:tcPr>
          <w:p>
            <w:pPr>
              <w:pStyle w:val="13"/>
              <w:spacing w:before="120" w:after="120" w:line="420" w:lineRule="exact"/>
              <w:jc w:val="center"/>
              <w:rPr>
                <w:rFonts w:hAnsi="宋体"/>
                <w:b/>
                <w:sz w:val="24"/>
              </w:rPr>
            </w:pPr>
            <w:r>
              <w:rPr>
                <w:rFonts w:hint="eastAsia" w:hAnsi="宋体"/>
                <w:b/>
                <w:sz w:val="24"/>
              </w:rPr>
              <w:t>人数（</w:t>
            </w:r>
            <w:r>
              <w:rPr>
                <w:rFonts w:hint="eastAsia" w:hAnsi="宋体"/>
                <w:sz w:val="24"/>
              </w:rPr>
              <w:t>暂定数，结算时按实结算）</w:t>
            </w:r>
          </w:p>
        </w:tc>
        <w:tc>
          <w:tcPr>
            <w:tcW w:w="2083" w:type="dxa"/>
            <w:vAlign w:val="center"/>
          </w:tcPr>
          <w:p>
            <w:pPr>
              <w:pStyle w:val="13"/>
              <w:spacing w:before="120" w:after="120" w:line="420" w:lineRule="exact"/>
              <w:jc w:val="center"/>
              <w:rPr>
                <w:rFonts w:hAnsi="宋体"/>
                <w:b/>
                <w:sz w:val="24"/>
              </w:rPr>
            </w:pPr>
            <w:r>
              <w:rPr>
                <w:rFonts w:hint="eastAsia" w:hAnsi="宋体"/>
                <w:b/>
                <w:sz w:val="24"/>
              </w:rPr>
              <w:t>一年合计总价（元）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961" w:type="dxa"/>
            <w:vAlign w:val="center"/>
          </w:tcPr>
          <w:p>
            <w:pPr>
              <w:spacing w:line="420" w:lineRule="exact"/>
              <w:jc w:val="center"/>
              <w:rPr>
                <w:rFonts w:ascii="宋体" w:hAnsi="宋体" w:cs="宋体"/>
                <w:sz w:val="24"/>
              </w:rPr>
            </w:pPr>
            <w:r>
              <w:rPr>
                <w:rFonts w:hint="eastAsia" w:ascii="宋体" w:hAnsi="宋体" w:cs="宋体"/>
                <w:color w:val="000000"/>
                <w:sz w:val="24"/>
              </w:rPr>
              <w:t>温岭市职工基本医疗保险意外伤害住院医疗费用服务外包</w:t>
            </w:r>
            <w:r>
              <w:rPr>
                <w:rFonts w:hint="eastAsia" w:ascii="宋体" w:hAnsi="宋体" w:cs="宋体"/>
                <w:sz w:val="24"/>
              </w:rPr>
              <w:t>项目</w:t>
            </w:r>
          </w:p>
        </w:tc>
        <w:tc>
          <w:tcPr>
            <w:tcW w:w="1484" w:type="dxa"/>
            <w:vAlign w:val="center"/>
          </w:tcPr>
          <w:p>
            <w:pPr>
              <w:spacing w:line="420" w:lineRule="exact"/>
              <w:jc w:val="center"/>
              <w:rPr>
                <w:rFonts w:ascii="宋体" w:hAnsi="宋体" w:cs="宋体"/>
                <w:sz w:val="24"/>
              </w:rPr>
            </w:pPr>
            <w:r>
              <w:rPr>
                <w:rFonts w:hint="eastAsia" w:ascii="宋体" w:hAnsi="宋体" w:cs="宋体"/>
                <w:color w:val="000000"/>
                <w:sz w:val="24"/>
              </w:rPr>
              <w:t>保险费62.06元/人/年</w:t>
            </w:r>
          </w:p>
        </w:tc>
        <w:tc>
          <w:tcPr>
            <w:tcW w:w="1870" w:type="dxa"/>
            <w:vAlign w:val="center"/>
          </w:tcPr>
          <w:p>
            <w:pPr>
              <w:spacing w:line="420" w:lineRule="exact"/>
              <w:rPr>
                <w:rFonts w:ascii="宋体" w:hAnsi="宋体"/>
                <w:b/>
                <w:sz w:val="24"/>
              </w:rPr>
            </w:pPr>
            <w:r>
              <w:rPr>
                <w:rFonts w:hint="eastAsia" w:ascii="宋体" w:hAnsi="宋体" w:cs="宋体"/>
                <w:sz w:val="24"/>
                <w:u w:val="single"/>
              </w:rPr>
              <w:t xml:space="preserve">        </w:t>
            </w:r>
            <w:r>
              <w:rPr>
                <w:rFonts w:hint="eastAsia" w:ascii="宋体" w:hAnsi="宋体" w:cs="宋体"/>
                <w:sz w:val="24"/>
              </w:rPr>
              <w:t>元/人/年）</w:t>
            </w:r>
          </w:p>
        </w:tc>
        <w:tc>
          <w:tcPr>
            <w:tcW w:w="1501" w:type="dxa"/>
            <w:vAlign w:val="center"/>
          </w:tcPr>
          <w:p>
            <w:pPr>
              <w:pStyle w:val="13"/>
              <w:spacing w:before="120" w:after="120" w:line="420" w:lineRule="exact"/>
              <w:jc w:val="center"/>
              <w:rPr>
                <w:rFonts w:hAnsi="宋体"/>
                <w:b/>
                <w:sz w:val="24"/>
              </w:rPr>
            </w:pPr>
            <w:r>
              <w:rPr>
                <w:rFonts w:hint="eastAsia" w:hAnsi="宋体" w:cs="宋体"/>
                <w:color w:val="000000"/>
                <w:sz w:val="24"/>
              </w:rPr>
              <w:t>39.5万人</w:t>
            </w:r>
            <w:r>
              <w:rPr>
                <w:rFonts w:hint="eastAsia" w:hAnsi="宋体"/>
                <w:sz w:val="24"/>
              </w:rPr>
              <w:t>/年</w:t>
            </w:r>
          </w:p>
        </w:tc>
        <w:tc>
          <w:tcPr>
            <w:tcW w:w="2083" w:type="dxa"/>
            <w:vAlign w:val="center"/>
          </w:tcPr>
          <w:p>
            <w:pPr>
              <w:pStyle w:val="13"/>
              <w:spacing w:before="120" w:after="120" w:line="420" w:lineRule="exact"/>
              <w:jc w:val="center"/>
              <w:rPr>
                <w:rFonts w:hAnsi="宋体"/>
                <w:b/>
                <w:sz w:val="24"/>
              </w:rPr>
            </w:pPr>
          </w:p>
        </w:tc>
      </w:tr>
    </w:tbl>
    <w:p>
      <w:pPr>
        <w:pStyle w:val="13"/>
        <w:spacing w:line="420" w:lineRule="exact"/>
        <w:ind w:firstLine="480" w:firstLineChars="200"/>
        <w:rPr>
          <w:rFonts w:hAnsi="宋体"/>
          <w:sz w:val="24"/>
        </w:rPr>
      </w:pPr>
      <w:r>
        <w:rPr>
          <w:rFonts w:hint="eastAsia" w:hAnsi="宋体"/>
          <w:sz w:val="24"/>
        </w:rPr>
        <w:t>投标人全称：</w:t>
      </w:r>
      <w:r>
        <w:rPr>
          <w:rFonts w:hint="eastAsia" w:hAnsi="宋体"/>
          <w:sz w:val="24"/>
          <w:u w:val="single"/>
        </w:rPr>
        <w:t xml:space="preserve">                     </w:t>
      </w:r>
      <w:r>
        <w:rPr>
          <w:rFonts w:hint="eastAsia" w:hAnsi="宋体"/>
          <w:sz w:val="24"/>
        </w:rPr>
        <w:t>（公章）</w:t>
      </w:r>
    </w:p>
    <w:p>
      <w:pPr>
        <w:pStyle w:val="13"/>
        <w:spacing w:line="420" w:lineRule="exact"/>
        <w:ind w:firstLine="480" w:firstLineChars="200"/>
        <w:rPr>
          <w:rFonts w:hAnsi="宋体"/>
          <w:sz w:val="24"/>
          <w:u w:val="single"/>
        </w:rPr>
      </w:pPr>
      <w:r>
        <w:rPr>
          <w:rFonts w:hint="eastAsia" w:hAnsi="宋体"/>
          <w:sz w:val="24"/>
        </w:rPr>
        <w:t>授权代表签字：</w:t>
      </w:r>
      <w:r>
        <w:rPr>
          <w:rFonts w:hint="eastAsia" w:hAnsi="宋体"/>
          <w:sz w:val="24"/>
          <w:u w:val="single"/>
        </w:rPr>
        <w:t xml:space="preserve">                   </w:t>
      </w:r>
    </w:p>
    <w:p>
      <w:pPr>
        <w:pStyle w:val="13"/>
        <w:spacing w:line="420" w:lineRule="exact"/>
        <w:ind w:firstLine="480" w:firstLineChars="200"/>
        <w:rPr>
          <w:kern w:val="0"/>
          <w:sz w:val="24"/>
        </w:rPr>
      </w:pPr>
      <w:r>
        <w:rPr>
          <w:rFonts w:hint="eastAsia"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hd w:val="clear" w:color="auto" w:fill="FFFFFF"/>
        <w:snapToGrid w:val="0"/>
        <w:spacing w:line="380" w:lineRule="exact"/>
        <w:ind w:firstLine="720" w:firstLineChars="300"/>
        <w:rPr>
          <w:rFonts w:ascii="宋体" w:hAnsi="宋体" w:cs="宋体"/>
          <w:color w:val="000000"/>
          <w:sz w:val="24"/>
        </w:rPr>
      </w:pPr>
    </w:p>
    <w:p>
      <w:pPr>
        <w:shd w:val="clear" w:color="auto" w:fill="FFFFFF"/>
        <w:snapToGrid w:val="0"/>
        <w:spacing w:line="380" w:lineRule="exact"/>
        <w:ind w:firstLine="480" w:firstLineChars="200"/>
        <w:rPr>
          <w:rFonts w:ascii="宋体" w:hAnsi="宋体" w:cs="宋体"/>
          <w:color w:val="000000"/>
          <w:sz w:val="24"/>
        </w:rPr>
      </w:pPr>
    </w:p>
    <w:p>
      <w:pPr>
        <w:snapToGrid w:val="0"/>
        <w:spacing w:beforeLines="50" w:after="50" w:line="360" w:lineRule="auto"/>
        <w:rPr>
          <w:rFonts w:ascii="宋体" w:hAnsi="宋体"/>
          <w:b/>
          <w:sz w:val="28"/>
        </w:rPr>
      </w:pPr>
    </w:p>
    <w:p>
      <w:pPr>
        <w:snapToGrid w:val="0"/>
        <w:spacing w:beforeLines="50" w:after="50" w:line="360" w:lineRule="auto"/>
        <w:rPr>
          <w:rFonts w:hint="eastAsia" w:ascii="宋体" w:hAnsi="宋体"/>
          <w:b/>
          <w:sz w:val="28"/>
        </w:rPr>
      </w:pPr>
    </w:p>
    <w:p>
      <w:pPr>
        <w:pStyle w:val="2"/>
      </w:pPr>
    </w:p>
    <w:p>
      <w:pPr>
        <w:snapToGrid w:val="0"/>
        <w:spacing w:beforeLines="50" w:after="50" w:line="360" w:lineRule="auto"/>
        <w:rPr>
          <w:rFonts w:ascii="宋体" w:hAnsi="宋体"/>
          <w:b/>
          <w:sz w:val="28"/>
        </w:rPr>
      </w:pPr>
    </w:p>
    <w:p>
      <w:pPr>
        <w:pStyle w:val="2"/>
      </w:pPr>
    </w:p>
    <w:p/>
    <w:p>
      <w:pPr>
        <w:snapToGrid w:val="0"/>
        <w:spacing w:beforeLines="50" w:after="50" w:line="360" w:lineRule="auto"/>
        <w:rPr>
          <w:rFonts w:ascii="宋体" w:hAnsi="宋体"/>
          <w:b/>
          <w:sz w:val="28"/>
          <w:szCs w:val="28"/>
        </w:rPr>
      </w:pPr>
      <w:r>
        <w:rPr>
          <w:rFonts w:hint="eastAsia" w:ascii="宋体" w:hAnsi="宋体"/>
          <w:b/>
          <w:sz w:val="28"/>
        </w:rPr>
        <w:t>附件9</w:t>
      </w:r>
    </w:p>
    <w:p>
      <w:pPr>
        <w:pStyle w:val="43"/>
        <w:spacing w:line="360" w:lineRule="auto"/>
        <w:jc w:val="center"/>
        <w:rPr>
          <w:rFonts w:ascii="宋体" w:hAnsi="宋体"/>
          <w:b/>
          <w:sz w:val="32"/>
          <w:szCs w:val="32"/>
          <w:lang w:val="en-GB"/>
        </w:rPr>
      </w:pPr>
      <w:bookmarkStart w:id="76" w:name="_Toc2323"/>
      <w:bookmarkStart w:id="77" w:name="_Toc17646_WPSOffice_Level1"/>
      <w:bookmarkStart w:id="78" w:name="_Toc27483_WPSOffice_Level1"/>
      <w:r>
        <w:rPr>
          <w:rFonts w:hint="eastAsia" w:ascii="宋体" w:hAnsi="宋体"/>
          <w:b/>
          <w:sz w:val="32"/>
          <w:szCs w:val="32"/>
          <w:lang w:val="en-GB"/>
        </w:rPr>
        <w:t>中小企业声明函</w:t>
      </w:r>
    </w:p>
    <w:p>
      <w:pPr>
        <w:pStyle w:val="43"/>
        <w:spacing w:line="360" w:lineRule="auto"/>
        <w:jc w:val="center"/>
        <w:rPr>
          <w:rFonts w:ascii="宋体" w:hAnsi="宋体"/>
          <w:b/>
          <w:sz w:val="24"/>
          <w:lang w:val="en-GB"/>
        </w:rPr>
      </w:pPr>
    </w:p>
    <w:p>
      <w:pPr>
        <w:pStyle w:val="43"/>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r>
        <w:rPr>
          <w:rFonts w:hint="eastAsia"/>
          <w:color w:val="000000" w:themeColor="text1"/>
          <w:sz w:val="24"/>
          <w:u w:val="single"/>
        </w:rPr>
        <w:t xml:space="preserve"> </w:t>
      </w:r>
    </w:p>
    <w:p>
      <w:pPr>
        <w:pStyle w:val="43"/>
        <w:numPr>
          <w:ilvl w:val="0"/>
          <w:numId w:val="13"/>
        </w:numPr>
        <w:spacing w:line="360" w:lineRule="auto"/>
        <w:ind w:firstLine="482" w:firstLineChars="200"/>
        <w:rPr>
          <w:rFonts w:ascii="宋体" w:hAnsi="宋体"/>
          <w:sz w:val="24"/>
        </w:rPr>
      </w:pPr>
      <w:r>
        <w:rPr>
          <w:rFonts w:hint="eastAsia"/>
          <w:b/>
          <w:color w:val="000000" w:themeColor="text1"/>
          <w:sz w:val="24"/>
          <w:u w:val="single"/>
        </w:rPr>
        <w:t>温岭市</w:t>
      </w:r>
      <w:r>
        <w:rPr>
          <w:rFonts w:hint="eastAsia" w:cs="宋体"/>
          <w:b/>
          <w:sz w:val="24"/>
          <w:u w:val="single"/>
        </w:rPr>
        <w:t>基本医疗保险意外伤害住院医疗费用服务外包</w:t>
      </w:r>
      <w:r>
        <w:rPr>
          <w:rFonts w:hint="eastAsia"/>
          <w:b/>
          <w:color w:val="000000" w:themeColor="text1"/>
          <w:sz w:val="24"/>
          <w:u w:val="single"/>
        </w:rPr>
        <w:t xml:space="preserve"> </w:t>
      </w:r>
      <w:r>
        <w:rPr>
          <w:rFonts w:hint="eastAsia"/>
          <w:b/>
          <w:color w:val="000000" w:themeColor="text1"/>
          <w:sz w:val="24"/>
        </w:rPr>
        <w:t xml:space="preserve"> ，所属行业：</w:t>
      </w:r>
      <w:r>
        <w:rPr>
          <w:rFonts w:hint="eastAsia"/>
          <w:b/>
          <w:color w:val="000000" w:themeColor="text1"/>
          <w:sz w:val="24"/>
          <w:u w:val="single"/>
        </w:rPr>
        <w:t xml:space="preserve"> 其他未列明行业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3"/>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3"/>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3"/>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3"/>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3"/>
        <w:spacing w:line="360" w:lineRule="auto"/>
        <w:ind w:firstLine="480" w:firstLineChars="200"/>
        <w:rPr>
          <w:rFonts w:ascii="宋体" w:hAnsi="宋体" w:cs="Arial"/>
          <w:bCs/>
          <w:sz w:val="24"/>
        </w:rPr>
      </w:pPr>
    </w:p>
    <w:p>
      <w:pPr>
        <w:pStyle w:val="43"/>
        <w:spacing w:line="360" w:lineRule="auto"/>
        <w:rPr>
          <w:rFonts w:ascii="宋体" w:hAnsi="宋体"/>
          <w:sz w:val="24"/>
        </w:rPr>
      </w:pPr>
    </w:p>
    <w:p>
      <w:pPr>
        <w:pStyle w:val="43"/>
        <w:spacing w:line="360" w:lineRule="auto"/>
        <w:ind w:firstLine="4800" w:firstLineChars="2000"/>
        <w:rPr>
          <w:rFonts w:ascii="宋体" w:hAnsi="宋体"/>
          <w:sz w:val="24"/>
        </w:rPr>
      </w:pPr>
      <w:r>
        <w:rPr>
          <w:rFonts w:hint="eastAsia" w:ascii="宋体" w:hAnsi="宋体"/>
          <w:sz w:val="24"/>
        </w:rPr>
        <w:t xml:space="preserve">企业名称（盖章）：              </w:t>
      </w:r>
    </w:p>
    <w:p>
      <w:pPr>
        <w:pStyle w:val="43"/>
        <w:spacing w:line="360" w:lineRule="auto"/>
        <w:ind w:firstLine="4800" w:firstLineChars="2000"/>
        <w:rPr>
          <w:rFonts w:ascii="宋体" w:hAnsi="宋体"/>
          <w:sz w:val="24"/>
        </w:rPr>
      </w:pPr>
      <w:r>
        <w:rPr>
          <w:rFonts w:hint="eastAsia" w:ascii="宋体" w:hAnsi="宋体"/>
          <w:sz w:val="24"/>
        </w:rPr>
        <w:t>日 期：</w:t>
      </w:r>
    </w:p>
    <w:p>
      <w:pPr>
        <w:pStyle w:val="8"/>
        <w:rPr>
          <w:rFonts w:ascii="宋体" w:hAnsi="宋体" w:cs="宋体"/>
          <w:sz w:val="24"/>
          <w:szCs w:val="24"/>
        </w:rPr>
      </w:pPr>
    </w:p>
    <w:p>
      <w:pPr>
        <w:pStyle w:val="8"/>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snapToGrid w:val="0"/>
        <w:spacing w:beforeLines="50" w:after="50" w:line="360" w:lineRule="auto"/>
        <w:outlineLvl w:val="0"/>
      </w:pPr>
      <w:r>
        <w:rPr>
          <w:rFonts w:hint="eastAsia" w:ascii="宋体" w:hAnsi="宋体"/>
          <w:b/>
          <w:sz w:val="28"/>
        </w:rPr>
        <w:t>附件</w:t>
      </w:r>
      <w:bookmarkEnd w:id="76"/>
      <w:r>
        <w:rPr>
          <w:rFonts w:hint="eastAsia" w:ascii="宋体" w:hAnsi="宋体"/>
          <w:b/>
          <w:sz w:val="28"/>
        </w:rPr>
        <w:t>10</w:t>
      </w:r>
    </w:p>
    <w:tbl>
      <w:tblPr>
        <w:tblStyle w:val="22"/>
        <w:tblW w:w="10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59"/>
        <w:gridCol w:w="2163"/>
        <w:gridCol w:w="869"/>
        <w:gridCol w:w="4775"/>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vAlign w:val="center"/>
          </w:tcPr>
          <w:p>
            <w:pPr>
              <w:pStyle w:val="49"/>
              <w:spacing w:before="26"/>
              <w:ind w:left="3868" w:right="386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中小企业划型标准规定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vAlign w:val="center"/>
          </w:tcPr>
          <w:p>
            <w:pPr>
              <w:pStyle w:val="49"/>
              <w:spacing w:before="52"/>
              <w:ind w:left="3869" w:right="386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工信部联企业【2011】300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pStyle w:val="49"/>
              <w:spacing w:before="54"/>
              <w:ind w:left="59"/>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59" w:type="dxa"/>
            <w:tcBorders>
              <w:top w:val="single" w:color="auto" w:sz="4" w:space="0"/>
              <w:left w:val="single" w:color="auto" w:sz="4" w:space="0"/>
              <w:bottom w:val="single" w:color="auto" w:sz="4" w:space="0"/>
              <w:right w:val="single" w:color="auto" w:sz="4" w:space="0"/>
            </w:tcBorders>
            <w:vAlign w:val="center"/>
          </w:tcPr>
          <w:p>
            <w:pPr>
              <w:pStyle w:val="49"/>
              <w:spacing w:before="54"/>
              <w:ind w:left="229"/>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行业</w:t>
            </w:r>
          </w:p>
        </w:tc>
        <w:tc>
          <w:tcPr>
            <w:tcW w:w="2163" w:type="dxa"/>
            <w:tcBorders>
              <w:top w:val="single" w:color="auto" w:sz="4" w:space="0"/>
              <w:left w:val="single" w:color="auto" w:sz="4" w:space="0"/>
              <w:bottom w:val="single" w:color="auto" w:sz="4" w:space="0"/>
              <w:right w:val="single" w:color="auto" w:sz="4" w:space="0"/>
            </w:tcBorders>
            <w:vAlign w:val="center"/>
          </w:tcPr>
          <w:p>
            <w:pPr>
              <w:pStyle w:val="49"/>
              <w:spacing w:before="54"/>
              <w:ind w:left="859" w:right="85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原则</w:t>
            </w:r>
          </w:p>
        </w:tc>
        <w:tc>
          <w:tcPr>
            <w:tcW w:w="5644" w:type="dxa"/>
            <w:gridSpan w:val="2"/>
            <w:tcBorders>
              <w:top w:val="single" w:color="auto" w:sz="4" w:space="0"/>
              <w:left w:val="single" w:color="auto" w:sz="4" w:space="0"/>
              <w:bottom w:val="single" w:color="auto" w:sz="4" w:space="0"/>
              <w:right w:val="single" w:color="auto" w:sz="4" w:space="0"/>
            </w:tcBorders>
            <w:vAlign w:val="center"/>
          </w:tcPr>
          <w:p>
            <w:pPr>
              <w:pStyle w:val="49"/>
              <w:spacing w:before="54"/>
              <w:ind w:left="33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具体规定</w:t>
            </w:r>
          </w:p>
        </w:tc>
        <w:tc>
          <w:tcPr>
            <w:tcW w:w="1193" w:type="dxa"/>
            <w:tcBorders>
              <w:top w:val="single" w:color="auto" w:sz="4" w:space="0"/>
              <w:left w:val="single" w:color="auto" w:sz="4" w:space="0"/>
              <w:bottom w:val="single" w:color="auto" w:sz="4" w:space="0"/>
              <w:right w:val="single" w:color="auto" w:sz="4" w:space="0"/>
            </w:tcBorders>
            <w:vAlign w:val="center"/>
          </w:tcPr>
          <w:p>
            <w:pPr>
              <w:pStyle w:val="49"/>
              <w:spacing w:before="54"/>
              <w:ind w:left="59"/>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59" w:type="dxa"/>
            <w:vMerge w:val="restart"/>
            <w:tcBorders>
              <w:top w:val="single" w:color="auto" w:sz="4" w:space="0"/>
              <w:left w:val="single" w:color="auto" w:sz="4" w:space="0"/>
              <w:right w:val="single" w:color="auto" w:sz="4" w:space="0"/>
            </w:tcBorders>
            <w:vAlign w:val="center"/>
          </w:tcPr>
          <w:p>
            <w:pPr>
              <w:pStyle w:val="49"/>
              <w:spacing w:line="242" w:lineRule="auto"/>
              <w:ind w:right="-29"/>
              <w:jc w:val="center"/>
              <w:rPr>
                <w:rFonts w:asciiTheme="minorEastAsia" w:hAnsiTheme="minorEastAsia" w:eastAsiaTheme="minorEastAsia" w:cstheme="minorEastAsia"/>
                <w:szCs w:val="21"/>
              </w:rPr>
            </w:pPr>
            <w:r>
              <w:rPr>
                <w:spacing w:val="16"/>
                <w:sz w:val="20"/>
              </w:rPr>
              <w:t>农、林、</w:t>
            </w:r>
            <w:r>
              <w:rPr>
                <w:sz w:val="20"/>
              </w:rPr>
              <w:t>牧、渔业</w:t>
            </w:r>
          </w:p>
        </w:tc>
        <w:tc>
          <w:tcPr>
            <w:tcW w:w="2163" w:type="dxa"/>
            <w:vMerge w:val="restart"/>
            <w:tcBorders>
              <w:top w:val="single" w:color="auto" w:sz="4" w:space="0"/>
              <w:left w:val="single" w:color="auto" w:sz="4" w:space="0"/>
              <w:right w:val="single" w:color="auto" w:sz="4" w:space="0"/>
            </w:tcBorders>
            <w:vAlign w:val="center"/>
          </w:tcPr>
          <w:p>
            <w:pPr>
              <w:pStyle w:val="49"/>
              <w:spacing w:before="52"/>
              <w:jc w:val="left"/>
              <w:rPr>
                <w:sz w:val="20"/>
              </w:rPr>
            </w:pPr>
            <w:r>
              <w:rPr>
                <w:sz w:val="20"/>
              </w:rPr>
              <w:t>营业收入20000万元以下的为中小微型企业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0"/>
              </w:rPr>
              <w:t>营业收入</w:t>
            </w:r>
            <w:r>
              <w:rPr>
                <w:rFonts w:hint="eastAsia" w:asciiTheme="minorEastAsia" w:hAnsiTheme="minorEastAsia" w:eastAsiaTheme="minorEastAsia" w:cstheme="minorEastAsia"/>
                <w:position w:val="1"/>
                <w:sz w:val="20"/>
              </w:rPr>
              <w:t>500</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4"/>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4"/>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0"/>
              </w:rPr>
              <w:t>营业收入</w:t>
            </w:r>
            <w:r>
              <w:rPr>
                <w:rFonts w:hint="eastAsia" w:asciiTheme="minorEastAsia" w:hAnsiTheme="minorEastAsia" w:eastAsiaTheme="minorEastAsia" w:cstheme="minorEastAsia"/>
                <w:position w:val="1"/>
                <w:sz w:val="20"/>
              </w:rPr>
              <w:t>50</w:t>
            </w:r>
            <w:r>
              <w:rPr>
                <w:rFonts w:hint="eastAsia" w:asciiTheme="minorEastAsia" w:hAnsiTheme="minorEastAsia" w:eastAsiaTheme="minorEastAsia" w:cstheme="minorEastAsia"/>
                <w:sz w:val="20"/>
              </w:rPr>
              <w:t>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bottom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0"/>
              </w:rPr>
              <w:t>营业收入</w:t>
            </w:r>
            <w:r>
              <w:rPr>
                <w:rFonts w:hint="eastAsia" w:asciiTheme="minorEastAsia" w:hAnsiTheme="minorEastAsia" w:eastAsiaTheme="minorEastAsia" w:cstheme="minorEastAsia"/>
                <w:position w:val="1"/>
                <w:sz w:val="20"/>
              </w:rPr>
              <w:t>50</w:t>
            </w:r>
            <w:r>
              <w:rPr>
                <w:rFonts w:hint="eastAsia" w:asciiTheme="minorEastAsia" w:hAnsiTheme="minorEastAsia" w:eastAsiaTheme="minorEastAsia" w:cstheme="minorEastAsia"/>
                <w:sz w:val="20"/>
              </w:rPr>
              <w:t>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59" w:type="dxa"/>
            <w:vMerge w:val="restart"/>
            <w:tcBorders>
              <w:top w:val="single" w:color="auto" w:sz="4" w:space="0"/>
              <w:left w:val="single" w:color="auto" w:sz="4" w:space="0"/>
              <w:right w:val="single" w:color="auto" w:sz="4" w:space="0"/>
            </w:tcBorders>
            <w:vAlign w:val="center"/>
          </w:tcPr>
          <w:p>
            <w:pPr>
              <w:pStyle w:val="49"/>
              <w:spacing w:before="1"/>
              <w:jc w:val="center"/>
              <w:rPr>
                <w:rFonts w:asciiTheme="minorEastAsia" w:hAnsiTheme="minorEastAsia" w:eastAsiaTheme="minorEastAsia" w:cstheme="minorEastAsia"/>
                <w:szCs w:val="21"/>
              </w:rPr>
            </w:pPr>
            <w:r>
              <w:rPr>
                <w:sz w:val="20"/>
              </w:rPr>
              <w:t>工业</w:t>
            </w:r>
          </w:p>
        </w:tc>
        <w:tc>
          <w:tcPr>
            <w:tcW w:w="2163" w:type="dxa"/>
            <w:vMerge w:val="restart"/>
            <w:tcBorders>
              <w:top w:val="single" w:color="auto" w:sz="4" w:space="0"/>
              <w:left w:val="single" w:color="auto" w:sz="4" w:space="0"/>
              <w:right w:val="single" w:color="auto" w:sz="4" w:space="0"/>
            </w:tcBorders>
            <w:vAlign w:val="center"/>
          </w:tcPr>
          <w:p>
            <w:pPr>
              <w:pStyle w:val="49"/>
              <w:spacing w:before="52"/>
              <w:jc w:val="left"/>
              <w:rPr>
                <w:color w:val="FF0000"/>
                <w:sz w:val="20"/>
              </w:rPr>
            </w:pPr>
            <w:r>
              <w:rPr>
                <w:color w:val="000000" w:themeColor="text1"/>
                <w:sz w:val="20"/>
              </w:rPr>
              <w:t>从业人员1000人以下或营业收入40000万元以下的为中小微型企业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从业人员20人及以上且营业收入300万元及以上的</w:t>
            </w:r>
          </w:p>
        </w:tc>
        <w:tc>
          <w:tcPr>
            <w:tcW w:w="1193" w:type="dxa"/>
            <w:vMerge w:val="continue"/>
            <w:tcBorders>
              <w:left w:val="single" w:color="auto" w:sz="4" w:space="0"/>
              <w:right w:val="single" w:color="auto" w:sz="4" w:space="0"/>
            </w:tcBorders>
            <w:vAlign w:val="center"/>
          </w:tcPr>
          <w:p>
            <w:pPr>
              <w:pStyle w:val="49"/>
              <w:spacing w:before="52"/>
              <w:ind w:left="11"/>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从业人员20人以下或营业收入300万元以下的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59" w:type="dxa"/>
            <w:vMerge w:val="restart"/>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r>
              <w:rPr>
                <w:sz w:val="20"/>
              </w:rPr>
              <w:t>建筑业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营业收入80000万元以下或资产总额80000万元以下的为中小微型企业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营业收入6</w:t>
            </w:r>
            <w:r>
              <w:rPr>
                <w:rFonts w:hint="eastAsia"/>
                <w:sz w:val="20"/>
              </w:rPr>
              <w:t>千</w:t>
            </w:r>
            <w:r>
              <w:rPr>
                <w:rFonts w:hint="eastAsia" w:asciiTheme="minorEastAsia" w:hAnsiTheme="minorEastAsia" w:eastAsiaTheme="minorEastAsia" w:cstheme="minorEastAsia"/>
                <w:sz w:val="20"/>
              </w:rPr>
              <w:t>万元及以上且资产总额5</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营业收入</w:t>
            </w:r>
          </w:p>
          <w:p>
            <w:pPr>
              <w:pStyle w:val="49"/>
              <w:jc w:val="center"/>
              <w:rPr>
                <w:rFonts w:asciiTheme="minorEastAsia" w:hAnsiTheme="minorEastAsia" w:eastAsiaTheme="minorEastAsia" w:cstheme="minorEastAsia"/>
                <w:szCs w:val="21"/>
              </w:rPr>
            </w:pPr>
            <w:r>
              <w:rPr>
                <w:sz w:val="20"/>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营业收入300万元及以上且资产总额300万元及以上的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营业收入300万元以下或资产总额300万元以下的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59" w:type="dxa"/>
            <w:vMerge w:val="restart"/>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r>
              <w:rPr>
                <w:sz w:val="20"/>
              </w:rPr>
              <w:t>批发业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从业人员200人以下或营业收入40000万元以下的为中小微型企业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从业人员20人及以上，且营业收入5</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从业人员5人及以上且营业收入1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从业人员5人以下或营业收入1</w:t>
            </w:r>
            <w:r>
              <w:rPr>
                <w:rFonts w:hint="eastAsia"/>
                <w:sz w:val="20"/>
              </w:rPr>
              <w:t>千</w:t>
            </w:r>
            <w:r>
              <w:rPr>
                <w:rFonts w:hint="eastAsia" w:asciiTheme="minorEastAsia" w:hAnsiTheme="minorEastAsia" w:eastAsiaTheme="minorEastAsia" w:cstheme="minorEastAsia"/>
                <w:sz w:val="20"/>
              </w:rPr>
              <w:t>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59" w:type="dxa"/>
            <w:vMerge w:val="restart"/>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r>
              <w:rPr>
                <w:sz w:val="20"/>
              </w:rPr>
              <w:t>零售业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从业人员300人以下或营业收入20000万元以下的为中小微型企业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从业人员50人及以上且营业收入500万元及以上的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从业人员10人及以上且营业收入100万元及以上的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59" w:type="dxa"/>
            <w:vMerge w:val="restart"/>
            <w:tcBorders>
              <w:left w:val="single" w:color="auto" w:sz="4" w:space="0"/>
              <w:right w:val="single" w:color="auto" w:sz="4" w:space="0"/>
            </w:tcBorders>
            <w:vAlign w:val="center"/>
          </w:tcPr>
          <w:p>
            <w:pPr>
              <w:pStyle w:val="49"/>
              <w:spacing w:line="242" w:lineRule="auto"/>
              <w:ind w:right="-29"/>
              <w:jc w:val="center"/>
              <w:rPr>
                <w:rFonts w:asciiTheme="minorEastAsia" w:hAnsiTheme="minorEastAsia" w:eastAsiaTheme="minorEastAsia" w:cstheme="minorEastAsia"/>
                <w:szCs w:val="21"/>
              </w:rPr>
            </w:pPr>
            <w:r>
              <w:rPr>
                <w:spacing w:val="16"/>
                <w:sz w:val="20"/>
              </w:rPr>
              <w:t>交通运输</w:t>
            </w:r>
            <w:r>
              <w:rPr>
                <w:sz w:val="20"/>
              </w:rPr>
              <w:t>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从业人员1000人以下或营业收入30000万元以下的为中小微型企业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从业人员300人及以上且营业收 3</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从业人员20人及以上且营业收入200万元及以上的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从业人员20人以下或营业收入200万元以下的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859" w:type="dxa"/>
            <w:vMerge w:val="restart"/>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r>
              <w:rPr>
                <w:sz w:val="20"/>
              </w:rPr>
              <w:t>仓储业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从业人员200人以下或营业收入30000万元以下的为中小微型企业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20 人及以上且营业收入100万元及以上的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859" w:type="dxa"/>
            <w:vMerge w:val="restart"/>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r>
              <w:rPr>
                <w:sz w:val="20"/>
              </w:rPr>
              <w:t>邮政业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从业人员1000人以下或营业收入30000万元以下的为中小微型企业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从业人员300人及以上，且营业收入2</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从业人员20人及以上且营业收入100万元及以上的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859" w:type="dxa"/>
            <w:vMerge w:val="restart"/>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r>
              <w:rPr>
                <w:sz w:val="20"/>
              </w:rPr>
              <w:t>住宿业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从业人员300人以下或营业收入10000万元以下的为中小微型企业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从业人员100人及以上且营业收入2</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从业人员10人及以上且营业收入100万元及以上的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859" w:type="dxa"/>
            <w:vMerge w:val="restart"/>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r>
              <w:rPr>
                <w:sz w:val="20"/>
              </w:rPr>
              <w:t>餐饮业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从业人员300人以下或营业收入10000万元以下的为中小微型企业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从业人员100人及以上且营业收入2</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10 人及以上且营业收入100万元及以上的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859" w:type="dxa"/>
            <w:vMerge w:val="restart"/>
            <w:tcBorders>
              <w:left w:val="single" w:color="auto" w:sz="4" w:space="0"/>
              <w:right w:val="single" w:color="auto" w:sz="4" w:space="0"/>
            </w:tcBorders>
            <w:vAlign w:val="center"/>
          </w:tcPr>
          <w:p>
            <w:pPr>
              <w:pStyle w:val="49"/>
              <w:spacing w:line="242" w:lineRule="auto"/>
              <w:ind w:right="-29"/>
              <w:jc w:val="center"/>
              <w:rPr>
                <w:rFonts w:asciiTheme="minorEastAsia" w:hAnsiTheme="minorEastAsia" w:eastAsiaTheme="minorEastAsia" w:cstheme="minorEastAsia"/>
                <w:szCs w:val="21"/>
              </w:rPr>
            </w:pPr>
            <w:r>
              <w:rPr>
                <w:spacing w:val="16"/>
                <w:sz w:val="20"/>
              </w:rPr>
              <w:t>信息传输</w:t>
            </w:r>
            <w:r>
              <w:rPr>
                <w:sz w:val="20"/>
              </w:rPr>
              <w:t>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从业人员2000人以下或营业收入100000万元以下的为中小微型企业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从业人员10人及以上且营业收入100万元及以上的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859" w:type="dxa"/>
            <w:vMerge w:val="restart"/>
            <w:tcBorders>
              <w:left w:val="single" w:color="auto" w:sz="4" w:space="0"/>
              <w:right w:val="single" w:color="auto" w:sz="4" w:space="0"/>
            </w:tcBorders>
            <w:vAlign w:val="center"/>
          </w:tcPr>
          <w:p>
            <w:pPr>
              <w:pStyle w:val="49"/>
              <w:spacing w:before="52"/>
              <w:jc w:val="center"/>
              <w:rPr>
                <w:sz w:val="20"/>
              </w:rPr>
            </w:pPr>
            <w:r>
              <w:rPr>
                <w:sz w:val="20"/>
              </w:rPr>
              <w:t>软件和信息技术服务业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w:t>
            </w:r>
            <w:r>
              <w:rPr>
                <w:rFonts w:hint="eastAsia"/>
                <w:sz w:val="20"/>
              </w:rPr>
              <w:t>3</w:t>
            </w:r>
            <w:r>
              <w:rPr>
                <w:sz w:val="20"/>
              </w:rPr>
              <w:t>00人以下或</w:t>
            </w:r>
          </w:p>
          <w:p>
            <w:pPr>
              <w:pStyle w:val="49"/>
              <w:spacing w:before="52"/>
              <w:jc w:val="left"/>
              <w:rPr>
                <w:sz w:val="20"/>
              </w:rPr>
            </w:pPr>
            <w:r>
              <w:rPr>
                <w:sz w:val="20"/>
              </w:rPr>
              <w:t>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49"/>
              <w:spacing w:before="52"/>
              <w:jc w:val="center"/>
              <w:rPr>
                <w:sz w:val="20"/>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10 人及以上且营业收入50万元及以上的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49"/>
              <w:spacing w:before="52"/>
              <w:jc w:val="center"/>
              <w:rPr>
                <w:sz w:val="20"/>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10 人以下或营业收入 50 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859" w:type="dxa"/>
            <w:vMerge w:val="restart"/>
            <w:tcBorders>
              <w:left w:val="single" w:color="auto" w:sz="4" w:space="0"/>
              <w:right w:val="single" w:color="auto" w:sz="4" w:space="0"/>
            </w:tcBorders>
            <w:vAlign w:val="center"/>
          </w:tcPr>
          <w:p>
            <w:pPr>
              <w:pStyle w:val="49"/>
              <w:spacing w:before="52"/>
              <w:jc w:val="center"/>
              <w:rPr>
                <w:sz w:val="20"/>
              </w:rPr>
            </w:pPr>
            <w:r>
              <w:rPr>
                <w:sz w:val="20"/>
              </w:rPr>
              <w:t>房地产开发经营</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营业收入200000万元以下或资产总额10000万元以下的为中小微型企业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营业收入1</w:t>
            </w:r>
            <w:r>
              <w:rPr>
                <w:rFonts w:hint="eastAsia"/>
                <w:sz w:val="20"/>
              </w:rPr>
              <w:t>千</w:t>
            </w:r>
            <w:r>
              <w:rPr>
                <w:sz w:val="20"/>
              </w:rPr>
              <w:t>万元及以上且资产总额</w:t>
            </w:r>
            <w:r>
              <w:rPr>
                <w:rFonts w:hint="eastAsia"/>
                <w:sz w:val="20"/>
              </w:rPr>
              <w:t>5千</w:t>
            </w:r>
            <w:r>
              <w:rPr>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营业收入</w:t>
            </w:r>
          </w:p>
          <w:p>
            <w:pPr>
              <w:pStyle w:val="49"/>
              <w:jc w:val="center"/>
              <w:rPr>
                <w:rFonts w:asciiTheme="minorEastAsia" w:hAnsiTheme="minorEastAsia" w:eastAsiaTheme="minorEastAsia" w:cstheme="minorEastAsia"/>
                <w:szCs w:val="21"/>
              </w:rPr>
            </w:pPr>
            <w:r>
              <w:rPr>
                <w:sz w:val="20"/>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49"/>
              <w:spacing w:before="52"/>
              <w:jc w:val="center"/>
              <w:rPr>
                <w:sz w:val="20"/>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营业收入100万元及以上且资产总额2</w:t>
            </w:r>
            <w:r>
              <w:rPr>
                <w:rFonts w:hint="eastAsia"/>
                <w:sz w:val="20"/>
              </w:rPr>
              <w:t>千</w:t>
            </w:r>
            <w:r>
              <w:rPr>
                <w:sz w:val="20"/>
              </w:rPr>
              <w:t>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49"/>
              <w:spacing w:before="52"/>
              <w:jc w:val="center"/>
              <w:rPr>
                <w:sz w:val="20"/>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营业收入100万元以下或资产总额 2</w:t>
            </w:r>
            <w:r>
              <w:rPr>
                <w:rFonts w:hint="eastAsia"/>
                <w:sz w:val="20"/>
              </w:rPr>
              <w:t>千</w:t>
            </w:r>
            <w:r>
              <w:rPr>
                <w:sz w:val="20"/>
              </w:rPr>
              <w:t>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859" w:type="dxa"/>
            <w:vMerge w:val="restart"/>
            <w:tcBorders>
              <w:left w:val="single" w:color="auto" w:sz="4" w:space="0"/>
              <w:right w:val="single" w:color="auto" w:sz="4" w:space="0"/>
            </w:tcBorders>
            <w:vAlign w:val="center"/>
          </w:tcPr>
          <w:p>
            <w:pPr>
              <w:pStyle w:val="49"/>
              <w:spacing w:before="52"/>
              <w:jc w:val="center"/>
              <w:rPr>
                <w:sz w:val="20"/>
              </w:rPr>
            </w:pPr>
            <w:r>
              <w:rPr>
                <w:sz w:val="20"/>
              </w:rPr>
              <w:t>物业管理</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从业人员1000人以下或营业收入5000万元以下的为中小微型企业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从业人员30</w:t>
            </w:r>
            <w:r>
              <w:rPr>
                <w:rFonts w:hint="eastAsia"/>
                <w:sz w:val="20"/>
              </w:rPr>
              <w:t>0</w:t>
            </w:r>
            <w:r>
              <w:rPr>
                <w:sz w:val="20"/>
              </w:rPr>
              <w:t>人及以上且营业收入1</w:t>
            </w:r>
            <w:r>
              <w:rPr>
                <w:rFonts w:hint="eastAsia"/>
                <w:sz w:val="20"/>
              </w:rPr>
              <w:t>千</w:t>
            </w:r>
            <w:r>
              <w:rPr>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49"/>
              <w:spacing w:before="52"/>
              <w:jc w:val="center"/>
              <w:rPr>
                <w:sz w:val="20"/>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从业人员100人及以上且营业收入 500万元及以上的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49"/>
              <w:spacing w:before="52"/>
              <w:jc w:val="center"/>
              <w:rPr>
                <w:sz w:val="20"/>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从业人员100人以下或营业收入500万元以下的为微型企业</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859" w:type="dxa"/>
            <w:vMerge w:val="restart"/>
            <w:tcBorders>
              <w:left w:val="single" w:color="auto" w:sz="4" w:space="0"/>
              <w:right w:val="single" w:color="auto" w:sz="4" w:space="0"/>
            </w:tcBorders>
            <w:vAlign w:val="center"/>
          </w:tcPr>
          <w:p>
            <w:pPr>
              <w:pStyle w:val="49"/>
              <w:spacing w:before="52"/>
              <w:jc w:val="center"/>
              <w:rPr>
                <w:sz w:val="20"/>
              </w:rPr>
            </w:pPr>
            <w:r>
              <w:rPr>
                <w:sz w:val="20"/>
              </w:rPr>
              <w:t>租赁和商务服务业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从业人员300人以下或</w:t>
            </w:r>
          </w:p>
          <w:p>
            <w:pPr>
              <w:pStyle w:val="49"/>
              <w:spacing w:before="52"/>
              <w:jc w:val="left"/>
              <w:rPr>
                <w:sz w:val="20"/>
              </w:rPr>
            </w:pPr>
            <w:r>
              <w:rPr>
                <w:sz w:val="20"/>
              </w:rPr>
              <w:t>资产总额120000万元以下的为中小微型企业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从业人员100人及以上且资产总额8</w:t>
            </w:r>
            <w:r>
              <w:rPr>
                <w:rFonts w:hint="eastAsia"/>
                <w:sz w:val="20"/>
              </w:rPr>
              <w:t>千</w:t>
            </w:r>
            <w:r>
              <w:rPr>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sz w:val="20"/>
              </w:rPr>
            </w:pPr>
            <w:r>
              <w:rPr>
                <w:sz w:val="20"/>
              </w:rPr>
              <w:t>从业人员</w:t>
            </w:r>
          </w:p>
          <w:p>
            <w:pPr>
              <w:pStyle w:val="49"/>
              <w:jc w:val="center"/>
              <w:rPr>
                <w:rFonts w:asciiTheme="minorEastAsia" w:hAnsiTheme="minorEastAsia" w:eastAsiaTheme="minorEastAsia" w:cstheme="minorEastAsia"/>
                <w:szCs w:val="21"/>
              </w:rPr>
            </w:pPr>
            <w:r>
              <w:rPr>
                <w:sz w:val="20"/>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49"/>
              <w:spacing w:before="52"/>
              <w:jc w:val="center"/>
              <w:rPr>
                <w:sz w:val="20"/>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从业人员 10人及以上且资产总额 100万元及以上的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49"/>
              <w:spacing w:before="52"/>
              <w:jc w:val="center"/>
              <w:rPr>
                <w:sz w:val="20"/>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从业人员 10 人以下或资产总额 100 万元以下的</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859" w:type="dxa"/>
            <w:vMerge w:val="restart"/>
            <w:tcBorders>
              <w:left w:val="single" w:color="auto" w:sz="4" w:space="0"/>
              <w:right w:val="single" w:color="auto" w:sz="4" w:space="0"/>
            </w:tcBorders>
            <w:vAlign w:val="center"/>
          </w:tcPr>
          <w:p>
            <w:pPr>
              <w:pStyle w:val="49"/>
              <w:spacing w:before="52"/>
              <w:jc w:val="center"/>
              <w:rPr>
                <w:sz w:val="20"/>
              </w:rPr>
            </w:pPr>
            <w:r>
              <w:rPr>
                <w:sz w:val="20"/>
              </w:rPr>
              <w:t>其他未列明行业</w:t>
            </w:r>
          </w:p>
        </w:tc>
        <w:tc>
          <w:tcPr>
            <w:tcW w:w="2163" w:type="dxa"/>
            <w:vMerge w:val="restart"/>
            <w:tcBorders>
              <w:left w:val="single" w:color="auto" w:sz="4" w:space="0"/>
              <w:right w:val="single" w:color="auto" w:sz="4" w:space="0"/>
            </w:tcBorders>
            <w:vAlign w:val="center"/>
          </w:tcPr>
          <w:p>
            <w:pPr>
              <w:pStyle w:val="49"/>
              <w:spacing w:before="52"/>
              <w:jc w:val="left"/>
              <w:rPr>
                <w:sz w:val="20"/>
              </w:rPr>
            </w:pPr>
            <w:r>
              <w:rPr>
                <w:sz w:val="20"/>
              </w:rPr>
              <w:t>从业人员300人以下的为中小微型企业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从业人员 100 人及以上的</w:t>
            </w:r>
          </w:p>
        </w:tc>
        <w:tc>
          <w:tcPr>
            <w:tcW w:w="1193" w:type="dxa"/>
            <w:vMerge w:val="restart"/>
            <w:tcBorders>
              <w:top w:val="single" w:color="auto" w:sz="4" w:space="0"/>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r>
              <w:rPr>
                <w:sz w:val="20"/>
              </w:rPr>
              <w:t>从业人员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49"/>
              <w:spacing w:before="52"/>
              <w:jc w:val="left"/>
              <w:rPr>
                <w:sz w:val="20"/>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从业人员 10 人及以上的</w:t>
            </w:r>
          </w:p>
        </w:tc>
        <w:tc>
          <w:tcPr>
            <w:tcW w:w="1193" w:type="dxa"/>
            <w:vMerge w:val="continue"/>
            <w:tcBorders>
              <w:left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49"/>
              <w:spacing w:before="52"/>
              <w:jc w:val="left"/>
              <w:rPr>
                <w:sz w:val="20"/>
              </w:rPr>
            </w:pPr>
          </w:p>
        </w:tc>
        <w:tc>
          <w:tcPr>
            <w:tcW w:w="2163" w:type="dxa"/>
            <w:vMerge w:val="continue"/>
            <w:tcBorders>
              <w:left w:val="single" w:color="auto" w:sz="4" w:space="0"/>
              <w:right w:val="single" w:color="auto" w:sz="4" w:space="0"/>
            </w:tcBorders>
            <w:vAlign w:val="center"/>
          </w:tcPr>
          <w:p>
            <w:pPr>
              <w:pStyle w:val="49"/>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49"/>
              <w:spacing w:before="52"/>
              <w:jc w:val="left"/>
              <w:rPr>
                <w:sz w:val="20"/>
              </w:rPr>
            </w:pPr>
            <w:r>
              <w:rPr>
                <w:sz w:val="20"/>
              </w:rPr>
              <w:t>从业人员 10 人以下的为微型企业</w:t>
            </w:r>
          </w:p>
        </w:tc>
        <w:tc>
          <w:tcPr>
            <w:tcW w:w="1193" w:type="dxa"/>
            <w:vMerge w:val="continue"/>
            <w:tcBorders>
              <w:left w:val="single" w:color="auto" w:sz="4" w:space="0"/>
              <w:bottom w:val="single" w:color="auto" w:sz="4" w:space="0"/>
              <w:right w:val="single" w:color="auto" w:sz="4" w:space="0"/>
            </w:tcBorders>
            <w:vAlign w:val="center"/>
          </w:tcPr>
          <w:p>
            <w:pPr>
              <w:pStyle w:val="49"/>
              <w:jc w:val="center"/>
              <w:rPr>
                <w:rFonts w:asciiTheme="minorEastAsia" w:hAnsiTheme="minorEastAsia" w:eastAsiaTheme="minorEastAsia" w:cstheme="minorEastAsia"/>
                <w:szCs w:val="21"/>
              </w:rPr>
            </w:pPr>
          </w:p>
        </w:tc>
      </w:tr>
    </w:tbl>
    <w:p>
      <w:pPr>
        <w:spacing w:line="374" w:lineRule="exact"/>
        <w:jc w:val="left"/>
        <w:rPr>
          <w:rFonts w:ascii="微软雅黑" w:eastAsia="微软雅黑"/>
        </w:rPr>
      </w:pPr>
      <w:r>
        <w:rPr>
          <w:rFonts w:hint="eastAsia" w:ascii="微软雅黑" w:eastAsia="微软雅黑"/>
        </w:rPr>
        <w:t>该附件可供投标人参考。</w:t>
      </w:r>
    </w:p>
    <w:p>
      <w:pPr>
        <w:spacing w:line="374" w:lineRule="exact"/>
        <w:jc w:val="left"/>
        <w:rPr>
          <w:rFonts w:ascii="微软雅黑" w:eastAsia="微软雅黑"/>
        </w:rPr>
      </w:pPr>
      <w:r>
        <w:rPr>
          <w:rFonts w:hint="eastAsia" w:ascii="微软雅黑" w:eastAsia="微软雅黑"/>
        </w:rPr>
        <w:t>中小企业声明函填写说明：</w:t>
      </w:r>
    </w:p>
    <w:p>
      <w:pPr>
        <w:spacing w:line="374" w:lineRule="exact"/>
        <w:jc w:val="left"/>
        <w:rPr>
          <w:rFonts w:ascii="微软雅黑" w:eastAsia="微软雅黑"/>
        </w:rPr>
      </w:pPr>
      <w:r>
        <w:rPr>
          <w:rFonts w:hint="eastAsia" w:ascii="微软雅黑" w:eastAsia="微软雅黑"/>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line="374" w:lineRule="exact"/>
        <w:jc w:val="left"/>
        <w:rPr>
          <w:rFonts w:ascii="微软雅黑" w:eastAsia="微软雅黑"/>
        </w:rPr>
      </w:pPr>
      <w:r>
        <w:rPr>
          <w:rFonts w:hint="eastAsia" w:ascii="微软雅黑" w:eastAsia="微软雅黑"/>
        </w:rPr>
        <w:t>2、若投标产品来源于不同的制造商，应在《中小企业声明函》中逐项列明。</w:t>
      </w: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r>
        <w:rPr>
          <w:rFonts w:hint="eastAsia" w:ascii="宋体" w:hAnsi="宋体"/>
          <w:b/>
          <w:sz w:val="28"/>
        </w:rPr>
        <w:t>附件11</w:t>
      </w:r>
    </w:p>
    <w:p>
      <w:pPr>
        <w:pStyle w:val="13"/>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bookmarkEnd w:id="77"/>
      <w:bookmarkEnd w:id="78"/>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3"/>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43"/>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b/>
          <w:sz w:val="28"/>
        </w:rPr>
      </w:pPr>
      <w:r>
        <w:rPr>
          <w:rFonts w:hint="eastAsia" w:ascii="宋体" w:hAnsi="宋体"/>
          <w:b/>
          <w:sz w:val="28"/>
        </w:rPr>
        <w:t>附件12</w:t>
      </w:r>
    </w:p>
    <w:p>
      <w:pPr>
        <w:pStyle w:val="47"/>
        <w:widowControl w:val="0"/>
        <w:snapToGrid w:val="0"/>
        <w:spacing w:line="500" w:lineRule="exact"/>
        <w:jc w:val="center"/>
        <w:rPr>
          <w:rFonts w:hint="default"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6"/>
          <w:szCs w:val="36"/>
        </w:rPr>
        <w:t>政府采购活动现场确认声明书</w:t>
      </w:r>
    </w:p>
    <w:p>
      <w:pPr>
        <w:pStyle w:val="47"/>
        <w:widowControl w:val="0"/>
        <w:snapToGrid w:val="0"/>
        <w:spacing w:line="400" w:lineRule="exact"/>
        <w:jc w:val="both"/>
        <w:rPr>
          <w:rFonts w:hint="default" w:hAnsi="宋体" w:cs="宋体"/>
          <w:b/>
          <w:color w:val="000000" w:themeColor="text1"/>
          <w:sz w:val="24"/>
          <w:szCs w:val="24"/>
        </w:rPr>
      </w:pPr>
      <w:r>
        <w:rPr>
          <w:rFonts w:ascii="仿宋" w:hAnsi="仿宋"/>
          <w:color w:val="000000" w:themeColor="text1"/>
          <w:kern w:val="0"/>
          <w:sz w:val="28"/>
        </w:rPr>
        <w:t xml:space="preserve"> </w:t>
      </w:r>
      <w:r>
        <w:rPr>
          <w:rFonts w:hAnsi="宋体" w:cs="宋体"/>
          <w:color w:val="000000" w:themeColor="text1"/>
          <w:kern w:val="0"/>
          <w:sz w:val="24"/>
          <w:szCs w:val="24"/>
          <w:u w:val="single"/>
        </w:rPr>
        <w:t xml:space="preserve">温岭市政府采购中心 </w:t>
      </w:r>
      <w:r>
        <w:rPr>
          <w:rFonts w:hAnsi="宋体" w:cs="宋体"/>
          <w:color w:val="000000" w:themeColor="text1"/>
          <w:kern w:val="0"/>
          <w:sz w:val="24"/>
          <w:szCs w:val="24"/>
        </w:rPr>
        <w:t>（采购组织机构名称）：</w:t>
      </w:r>
    </w:p>
    <w:p>
      <w:pPr>
        <w:pStyle w:val="47"/>
        <w:widowControl w:val="0"/>
        <w:snapToGrid w:val="0"/>
        <w:spacing w:line="480" w:lineRule="exact"/>
        <w:ind w:firstLine="504" w:firstLineChars="200"/>
        <w:jc w:val="both"/>
        <w:rPr>
          <w:rFonts w:hint="default" w:hAnsi="宋体" w:cs="宋体"/>
          <w:color w:val="000000" w:themeColor="text1"/>
          <w:spacing w:val="6"/>
          <w:sz w:val="24"/>
          <w:szCs w:val="24"/>
        </w:rPr>
      </w:pPr>
      <w:r>
        <w:rPr>
          <w:rFonts w:hAnsi="宋体" w:cs="宋体"/>
          <w:color w:val="000000" w:themeColor="text1"/>
          <w:spacing w:val="6"/>
          <w:sz w:val="24"/>
          <w:szCs w:val="24"/>
        </w:rPr>
        <w:t>本人经由</w:t>
      </w:r>
      <w:r>
        <w:rPr>
          <w:rFonts w:hAnsi="宋体" w:cs="宋体"/>
          <w:color w:val="000000" w:themeColor="text1"/>
          <w:spacing w:val="6"/>
          <w:sz w:val="24"/>
          <w:szCs w:val="24"/>
          <w:u w:val="single"/>
        </w:rPr>
        <w:t xml:space="preserve">                           （单位）</w:t>
      </w:r>
      <w:r>
        <w:rPr>
          <w:rFonts w:hAnsi="宋体" w:cs="宋体"/>
          <w:color w:val="000000" w:themeColor="text1"/>
          <w:spacing w:val="6"/>
          <w:sz w:val="24"/>
          <w:szCs w:val="24"/>
        </w:rPr>
        <w:t>负责人</w:t>
      </w:r>
      <w:r>
        <w:rPr>
          <w:rFonts w:hAnsi="宋体" w:cs="宋体"/>
          <w:color w:val="000000" w:themeColor="text1"/>
          <w:spacing w:val="6"/>
          <w:sz w:val="24"/>
          <w:szCs w:val="24"/>
          <w:u w:val="single"/>
        </w:rPr>
        <w:t xml:space="preserve">            （姓名）</w:t>
      </w:r>
      <w:r>
        <w:rPr>
          <w:rFonts w:hAnsi="宋体" w:cs="宋体"/>
          <w:color w:val="000000" w:themeColor="text1"/>
          <w:spacing w:val="6"/>
          <w:sz w:val="24"/>
          <w:szCs w:val="24"/>
        </w:rPr>
        <w:t>合法授权参加</w:t>
      </w:r>
      <w:r>
        <w:rPr>
          <w:rFonts w:hAnsi="宋体" w:cs="宋体"/>
          <w:color w:val="000000" w:themeColor="text1"/>
          <w:spacing w:val="6"/>
          <w:sz w:val="24"/>
          <w:szCs w:val="24"/>
          <w:u w:val="single"/>
        </w:rPr>
        <w:t xml:space="preserve"> </w:t>
      </w:r>
      <w:r>
        <w:rPr>
          <w:rFonts w:hAnsi="宋体" w:cs="宋体"/>
          <w:color w:val="000000" w:themeColor="text1"/>
          <w:kern w:val="0"/>
          <w:sz w:val="24"/>
          <w:szCs w:val="24"/>
          <w:u w:val="single"/>
        </w:rPr>
        <w:t xml:space="preserve">                          </w:t>
      </w:r>
      <w:r>
        <w:rPr>
          <w:rFonts w:hAnsi="宋体" w:cs="宋体"/>
          <w:color w:val="000000" w:themeColor="text1"/>
          <w:spacing w:val="6"/>
          <w:sz w:val="24"/>
          <w:szCs w:val="24"/>
        </w:rPr>
        <w:t>项目（项目编号：</w:t>
      </w:r>
      <w:r>
        <w:rPr>
          <w:rFonts w:ascii="仿宋" w:hAnsi="仿宋"/>
          <w:color w:val="000000" w:themeColor="text1"/>
          <w:spacing w:val="6"/>
          <w:sz w:val="24"/>
          <w:szCs w:val="24"/>
          <w:u w:val="single"/>
        </w:rPr>
        <w:t xml:space="preserve">             </w:t>
      </w:r>
      <w:r>
        <w:rPr>
          <w:rFonts w:hAnsi="宋体" w:cs="宋体"/>
          <w:color w:val="000000" w:themeColor="text1"/>
          <w:spacing w:val="6"/>
          <w:sz w:val="24"/>
          <w:szCs w:val="24"/>
        </w:rPr>
        <w:t xml:space="preserve">）政府采购活动，经与本单位法人代表（负责人）联系确认，现就有关公平竞争事项郑重声明如下： </w:t>
      </w:r>
    </w:p>
    <w:p>
      <w:pPr>
        <w:pStyle w:val="48"/>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kern w:val="0"/>
          <w:sz w:val="24"/>
          <w:szCs w:val="24"/>
        </w:rPr>
        <w:t>一、本单位与采购人之间 □不存在利害关系 □存在下列利害关系</w:t>
      </w:r>
      <w:r>
        <w:rPr>
          <w:rFonts w:ascii="宋体" w:hAnsi="宋体" w:cs="宋体"/>
          <w:color w:val="000000" w:themeColor="text1"/>
          <w:kern w:val="0"/>
          <w:sz w:val="24"/>
          <w:szCs w:val="24"/>
          <w:u w:val="single"/>
        </w:rPr>
        <w:t xml:space="preserve">           </w:t>
      </w:r>
      <w:r>
        <w:rPr>
          <w:rFonts w:ascii="宋体" w:hAnsi="宋体" w:cs="宋体"/>
          <w:color w:val="000000" w:themeColor="text1"/>
          <w:kern w:val="0"/>
          <w:sz w:val="24"/>
          <w:szCs w:val="24"/>
        </w:rPr>
        <w:t>：</w:t>
      </w:r>
    </w:p>
    <w:p>
      <w:pPr>
        <w:pStyle w:val="48"/>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kern w:val="0"/>
          <w:sz w:val="24"/>
          <w:szCs w:val="24"/>
        </w:rPr>
        <w:t xml:space="preserve">  A.投资关系    B.行政隶属关系    C.业务指导关系</w:t>
      </w:r>
    </w:p>
    <w:p>
      <w:pPr>
        <w:pStyle w:val="48"/>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kern w:val="0"/>
          <w:sz w:val="24"/>
          <w:szCs w:val="24"/>
        </w:rPr>
        <w:t xml:space="preserve">  D.其他可能</w:t>
      </w:r>
      <w:r>
        <w:rPr>
          <w:rFonts w:ascii="宋体" w:hAnsi="宋体" w:cs="宋体"/>
          <w:color w:val="000000" w:themeColor="text1"/>
          <w:sz w:val="24"/>
          <w:szCs w:val="24"/>
        </w:rPr>
        <w:t>影响采购公正的</w:t>
      </w:r>
      <w:r>
        <w:rPr>
          <w:rFonts w:ascii="宋体" w:hAnsi="宋体" w:cs="宋体"/>
          <w:color w:val="000000" w:themeColor="text1"/>
          <w:kern w:val="0"/>
          <w:sz w:val="24"/>
          <w:szCs w:val="24"/>
        </w:rPr>
        <w:t>利害关系</w:t>
      </w:r>
      <w:r>
        <w:rPr>
          <w:rFonts w:ascii="宋体" w:hAnsi="宋体" w:cs="宋体"/>
          <w:color w:val="000000" w:themeColor="text1"/>
          <w:kern w:val="0"/>
          <w:sz w:val="24"/>
          <w:szCs w:val="24"/>
          <w:u w:val="single"/>
        </w:rPr>
        <w:t xml:space="preserve">（如有，请如实说明）                         </w:t>
      </w:r>
      <w:r>
        <w:rPr>
          <w:rFonts w:ascii="宋体" w:hAnsi="宋体" w:cs="宋体"/>
          <w:color w:val="000000" w:themeColor="text1"/>
          <w:kern w:val="0"/>
          <w:sz w:val="24"/>
          <w:szCs w:val="24"/>
        </w:rPr>
        <w:t>。</w:t>
      </w:r>
    </w:p>
    <w:p>
      <w:pPr>
        <w:pStyle w:val="48"/>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spacing w:val="6"/>
          <w:sz w:val="24"/>
          <w:szCs w:val="24"/>
        </w:rPr>
        <w:t>二、</w:t>
      </w:r>
      <w:r>
        <w:rPr>
          <w:rFonts w:ascii="宋体" w:hAnsi="宋体" w:cs="宋体"/>
          <w:color w:val="000000" w:themeColor="text1"/>
          <w:kern w:val="0"/>
          <w:sz w:val="24"/>
          <w:szCs w:val="24"/>
        </w:rPr>
        <w:t>现已清楚知道参加本项目采购活动的其他所有供应商名称，本单位 □与其他所有供应商之间均不存在利害关系 □与</w:t>
      </w:r>
      <w:r>
        <w:rPr>
          <w:rFonts w:ascii="宋体" w:hAnsi="宋体" w:cs="宋体"/>
          <w:color w:val="000000" w:themeColor="text1"/>
          <w:kern w:val="0"/>
          <w:sz w:val="24"/>
          <w:szCs w:val="24"/>
          <w:u w:val="single"/>
        </w:rPr>
        <w:t xml:space="preserve">           （供应商名称）</w:t>
      </w:r>
      <w:r>
        <w:rPr>
          <w:rFonts w:ascii="宋体" w:hAnsi="宋体" w:cs="宋体"/>
          <w:color w:val="000000" w:themeColor="text1"/>
          <w:kern w:val="0"/>
          <w:sz w:val="24"/>
          <w:szCs w:val="24"/>
        </w:rPr>
        <w:t>之间存在下列利害关系</w:t>
      </w:r>
      <w:r>
        <w:rPr>
          <w:rFonts w:ascii="宋体" w:hAnsi="宋体" w:cs="宋体"/>
          <w:color w:val="000000" w:themeColor="text1"/>
          <w:kern w:val="0"/>
          <w:sz w:val="24"/>
          <w:szCs w:val="24"/>
          <w:u w:val="single"/>
        </w:rPr>
        <w:t xml:space="preserve">          </w:t>
      </w:r>
      <w:r>
        <w:rPr>
          <w:rFonts w:ascii="宋体" w:hAnsi="宋体" w:cs="宋体"/>
          <w:color w:val="000000" w:themeColor="text1"/>
          <w:kern w:val="0"/>
          <w:sz w:val="24"/>
          <w:szCs w:val="24"/>
        </w:rPr>
        <w:t>：</w:t>
      </w:r>
    </w:p>
    <w:p>
      <w:pPr>
        <w:pStyle w:val="47"/>
        <w:widowControl w:val="0"/>
        <w:snapToGrid w:val="0"/>
        <w:spacing w:line="480" w:lineRule="exact"/>
        <w:jc w:val="both"/>
        <w:rPr>
          <w:rFonts w:hint="default" w:hAnsi="宋体" w:cs="宋体"/>
          <w:color w:val="000000" w:themeColor="text1"/>
          <w:kern w:val="0"/>
          <w:sz w:val="24"/>
          <w:szCs w:val="24"/>
        </w:rPr>
      </w:pPr>
      <w:r>
        <w:rPr>
          <w:rFonts w:hAnsi="宋体" w:cs="宋体"/>
          <w:color w:val="000000" w:themeColor="text1"/>
          <w:kern w:val="0"/>
          <w:sz w:val="24"/>
          <w:szCs w:val="24"/>
        </w:rPr>
        <w:t xml:space="preserve">  A.法定代表人或负责人或实际控制人是同一人</w:t>
      </w:r>
    </w:p>
    <w:p>
      <w:pPr>
        <w:pStyle w:val="47"/>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kern w:val="0"/>
          <w:sz w:val="24"/>
          <w:szCs w:val="24"/>
        </w:rPr>
        <w:t xml:space="preserve">  B.法定代表人或负责人或实际控制人是夫妻关系</w:t>
      </w:r>
    </w:p>
    <w:p>
      <w:pPr>
        <w:pStyle w:val="47"/>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kern w:val="0"/>
          <w:sz w:val="24"/>
          <w:szCs w:val="24"/>
        </w:rPr>
        <w:t xml:space="preserve">  C.法定代表人或负责人或实际控制人是直系血亲关系</w:t>
      </w:r>
    </w:p>
    <w:p>
      <w:pPr>
        <w:pStyle w:val="47"/>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kern w:val="0"/>
          <w:sz w:val="24"/>
          <w:szCs w:val="24"/>
        </w:rPr>
        <w:t xml:space="preserve">  D.法定代表人或负责人或实际控制人存在三代以内旁系血亲关系</w:t>
      </w:r>
    </w:p>
    <w:p>
      <w:pPr>
        <w:pStyle w:val="47"/>
        <w:widowControl w:val="0"/>
        <w:snapToGrid w:val="0"/>
        <w:spacing w:line="480" w:lineRule="exact"/>
        <w:jc w:val="both"/>
        <w:rPr>
          <w:rFonts w:hint="default" w:hAnsi="宋体" w:cs="宋体"/>
          <w:color w:val="000000" w:themeColor="text1"/>
          <w:kern w:val="0"/>
          <w:sz w:val="24"/>
          <w:szCs w:val="24"/>
        </w:rPr>
      </w:pPr>
      <w:r>
        <w:rPr>
          <w:rFonts w:hAnsi="宋体" w:cs="宋体"/>
          <w:color w:val="000000" w:themeColor="text1"/>
          <w:kern w:val="0"/>
          <w:sz w:val="24"/>
          <w:szCs w:val="24"/>
        </w:rPr>
        <w:t xml:space="preserve">  E.法定代表人或负责人或实际控制人存在近姻亲关系</w:t>
      </w:r>
    </w:p>
    <w:p>
      <w:pPr>
        <w:pStyle w:val="47"/>
        <w:widowControl w:val="0"/>
        <w:snapToGrid w:val="0"/>
        <w:spacing w:line="480" w:lineRule="exact"/>
        <w:jc w:val="both"/>
        <w:rPr>
          <w:rFonts w:hint="default" w:hAnsi="宋体" w:cs="宋体"/>
          <w:color w:val="000000" w:themeColor="text1"/>
          <w:kern w:val="0"/>
          <w:sz w:val="24"/>
          <w:szCs w:val="24"/>
        </w:rPr>
      </w:pPr>
      <w:r>
        <w:rPr>
          <w:rFonts w:hAnsi="宋体" w:cs="宋体"/>
          <w:color w:val="000000" w:themeColor="text1"/>
          <w:kern w:val="0"/>
          <w:sz w:val="24"/>
          <w:szCs w:val="24"/>
        </w:rPr>
        <w:t xml:space="preserve">  F.法定代表人或负责人或实际控制人存在股份控制或实际控制关系</w:t>
      </w:r>
    </w:p>
    <w:p>
      <w:pPr>
        <w:pStyle w:val="47"/>
        <w:widowControl w:val="0"/>
        <w:snapToGrid w:val="0"/>
        <w:spacing w:line="480" w:lineRule="exact"/>
        <w:jc w:val="both"/>
        <w:outlineLvl w:val="0"/>
        <w:rPr>
          <w:rFonts w:hint="default" w:hAnsi="宋体" w:cs="宋体"/>
          <w:color w:val="000000" w:themeColor="text1"/>
          <w:kern w:val="0"/>
          <w:sz w:val="24"/>
          <w:szCs w:val="24"/>
        </w:rPr>
      </w:pPr>
      <w:r>
        <w:rPr>
          <w:rFonts w:hAnsi="宋体" w:cs="宋体"/>
          <w:color w:val="000000" w:themeColor="text1"/>
          <w:kern w:val="0"/>
          <w:sz w:val="24"/>
          <w:szCs w:val="24"/>
        </w:rPr>
        <w:t xml:space="preserve">  </w:t>
      </w:r>
      <w:bookmarkStart w:id="79" w:name="_Toc86150075"/>
      <w:bookmarkStart w:id="80" w:name="_Toc86150016"/>
      <w:r>
        <w:rPr>
          <w:rFonts w:hAnsi="宋体" w:cs="宋体"/>
          <w:color w:val="000000" w:themeColor="text1"/>
          <w:kern w:val="0"/>
          <w:sz w:val="24"/>
          <w:szCs w:val="24"/>
        </w:rPr>
        <w:t>G.存在共同直接或间接投资设立子公司、联营企业和合营企业情况</w:t>
      </w:r>
      <w:bookmarkEnd w:id="79"/>
      <w:bookmarkEnd w:id="80"/>
    </w:p>
    <w:p>
      <w:pPr>
        <w:pStyle w:val="47"/>
        <w:widowControl w:val="0"/>
        <w:snapToGrid w:val="0"/>
        <w:spacing w:line="480" w:lineRule="exact"/>
        <w:jc w:val="both"/>
        <w:rPr>
          <w:rFonts w:hint="default" w:hAnsi="宋体" w:cs="宋体"/>
          <w:color w:val="000000" w:themeColor="text1"/>
          <w:sz w:val="24"/>
          <w:szCs w:val="24"/>
        </w:rPr>
      </w:pPr>
      <w:r>
        <w:rPr>
          <w:rFonts w:hAnsi="宋体" w:cs="宋体"/>
          <w:color w:val="000000" w:themeColor="text1"/>
          <w:kern w:val="0"/>
          <w:sz w:val="24"/>
          <w:szCs w:val="24"/>
        </w:rPr>
        <w:t xml:space="preserve">  H.存在分级代理或代销关系、同一生产制造商关系、</w:t>
      </w:r>
      <w:r>
        <w:rPr>
          <w:rFonts w:hAnsi="宋体" w:cs="宋体"/>
          <w:color w:val="000000" w:themeColor="text1"/>
          <w:sz w:val="24"/>
          <w:szCs w:val="24"/>
        </w:rPr>
        <w:t>管理关系、重要业务（占主营业务收入50%以上）或重要财务往来关系（如融资）等其他实质性控制关系</w:t>
      </w:r>
    </w:p>
    <w:p>
      <w:pPr>
        <w:pStyle w:val="47"/>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sz w:val="24"/>
          <w:szCs w:val="24"/>
        </w:rPr>
        <w:t xml:space="preserve">  I</w:t>
      </w:r>
      <w:r>
        <w:rPr>
          <w:rFonts w:hAnsi="宋体" w:cs="宋体"/>
          <w:color w:val="000000" w:themeColor="text1"/>
          <w:kern w:val="0"/>
          <w:sz w:val="24"/>
          <w:szCs w:val="24"/>
        </w:rPr>
        <w:t>.</w:t>
      </w:r>
      <w:r>
        <w:rPr>
          <w:rFonts w:hAnsi="宋体" w:cs="宋体"/>
          <w:color w:val="000000" w:themeColor="text1"/>
          <w:sz w:val="24"/>
          <w:szCs w:val="24"/>
        </w:rPr>
        <w:t>其他利害关系情况</w:t>
      </w:r>
      <w:r>
        <w:rPr>
          <w:rFonts w:hAnsi="宋体" w:cs="宋体"/>
          <w:color w:val="000000" w:themeColor="text1"/>
          <w:sz w:val="24"/>
          <w:szCs w:val="24"/>
          <w:u w:val="single"/>
        </w:rPr>
        <w:t xml:space="preserve">                        </w:t>
      </w:r>
      <w:r>
        <w:rPr>
          <w:rFonts w:hAnsi="宋体" w:cs="宋体"/>
          <w:color w:val="000000" w:themeColor="text1"/>
          <w:kern w:val="0"/>
          <w:sz w:val="24"/>
          <w:szCs w:val="24"/>
        </w:rPr>
        <w:t>。</w:t>
      </w:r>
    </w:p>
    <w:p>
      <w:pPr>
        <w:pStyle w:val="48"/>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sz w:val="24"/>
          <w:szCs w:val="24"/>
        </w:rPr>
        <w:t>三、现已清楚知道并</w:t>
      </w:r>
      <w:r>
        <w:rPr>
          <w:rFonts w:ascii="宋体" w:hAnsi="宋体" w:cs="宋体"/>
          <w:color w:val="000000" w:themeColor="text1"/>
          <w:kern w:val="0"/>
          <w:sz w:val="24"/>
          <w:szCs w:val="24"/>
        </w:rPr>
        <w:t>严格遵守政府采购法律法规和现场纪律。</w:t>
      </w:r>
    </w:p>
    <w:p>
      <w:pPr>
        <w:pStyle w:val="48"/>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sz w:val="24"/>
          <w:szCs w:val="24"/>
        </w:rPr>
        <w:t>四、</w:t>
      </w:r>
      <w:r>
        <w:rPr>
          <w:rFonts w:ascii="宋体" w:hAnsi="宋体" w:cs="宋体"/>
          <w:color w:val="000000" w:themeColor="text1"/>
          <w:kern w:val="0"/>
          <w:sz w:val="24"/>
          <w:szCs w:val="24"/>
        </w:rPr>
        <w:t>我发现</w:t>
      </w:r>
      <w:r>
        <w:rPr>
          <w:rFonts w:ascii="宋体" w:hAnsi="宋体" w:cs="宋体"/>
          <w:color w:val="000000" w:themeColor="text1"/>
          <w:kern w:val="0"/>
          <w:sz w:val="24"/>
          <w:szCs w:val="24"/>
          <w:u w:val="single"/>
        </w:rPr>
        <w:t xml:space="preserve">               </w:t>
      </w:r>
      <w:r>
        <w:rPr>
          <w:rFonts w:ascii="宋体" w:hAnsi="宋体" w:cs="宋体"/>
          <w:color w:val="000000" w:themeColor="text1"/>
          <w:kern w:val="0"/>
          <w:sz w:val="24"/>
          <w:szCs w:val="24"/>
        </w:rPr>
        <w:t>供应商之间存在或可能存在上述第二条第</w:t>
      </w:r>
      <w:r>
        <w:rPr>
          <w:rFonts w:ascii="宋体" w:hAnsi="宋体" w:cs="宋体"/>
          <w:color w:val="000000" w:themeColor="text1"/>
          <w:kern w:val="0"/>
          <w:sz w:val="24"/>
          <w:szCs w:val="24"/>
          <w:u w:val="single"/>
        </w:rPr>
        <w:t xml:space="preserve">        </w:t>
      </w:r>
      <w:r>
        <w:rPr>
          <w:rFonts w:ascii="宋体" w:hAnsi="宋体" w:cs="宋体"/>
          <w:color w:val="000000" w:themeColor="text1"/>
          <w:kern w:val="0"/>
          <w:sz w:val="24"/>
          <w:szCs w:val="24"/>
        </w:rPr>
        <w:t>项利害关系。</w:t>
      </w:r>
    </w:p>
    <w:p>
      <w:pPr>
        <w:pStyle w:val="47"/>
        <w:widowControl w:val="0"/>
        <w:snapToGrid w:val="0"/>
        <w:spacing w:line="480" w:lineRule="auto"/>
        <w:ind w:firstLine="480" w:firstLineChars="200"/>
        <w:jc w:val="both"/>
        <w:rPr>
          <w:rFonts w:hint="default" w:hAnsi="宋体" w:cs="宋体"/>
          <w:color w:val="000000" w:themeColor="text1"/>
          <w:sz w:val="24"/>
          <w:szCs w:val="24"/>
        </w:rPr>
      </w:pPr>
      <w:r>
        <w:rPr>
          <w:rFonts w:hAnsi="宋体" w:cs="宋体"/>
          <w:color w:val="000000" w:themeColor="text1"/>
          <w:sz w:val="24"/>
          <w:szCs w:val="24"/>
        </w:rPr>
        <w:t xml:space="preserve">                            （供应商代表签名）：</w:t>
      </w:r>
    </w:p>
    <w:p>
      <w:pPr>
        <w:pStyle w:val="47"/>
        <w:widowControl w:val="0"/>
        <w:snapToGrid w:val="0"/>
        <w:spacing w:line="480" w:lineRule="auto"/>
        <w:ind w:firstLine="480" w:firstLineChars="200"/>
        <w:jc w:val="both"/>
        <w:rPr>
          <w:rFonts w:hint="default"/>
        </w:rPr>
      </w:pPr>
      <w:r>
        <w:rPr>
          <w:rFonts w:hAnsi="宋体" w:cs="宋体"/>
          <w:color w:val="000000" w:themeColor="text1"/>
          <w:sz w:val="24"/>
          <w:szCs w:val="24"/>
        </w:rPr>
        <w:t xml:space="preserve">                                日期：   年  月  日</w:t>
      </w: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MS-PMincho">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ZY/v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qmWP70QEAAKIDAAAOAAAAAAAAAAEAIAAAAB8BAABk&#10;cnMvZTJvRG9jLnhtbFBLBQYAAAAABgAGAFkBAAB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cs="宋体"/>
        <w:b/>
        <w:bCs/>
        <w:color w:val="000000"/>
        <w:kern w:val="0"/>
        <w:sz w:val="18"/>
        <w:szCs w:val="18"/>
        <w:u w:val="single"/>
      </w:rPr>
      <w:t xml:space="preserve">温岭市政府采购中心                        </w:t>
    </w:r>
    <w:r>
      <w:rPr>
        <w:rFonts w:hint="eastAsia"/>
        <w:b/>
        <w:i/>
        <w:color w:val="000000" w:themeColor="text1"/>
        <w:kern w:val="0"/>
        <w:sz w:val="18"/>
        <w:u w:val="single"/>
      </w:rPr>
      <w:t xml:space="preserve">                                           </w:t>
    </w:r>
    <w:r>
      <w:rPr>
        <w:rFonts w:hint="eastAsia"/>
        <w:b/>
        <w:i/>
        <w:color w:val="000000" w:themeColor="text1"/>
        <w:spacing w:val="-20"/>
        <w:kern w:val="0"/>
        <w:sz w:val="18"/>
        <w:u w:val="single"/>
      </w:rPr>
      <w:t xml:space="preserve">第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47</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页 共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61</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页</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rPr>
      <w:t xml:space="preserve">温岭市政府采购中心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58</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61</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CA46C"/>
    <w:multiLevelType w:val="singleLevel"/>
    <w:tmpl w:val="BCACA46C"/>
    <w:lvl w:ilvl="0" w:tentative="0">
      <w:start w:val="2"/>
      <w:numFmt w:val="decimal"/>
      <w:suff w:val="nothing"/>
      <w:lvlText w:val="%1、"/>
      <w:lvlJc w:val="left"/>
    </w:lvl>
  </w:abstractNum>
  <w:abstractNum w:abstractNumId="1">
    <w:nsid w:val="C302D29D"/>
    <w:multiLevelType w:val="singleLevel"/>
    <w:tmpl w:val="C302D29D"/>
    <w:lvl w:ilvl="0" w:tentative="0">
      <w:start w:val="1"/>
      <w:numFmt w:val="chineseCounting"/>
      <w:suff w:val="nothing"/>
      <w:lvlText w:val="（%1）"/>
      <w:lvlJc w:val="left"/>
      <w:rPr>
        <w:rFonts w:hint="eastAsia"/>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4">
    <w:nsid w:val="1AEBF0F0"/>
    <w:multiLevelType w:val="singleLevel"/>
    <w:tmpl w:val="1AEBF0F0"/>
    <w:lvl w:ilvl="0" w:tentative="0">
      <w:start w:val="1"/>
      <w:numFmt w:val="chineseCounting"/>
      <w:suff w:val="nothing"/>
      <w:lvlText w:val="%1、"/>
      <w:lvlJc w:val="left"/>
      <w:rPr>
        <w:rFonts w:hint="eastAsia"/>
      </w:rPr>
    </w:lvl>
  </w:abstractNum>
  <w:abstractNum w:abstractNumId="5">
    <w:nsid w:val="456B4A4B"/>
    <w:multiLevelType w:val="multilevel"/>
    <w:tmpl w:val="456B4A4B"/>
    <w:lvl w:ilvl="0" w:tentative="0">
      <w:start w:val="1"/>
      <w:numFmt w:val="decimal"/>
      <w:lvlText w:val="%1)"/>
      <w:lvlJc w:val="left"/>
      <w:pPr>
        <w:ind w:left="1065" w:hanging="420"/>
      </w:p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F827419"/>
    <w:multiLevelType w:val="multilevel"/>
    <w:tmpl w:val="4F82741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3F985B4"/>
    <w:multiLevelType w:val="singleLevel"/>
    <w:tmpl w:val="53F985B4"/>
    <w:lvl w:ilvl="0" w:tentative="0">
      <w:start w:val="1"/>
      <w:numFmt w:val="decimal"/>
      <w:lvlText w:val="%1."/>
      <w:lvlJc w:val="left"/>
      <w:pPr>
        <w:tabs>
          <w:tab w:val="left" w:pos="312"/>
        </w:tabs>
      </w:pPr>
    </w:lvl>
  </w:abstractNum>
  <w:abstractNum w:abstractNumId="9">
    <w:nsid w:val="5C84E212"/>
    <w:multiLevelType w:val="singleLevel"/>
    <w:tmpl w:val="5C84E212"/>
    <w:lvl w:ilvl="0" w:tentative="0">
      <w:start w:val="7"/>
      <w:numFmt w:val="chineseCounting"/>
      <w:suff w:val="nothing"/>
      <w:lvlText w:val="%1、"/>
      <w:lvlJc w:val="left"/>
      <w:rPr>
        <w:rFonts w:hint="eastAsia"/>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E92F494"/>
    <w:multiLevelType w:val="singleLevel"/>
    <w:tmpl w:val="7E92F494"/>
    <w:lvl w:ilvl="0" w:tentative="0">
      <w:start w:val="1"/>
      <w:numFmt w:val="decimal"/>
      <w:lvlText w:val="%1."/>
      <w:lvlJc w:val="left"/>
      <w:pPr>
        <w:ind w:left="425" w:hanging="425"/>
      </w:pPr>
      <w:rPr>
        <w:rFonts w:hint="default"/>
      </w:rPr>
    </w:lvl>
  </w:abstractNum>
  <w:num w:numId="1">
    <w:abstractNumId w:val="10"/>
  </w:num>
  <w:num w:numId="2">
    <w:abstractNumId w:val="3"/>
  </w:num>
  <w:num w:numId="3">
    <w:abstractNumId w:val="11"/>
  </w:num>
  <w:num w:numId="4">
    <w:abstractNumId w:val="6"/>
  </w:num>
  <w:num w:numId="5">
    <w:abstractNumId w:val="4"/>
  </w:num>
  <w:num w:numId="6">
    <w:abstractNumId w:val="1"/>
  </w:num>
  <w:num w:numId="7">
    <w:abstractNumId w:val="0"/>
  </w:num>
  <w:num w:numId="8">
    <w:abstractNumId w:val="2"/>
  </w:num>
  <w:num w:numId="9">
    <w:abstractNumId w:val="9"/>
  </w:num>
  <w:num w:numId="10">
    <w:abstractNumId w:val="5"/>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OTJkNWU1NTEwYWM3OTBlMzg0OGQ3ODkxYmZiNzAifQ=="/>
  </w:docVars>
  <w:rsids>
    <w:rsidRoot w:val="685F2B0C"/>
    <w:rsid w:val="00006E75"/>
    <w:rsid w:val="00011F2D"/>
    <w:rsid w:val="00020A84"/>
    <w:rsid w:val="0002799D"/>
    <w:rsid w:val="00031C5F"/>
    <w:rsid w:val="00032084"/>
    <w:rsid w:val="00036CFB"/>
    <w:rsid w:val="00037F4A"/>
    <w:rsid w:val="00043EFE"/>
    <w:rsid w:val="00056154"/>
    <w:rsid w:val="0006001C"/>
    <w:rsid w:val="00071EDC"/>
    <w:rsid w:val="00072A3F"/>
    <w:rsid w:val="00076187"/>
    <w:rsid w:val="000900D4"/>
    <w:rsid w:val="000959C8"/>
    <w:rsid w:val="000971F1"/>
    <w:rsid w:val="000A1860"/>
    <w:rsid w:val="000B78CE"/>
    <w:rsid w:val="000E538F"/>
    <w:rsid w:val="001136A2"/>
    <w:rsid w:val="00120AC9"/>
    <w:rsid w:val="00126A38"/>
    <w:rsid w:val="0014233E"/>
    <w:rsid w:val="00163E8F"/>
    <w:rsid w:val="00167479"/>
    <w:rsid w:val="00176066"/>
    <w:rsid w:val="001876BB"/>
    <w:rsid w:val="00193111"/>
    <w:rsid w:val="001A725B"/>
    <w:rsid w:val="001B3BB7"/>
    <w:rsid w:val="001B51C8"/>
    <w:rsid w:val="001C25EF"/>
    <w:rsid w:val="001C4F91"/>
    <w:rsid w:val="001E0254"/>
    <w:rsid w:val="001E6CF9"/>
    <w:rsid w:val="0020045D"/>
    <w:rsid w:val="00205274"/>
    <w:rsid w:val="00206F31"/>
    <w:rsid w:val="00213464"/>
    <w:rsid w:val="00216C6B"/>
    <w:rsid w:val="00242A20"/>
    <w:rsid w:val="00251EA9"/>
    <w:rsid w:val="00253CEA"/>
    <w:rsid w:val="00263FC0"/>
    <w:rsid w:val="0026443E"/>
    <w:rsid w:val="00267D59"/>
    <w:rsid w:val="00275E26"/>
    <w:rsid w:val="002903C2"/>
    <w:rsid w:val="002A32E9"/>
    <w:rsid w:val="002A4418"/>
    <w:rsid w:val="002A7A73"/>
    <w:rsid w:val="002C26E7"/>
    <w:rsid w:val="002D3BD3"/>
    <w:rsid w:val="002D5C31"/>
    <w:rsid w:val="002F55C4"/>
    <w:rsid w:val="00311566"/>
    <w:rsid w:val="00312C7C"/>
    <w:rsid w:val="00315916"/>
    <w:rsid w:val="003201FA"/>
    <w:rsid w:val="00320A9C"/>
    <w:rsid w:val="0032156F"/>
    <w:rsid w:val="00330F75"/>
    <w:rsid w:val="00331D98"/>
    <w:rsid w:val="00334827"/>
    <w:rsid w:val="003357D8"/>
    <w:rsid w:val="00337AD1"/>
    <w:rsid w:val="00364177"/>
    <w:rsid w:val="003859C7"/>
    <w:rsid w:val="003861FC"/>
    <w:rsid w:val="00390677"/>
    <w:rsid w:val="003A41AF"/>
    <w:rsid w:val="003B1DC1"/>
    <w:rsid w:val="003B6939"/>
    <w:rsid w:val="003B76F0"/>
    <w:rsid w:val="003C4BB8"/>
    <w:rsid w:val="003D34B2"/>
    <w:rsid w:val="003D6AF9"/>
    <w:rsid w:val="003E36E5"/>
    <w:rsid w:val="003E61DE"/>
    <w:rsid w:val="003E7404"/>
    <w:rsid w:val="00401AC8"/>
    <w:rsid w:val="004059A7"/>
    <w:rsid w:val="0041338B"/>
    <w:rsid w:val="0042060D"/>
    <w:rsid w:val="004213B7"/>
    <w:rsid w:val="004300FD"/>
    <w:rsid w:val="0044718E"/>
    <w:rsid w:val="0045051B"/>
    <w:rsid w:val="00451770"/>
    <w:rsid w:val="00456160"/>
    <w:rsid w:val="00471A66"/>
    <w:rsid w:val="00472C93"/>
    <w:rsid w:val="00483437"/>
    <w:rsid w:val="00485415"/>
    <w:rsid w:val="00494691"/>
    <w:rsid w:val="004A0185"/>
    <w:rsid w:val="004A232C"/>
    <w:rsid w:val="004B0D03"/>
    <w:rsid w:val="004C2067"/>
    <w:rsid w:val="004D2D8B"/>
    <w:rsid w:val="004F7710"/>
    <w:rsid w:val="005240D4"/>
    <w:rsid w:val="005301AE"/>
    <w:rsid w:val="00540C48"/>
    <w:rsid w:val="00552E20"/>
    <w:rsid w:val="00555F98"/>
    <w:rsid w:val="00565A68"/>
    <w:rsid w:val="00565F77"/>
    <w:rsid w:val="005775A8"/>
    <w:rsid w:val="00591BA8"/>
    <w:rsid w:val="005920CE"/>
    <w:rsid w:val="005B39C4"/>
    <w:rsid w:val="005B7FA6"/>
    <w:rsid w:val="005C20EF"/>
    <w:rsid w:val="005C5821"/>
    <w:rsid w:val="005D0377"/>
    <w:rsid w:val="005E14F0"/>
    <w:rsid w:val="005E32C2"/>
    <w:rsid w:val="005F3B46"/>
    <w:rsid w:val="005F45F5"/>
    <w:rsid w:val="006077BD"/>
    <w:rsid w:val="0061613A"/>
    <w:rsid w:val="00622958"/>
    <w:rsid w:val="00623A21"/>
    <w:rsid w:val="00627077"/>
    <w:rsid w:val="00627D71"/>
    <w:rsid w:val="006343F9"/>
    <w:rsid w:val="0064230C"/>
    <w:rsid w:val="006462BD"/>
    <w:rsid w:val="00662867"/>
    <w:rsid w:val="0066350B"/>
    <w:rsid w:val="006729A5"/>
    <w:rsid w:val="0068341F"/>
    <w:rsid w:val="00684AE9"/>
    <w:rsid w:val="006911F9"/>
    <w:rsid w:val="006A166E"/>
    <w:rsid w:val="006A2FDE"/>
    <w:rsid w:val="006A3D24"/>
    <w:rsid w:val="006A551C"/>
    <w:rsid w:val="006A72E8"/>
    <w:rsid w:val="006B0DB5"/>
    <w:rsid w:val="006D3A61"/>
    <w:rsid w:val="006E6941"/>
    <w:rsid w:val="006F24A9"/>
    <w:rsid w:val="006F679D"/>
    <w:rsid w:val="007069A2"/>
    <w:rsid w:val="007120C8"/>
    <w:rsid w:val="007175BB"/>
    <w:rsid w:val="0072317A"/>
    <w:rsid w:val="0072522D"/>
    <w:rsid w:val="007370A3"/>
    <w:rsid w:val="0075662E"/>
    <w:rsid w:val="0076446B"/>
    <w:rsid w:val="00770FBB"/>
    <w:rsid w:val="00783334"/>
    <w:rsid w:val="00792D1E"/>
    <w:rsid w:val="0079739F"/>
    <w:rsid w:val="007C29D5"/>
    <w:rsid w:val="007C3C26"/>
    <w:rsid w:val="007C65DE"/>
    <w:rsid w:val="007D2C49"/>
    <w:rsid w:val="007E4962"/>
    <w:rsid w:val="007F1255"/>
    <w:rsid w:val="007F35DC"/>
    <w:rsid w:val="00814202"/>
    <w:rsid w:val="00834638"/>
    <w:rsid w:val="0083480E"/>
    <w:rsid w:val="00852807"/>
    <w:rsid w:val="00863CA3"/>
    <w:rsid w:val="00865710"/>
    <w:rsid w:val="00892F6D"/>
    <w:rsid w:val="00894228"/>
    <w:rsid w:val="008B0963"/>
    <w:rsid w:val="008B53F2"/>
    <w:rsid w:val="008C3085"/>
    <w:rsid w:val="008D797A"/>
    <w:rsid w:val="008E0910"/>
    <w:rsid w:val="008E2192"/>
    <w:rsid w:val="008E6B89"/>
    <w:rsid w:val="008F0EB7"/>
    <w:rsid w:val="00901051"/>
    <w:rsid w:val="009038A9"/>
    <w:rsid w:val="009049D8"/>
    <w:rsid w:val="00913883"/>
    <w:rsid w:val="00931B98"/>
    <w:rsid w:val="0093255C"/>
    <w:rsid w:val="009343EB"/>
    <w:rsid w:val="009362CD"/>
    <w:rsid w:val="009447B0"/>
    <w:rsid w:val="00945AFC"/>
    <w:rsid w:val="0095333A"/>
    <w:rsid w:val="00960DA0"/>
    <w:rsid w:val="00964F28"/>
    <w:rsid w:val="00967A46"/>
    <w:rsid w:val="00975FF7"/>
    <w:rsid w:val="00976383"/>
    <w:rsid w:val="00987EDA"/>
    <w:rsid w:val="009944D8"/>
    <w:rsid w:val="00996802"/>
    <w:rsid w:val="009A0845"/>
    <w:rsid w:val="009B1495"/>
    <w:rsid w:val="009E5A44"/>
    <w:rsid w:val="009E5DEA"/>
    <w:rsid w:val="009F4C1B"/>
    <w:rsid w:val="009F5F80"/>
    <w:rsid w:val="00A016A4"/>
    <w:rsid w:val="00A037E7"/>
    <w:rsid w:val="00A045A2"/>
    <w:rsid w:val="00A157DF"/>
    <w:rsid w:val="00A1618F"/>
    <w:rsid w:val="00A163F5"/>
    <w:rsid w:val="00A43B01"/>
    <w:rsid w:val="00A51EEF"/>
    <w:rsid w:val="00A61963"/>
    <w:rsid w:val="00A70EE6"/>
    <w:rsid w:val="00A77FFE"/>
    <w:rsid w:val="00A8040A"/>
    <w:rsid w:val="00A921FD"/>
    <w:rsid w:val="00A93EFF"/>
    <w:rsid w:val="00A97E75"/>
    <w:rsid w:val="00AA020C"/>
    <w:rsid w:val="00AB0A09"/>
    <w:rsid w:val="00AB1C25"/>
    <w:rsid w:val="00AB428E"/>
    <w:rsid w:val="00AB4900"/>
    <w:rsid w:val="00AB49B7"/>
    <w:rsid w:val="00AB6C80"/>
    <w:rsid w:val="00AB755F"/>
    <w:rsid w:val="00AC1A60"/>
    <w:rsid w:val="00AC2B91"/>
    <w:rsid w:val="00AD16A8"/>
    <w:rsid w:val="00AE0BF1"/>
    <w:rsid w:val="00AE1BEF"/>
    <w:rsid w:val="00AF550D"/>
    <w:rsid w:val="00B0055E"/>
    <w:rsid w:val="00B023A2"/>
    <w:rsid w:val="00B07B38"/>
    <w:rsid w:val="00B07E9A"/>
    <w:rsid w:val="00B163F3"/>
    <w:rsid w:val="00B258B1"/>
    <w:rsid w:val="00B40D02"/>
    <w:rsid w:val="00B40E92"/>
    <w:rsid w:val="00B44061"/>
    <w:rsid w:val="00B57701"/>
    <w:rsid w:val="00B61C77"/>
    <w:rsid w:val="00B647C8"/>
    <w:rsid w:val="00B94C65"/>
    <w:rsid w:val="00BA436C"/>
    <w:rsid w:val="00BB5B80"/>
    <w:rsid w:val="00BB6F9B"/>
    <w:rsid w:val="00BC41FE"/>
    <w:rsid w:val="00BC4A66"/>
    <w:rsid w:val="00BD378A"/>
    <w:rsid w:val="00BD41E0"/>
    <w:rsid w:val="00BD4A42"/>
    <w:rsid w:val="00BE4C60"/>
    <w:rsid w:val="00BE4D7B"/>
    <w:rsid w:val="00BE5DD1"/>
    <w:rsid w:val="00C0197D"/>
    <w:rsid w:val="00C05D67"/>
    <w:rsid w:val="00C11694"/>
    <w:rsid w:val="00C267C2"/>
    <w:rsid w:val="00C3418F"/>
    <w:rsid w:val="00C36B83"/>
    <w:rsid w:val="00C4176B"/>
    <w:rsid w:val="00C4791F"/>
    <w:rsid w:val="00C47CFC"/>
    <w:rsid w:val="00C522F9"/>
    <w:rsid w:val="00C538C5"/>
    <w:rsid w:val="00C6047B"/>
    <w:rsid w:val="00C7669C"/>
    <w:rsid w:val="00C85372"/>
    <w:rsid w:val="00C86168"/>
    <w:rsid w:val="00C93A5F"/>
    <w:rsid w:val="00C969D3"/>
    <w:rsid w:val="00CA505D"/>
    <w:rsid w:val="00CC6C20"/>
    <w:rsid w:val="00CE0C0E"/>
    <w:rsid w:val="00CF27A9"/>
    <w:rsid w:val="00CF3329"/>
    <w:rsid w:val="00D00C48"/>
    <w:rsid w:val="00D03950"/>
    <w:rsid w:val="00D0546E"/>
    <w:rsid w:val="00D07E9B"/>
    <w:rsid w:val="00D216C5"/>
    <w:rsid w:val="00D34C62"/>
    <w:rsid w:val="00D44595"/>
    <w:rsid w:val="00D56D0A"/>
    <w:rsid w:val="00D60DDD"/>
    <w:rsid w:val="00D63582"/>
    <w:rsid w:val="00D753A2"/>
    <w:rsid w:val="00D7638B"/>
    <w:rsid w:val="00D833BE"/>
    <w:rsid w:val="00D83F0C"/>
    <w:rsid w:val="00DA4E23"/>
    <w:rsid w:val="00DA5D4F"/>
    <w:rsid w:val="00DB0F68"/>
    <w:rsid w:val="00DB1E3F"/>
    <w:rsid w:val="00DC1336"/>
    <w:rsid w:val="00DC516E"/>
    <w:rsid w:val="00DD5F33"/>
    <w:rsid w:val="00E00327"/>
    <w:rsid w:val="00E24816"/>
    <w:rsid w:val="00E26820"/>
    <w:rsid w:val="00E32B23"/>
    <w:rsid w:val="00E35AE4"/>
    <w:rsid w:val="00E406F4"/>
    <w:rsid w:val="00E41EBA"/>
    <w:rsid w:val="00E448AC"/>
    <w:rsid w:val="00E44969"/>
    <w:rsid w:val="00E519F1"/>
    <w:rsid w:val="00E60A9C"/>
    <w:rsid w:val="00E66CDC"/>
    <w:rsid w:val="00E971FD"/>
    <w:rsid w:val="00EB1974"/>
    <w:rsid w:val="00EC04A9"/>
    <w:rsid w:val="00ED6827"/>
    <w:rsid w:val="00EE01DA"/>
    <w:rsid w:val="00EE15FD"/>
    <w:rsid w:val="00EF384F"/>
    <w:rsid w:val="00EF43FF"/>
    <w:rsid w:val="00EF5BA2"/>
    <w:rsid w:val="00F01077"/>
    <w:rsid w:val="00F16753"/>
    <w:rsid w:val="00F247BD"/>
    <w:rsid w:val="00F26F1C"/>
    <w:rsid w:val="00F3205B"/>
    <w:rsid w:val="00F36577"/>
    <w:rsid w:val="00F37F9D"/>
    <w:rsid w:val="00F41078"/>
    <w:rsid w:val="00F41C33"/>
    <w:rsid w:val="00F42329"/>
    <w:rsid w:val="00F55F99"/>
    <w:rsid w:val="00F65432"/>
    <w:rsid w:val="00F73277"/>
    <w:rsid w:val="00F87171"/>
    <w:rsid w:val="00F90A0D"/>
    <w:rsid w:val="00F92F0D"/>
    <w:rsid w:val="00FA01AC"/>
    <w:rsid w:val="00FB35FA"/>
    <w:rsid w:val="00FB4097"/>
    <w:rsid w:val="00FC1E24"/>
    <w:rsid w:val="00FC7AEC"/>
    <w:rsid w:val="00FD2391"/>
    <w:rsid w:val="00FF2351"/>
    <w:rsid w:val="01011432"/>
    <w:rsid w:val="010742D5"/>
    <w:rsid w:val="01077B6C"/>
    <w:rsid w:val="011473B7"/>
    <w:rsid w:val="011A3402"/>
    <w:rsid w:val="011C2867"/>
    <w:rsid w:val="011E4134"/>
    <w:rsid w:val="012355F0"/>
    <w:rsid w:val="012B6D61"/>
    <w:rsid w:val="0148165C"/>
    <w:rsid w:val="015C2A86"/>
    <w:rsid w:val="015F789E"/>
    <w:rsid w:val="016574E3"/>
    <w:rsid w:val="016D4D19"/>
    <w:rsid w:val="016F45ED"/>
    <w:rsid w:val="01851778"/>
    <w:rsid w:val="018F2444"/>
    <w:rsid w:val="01AE11E6"/>
    <w:rsid w:val="01B70CE3"/>
    <w:rsid w:val="01D10A61"/>
    <w:rsid w:val="01D61DCE"/>
    <w:rsid w:val="01D947AB"/>
    <w:rsid w:val="01F170ED"/>
    <w:rsid w:val="01F53A09"/>
    <w:rsid w:val="01F916C8"/>
    <w:rsid w:val="02040004"/>
    <w:rsid w:val="022115FB"/>
    <w:rsid w:val="02292E42"/>
    <w:rsid w:val="02362254"/>
    <w:rsid w:val="02375009"/>
    <w:rsid w:val="025114D9"/>
    <w:rsid w:val="02536BAE"/>
    <w:rsid w:val="0270686F"/>
    <w:rsid w:val="0277756A"/>
    <w:rsid w:val="027D6EA1"/>
    <w:rsid w:val="0294584C"/>
    <w:rsid w:val="029A4E8A"/>
    <w:rsid w:val="029E162E"/>
    <w:rsid w:val="02BD7D6C"/>
    <w:rsid w:val="02C50B2F"/>
    <w:rsid w:val="02C60B85"/>
    <w:rsid w:val="02C73731"/>
    <w:rsid w:val="032A675A"/>
    <w:rsid w:val="032C58C3"/>
    <w:rsid w:val="036059A4"/>
    <w:rsid w:val="036B7036"/>
    <w:rsid w:val="037628ED"/>
    <w:rsid w:val="03804F1D"/>
    <w:rsid w:val="038D5F87"/>
    <w:rsid w:val="039842CF"/>
    <w:rsid w:val="03996F9E"/>
    <w:rsid w:val="03A72764"/>
    <w:rsid w:val="03A92BAF"/>
    <w:rsid w:val="03AD4EC4"/>
    <w:rsid w:val="03C54999"/>
    <w:rsid w:val="03DC5B25"/>
    <w:rsid w:val="041155D0"/>
    <w:rsid w:val="042E69E2"/>
    <w:rsid w:val="04303F0E"/>
    <w:rsid w:val="04315D2A"/>
    <w:rsid w:val="04416325"/>
    <w:rsid w:val="04431C4F"/>
    <w:rsid w:val="044D523C"/>
    <w:rsid w:val="04604D98"/>
    <w:rsid w:val="046212F9"/>
    <w:rsid w:val="04663F34"/>
    <w:rsid w:val="04686D1E"/>
    <w:rsid w:val="04C6056D"/>
    <w:rsid w:val="04E746F0"/>
    <w:rsid w:val="04E87471"/>
    <w:rsid w:val="04F17C1F"/>
    <w:rsid w:val="04FC6AE0"/>
    <w:rsid w:val="050A0D5B"/>
    <w:rsid w:val="050D23B9"/>
    <w:rsid w:val="05162537"/>
    <w:rsid w:val="051E7487"/>
    <w:rsid w:val="053E2C54"/>
    <w:rsid w:val="053F0EAC"/>
    <w:rsid w:val="053F23D3"/>
    <w:rsid w:val="05417DEF"/>
    <w:rsid w:val="056B3DBF"/>
    <w:rsid w:val="05760A7D"/>
    <w:rsid w:val="057D6BFC"/>
    <w:rsid w:val="057E41A9"/>
    <w:rsid w:val="059565ED"/>
    <w:rsid w:val="0596483F"/>
    <w:rsid w:val="059C7A38"/>
    <w:rsid w:val="05B01B1D"/>
    <w:rsid w:val="05BC5BB6"/>
    <w:rsid w:val="05C70E9C"/>
    <w:rsid w:val="05CB2372"/>
    <w:rsid w:val="05E337FC"/>
    <w:rsid w:val="05F17CC7"/>
    <w:rsid w:val="05FC06FE"/>
    <w:rsid w:val="05FD1629"/>
    <w:rsid w:val="06221E50"/>
    <w:rsid w:val="065F55F6"/>
    <w:rsid w:val="06653309"/>
    <w:rsid w:val="06653EC4"/>
    <w:rsid w:val="067544C8"/>
    <w:rsid w:val="06840FA6"/>
    <w:rsid w:val="0699402C"/>
    <w:rsid w:val="069C64C8"/>
    <w:rsid w:val="06A0112C"/>
    <w:rsid w:val="06AD7687"/>
    <w:rsid w:val="06B864B2"/>
    <w:rsid w:val="06D25D4A"/>
    <w:rsid w:val="06D3561E"/>
    <w:rsid w:val="06D372D6"/>
    <w:rsid w:val="06D64E56"/>
    <w:rsid w:val="06DB44D3"/>
    <w:rsid w:val="06E17D3B"/>
    <w:rsid w:val="06F061D6"/>
    <w:rsid w:val="0703081A"/>
    <w:rsid w:val="070C5153"/>
    <w:rsid w:val="070E2AFA"/>
    <w:rsid w:val="070E765D"/>
    <w:rsid w:val="07157529"/>
    <w:rsid w:val="071747A0"/>
    <w:rsid w:val="071E2C8A"/>
    <w:rsid w:val="07347410"/>
    <w:rsid w:val="07425FC3"/>
    <w:rsid w:val="074273EB"/>
    <w:rsid w:val="07463A3E"/>
    <w:rsid w:val="074E4D14"/>
    <w:rsid w:val="07707311"/>
    <w:rsid w:val="077E1A2E"/>
    <w:rsid w:val="078D1C71"/>
    <w:rsid w:val="079F3EE7"/>
    <w:rsid w:val="07AE41DE"/>
    <w:rsid w:val="07B02042"/>
    <w:rsid w:val="07CE273E"/>
    <w:rsid w:val="07DF5164"/>
    <w:rsid w:val="07E50580"/>
    <w:rsid w:val="07F46C10"/>
    <w:rsid w:val="07F9224F"/>
    <w:rsid w:val="07FA589D"/>
    <w:rsid w:val="08055CAB"/>
    <w:rsid w:val="082E5DF2"/>
    <w:rsid w:val="0834033F"/>
    <w:rsid w:val="08512C9F"/>
    <w:rsid w:val="085403A4"/>
    <w:rsid w:val="085E020A"/>
    <w:rsid w:val="08601134"/>
    <w:rsid w:val="086951C1"/>
    <w:rsid w:val="08696EDC"/>
    <w:rsid w:val="087075EB"/>
    <w:rsid w:val="088D6A54"/>
    <w:rsid w:val="08941B48"/>
    <w:rsid w:val="08C60C4A"/>
    <w:rsid w:val="08C72312"/>
    <w:rsid w:val="08DC3175"/>
    <w:rsid w:val="08F0261B"/>
    <w:rsid w:val="08F81693"/>
    <w:rsid w:val="09020F35"/>
    <w:rsid w:val="09060203"/>
    <w:rsid w:val="090A0832"/>
    <w:rsid w:val="09271C52"/>
    <w:rsid w:val="095406F9"/>
    <w:rsid w:val="0955362C"/>
    <w:rsid w:val="09566590"/>
    <w:rsid w:val="09583EB5"/>
    <w:rsid w:val="095C18FB"/>
    <w:rsid w:val="095D7A37"/>
    <w:rsid w:val="09875848"/>
    <w:rsid w:val="099E1F14"/>
    <w:rsid w:val="09B565E4"/>
    <w:rsid w:val="09BB0BBA"/>
    <w:rsid w:val="09C77B1C"/>
    <w:rsid w:val="09E70A54"/>
    <w:rsid w:val="09E77E14"/>
    <w:rsid w:val="09E9749A"/>
    <w:rsid w:val="09EF451D"/>
    <w:rsid w:val="09F232F3"/>
    <w:rsid w:val="09F46495"/>
    <w:rsid w:val="09F623EB"/>
    <w:rsid w:val="09FF3A0A"/>
    <w:rsid w:val="0A082AE0"/>
    <w:rsid w:val="0A0D5A3B"/>
    <w:rsid w:val="0A172426"/>
    <w:rsid w:val="0A2355D9"/>
    <w:rsid w:val="0A4573B3"/>
    <w:rsid w:val="0A53599E"/>
    <w:rsid w:val="0A744A82"/>
    <w:rsid w:val="0A821835"/>
    <w:rsid w:val="0A8528D5"/>
    <w:rsid w:val="0A903A5E"/>
    <w:rsid w:val="0A904AA4"/>
    <w:rsid w:val="0A93374C"/>
    <w:rsid w:val="0A972E8D"/>
    <w:rsid w:val="0AAA5EAC"/>
    <w:rsid w:val="0AB40849"/>
    <w:rsid w:val="0AB6328D"/>
    <w:rsid w:val="0ABB2280"/>
    <w:rsid w:val="0ABD7D5E"/>
    <w:rsid w:val="0ACF434F"/>
    <w:rsid w:val="0AD56F1F"/>
    <w:rsid w:val="0AD876A7"/>
    <w:rsid w:val="0AE129FE"/>
    <w:rsid w:val="0AE24082"/>
    <w:rsid w:val="0AE946CC"/>
    <w:rsid w:val="0AEA3C8C"/>
    <w:rsid w:val="0AEB73DB"/>
    <w:rsid w:val="0AEE0D1E"/>
    <w:rsid w:val="0AFC0782"/>
    <w:rsid w:val="0B0068F7"/>
    <w:rsid w:val="0B064214"/>
    <w:rsid w:val="0B077F8D"/>
    <w:rsid w:val="0B08101D"/>
    <w:rsid w:val="0B1E0CF0"/>
    <w:rsid w:val="0B386ECE"/>
    <w:rsid w:val="0B422D73"/>
    <w:rsid w:val="0B460AB5"/>
    <w:rsid w:val="0B556C34"/>
    <w:rsid w:val="0B6C389D"/>
    <w:rsid w:val="0B760351"/>
    <w:rsid w:val="0B846791"/>
    <w:rsid w:val="0B8709B1"/>
    <w:rsid w:val="0B8B536A"/>
    <w:rsid w:val="0BC3421A"/>
    <w:rsid w:val="0BCC7711"/>
    <w:rsid w:val="0BCD0049"/>
    <w:rsid w:val="0BE83010"/>
    <w:rsid w:val="0BEA0DB9"/>
    <w:rsid w:val="0C061D9D"/>
    <w:rsid w:val="0C0B7609"/>
    <w:rsid w:val="0C0F3325"/>
    <w:rsid w:val="0C120997"/>
    <w:rsid w:val="0C1358B4"/>
    <w:rsid w:val="0C35472E"/>
    <w:rsid w:val="0C4551B9"/>
    <w:rsid w:val="0C480F3E"/>
    <w:rsid w:val="0C4813D5"/>
    <w:rsid w:val="0C4F5B12"/>
    <w:rsid w:val="0C547201"/>
    <w:rsid w:val="0C585BE0"/>
    <w:rsid w:val="0C7E2237"/>
    <w:rsid w:val="0C945850"/>
    <w:rsid w:val="0C963376"/>
    <w:rsid w:val="0C9F1CEA"/>
    <w:rsid w:val="0CBE1DF9"/>
    <w:rsid w:val="0CBF21B2"/>
    <w:rsid w:val="0CC9599A"/>
    <w:rsid w:val="0CE0341A"/>
    <w:rsid w:val="0CEF2A86"/>
    <w:rsid w:val="0CF4009D"/>
    <w:rsid w:val="0D10283C"/>
    <w:rsid w:val="0D3F7F2E"/>
    <w:rsid w:val="0D494870"/>
    <w:rsid w:val="0D5456F5"/>
    <w:rsid w:val="0D5955C7"/>
    <w:rsid w:val="0D705EC6"/>
    <w:rsid w:val="0D7C5049"/>
    <w:rsid w:val="0D7F3E0A"/>
    <w:rsid w:val="0D83675C"/>
    <w:rsid w:val="0D8C75B3"/>
    <w:rsid w:val="0D962F4D"/>
    <w:rsid w:val="0D9773A6"/>
    <w:rsid w:val="0D9E0018"/>
    <w:rsid w:val="0DAF0B93"/>
    <w:rsid w:val="0DB757B9"/>
    <w:rsid w:val="0DBC0BBA"/>
    <w:rsid w:val="0DE7555E"/>
    <w:rsid w:val="0DF46D02"/>
    <w:rsid w:val="0DF61959"/>
    <w:rsid w:val="0E0979BF"/>
    <w:rsid w:val="0E1455D3"/>
    <w:rsid w:val="0E3C147B"/>
    <w:rsid w:val="0E5A014C"/>
    <w:rsid w:val="0E5E4DB8"/>
    <w:rsid w:val="0E5F6E07"/>
    <w:rsid w:val="0E607B1B"/>
    <w:rsid w:val="0E6126CF"/>
    <w:rsid w:val="0E635AF2"/>
    <w:rsid w:val="0E72571D"/>
    <w:rsid w:val="0E7F77A7"/>
    <w:rsid w:val="0E8405CA"/>
    <w:rsid w:val="0E8D5133"/>
    <w:rsid w:val="0E8F4521"/>
    <w:rsid w:val="0EB1236A"/>
    <w:rsid w:val="0EF32D02"/>
    <w:rsid w:val="0F197C6F"/>
    <w:rsid w:val="0F270991"/>
    <w:rsid w:val="0F3E6F11"/>
    <w:rsid w:val="0F6F7789"/>
    <w:rsid w:val="0FA61347"/>
    <w:rsid w:val="0FB104C7"/>
    <w:rsid w:val="0FC27645"/>
    <w:rsid w:val="0FDC60CB"/>
    <w:rsid w:val="0FDD23A2"/>
    <w:rsid w:val="1008126D"/>
    <w:rsid w:val="101F02CE"/>
    <w:rsid w:val="102D3FF1"/>
    <w:rsid w:val="104247DD"/>
    <w:rsid w:val="104430E9"/>
    <w:rsid w:val="104A4BA3"/>
    <w:rsid w:val="105964EA"/>
    <w:rsid w:val="105C5738"/>
    <w:rsid w:val="107907CC"/>
    <w:rsid w:val="10843C5D"/>
    <w:rsid w:val="10902DA3"/>
    <w:rsid w:val="1092654A"/>
    <w:rsid w:val="109909D1"/>
    <w:rsid w:val="10B73F1D"/>
    <w:rsid w:val="10BE1B05"/>
    <w:rsid w:val="10C84882"/>
    <w:rsid w:val="10CD7582"/>
    <w:rsid w:val="10D1178C"/>
    <w:rsid w:val="10D32BB5"/>
    <w:rsid w:val="10E07EE2"/>
    <w:rsid w:val="10F630E0"/>
    <w:rsid w:val="10FD1C16"/>
    <w:rsid w:val="1111121D"/>
    <w:rsid w:val="11112CBE"/>
    <w:rsid w:val="11163418"/>
    <w:rsid w:val="111818B8"/>
    <w:rsid w:val="11270A41"/>
    <w:rsid w:val="112E0021"/>
    <w:rsid w:val="113B439C"/>
    <w:rsid w:val="11537715"/>
    <w:rsid w:val="11565610"/>
    <w:rsid w:val="115B693C"/>
    <w:rsid w:val="11674F62"/>
    <w:rsid w:val="1171000D"/>
    <w:rsid w:val="118A244C"/>
    <w:rsid w:val="119105B0"/>
    <w:rsid w:val="11950BDB"/>
    <w:rsid w:val="119B1D85"/>
    <w:rsid w:val="119C5B20"/>
    <w:rsid w:val="11A2124C"/>
    <w:rsid w:val="11AC592C"/>
    <w:rsid w:val="11AD389E"/>
    <w:rsid w:val="11BD2408"/>
    <w:rsid w:val="11C20C82"/>
    <w:rsid w:val="11C768FF"/>
    <w:rsid w:val="11D675CB"/>
    <w:rsid w:val="11E15093"/>
    <w:rsid w:val="12063740"/>
    <w:rsid w:val="12101447"/>
    <w:rsid w:val="12275F24"/>
    <w:rsid w:val="123756C9"/>
    <w:rsid w:val="124B4C03"/>
    <w:rsid w:val="12500CE7"/>
    <w:rsid w:val="125F1817"/>
    <w:rsid w:val="12631B42"/>
    <w:rsid w:val="12655569"/>
    <w:rsid w:val="12695551"/>
    <w:rsid w:val="127F2662"/>
    <w:rsid w:val="128435EC"/>
    <w:rsid w:val="129643EF"/>
    <w:rsid w:val="12AF442E"/>
    <w:rsid w:val="12B83A98"/>
    <w:rsid w:val="12BB4641"/>
    <w:rsid w:val="12BF15E3"/>
    <w:rsid w:val="12BF6231"/>
    <w:rsid w:val="12CD4F26"/>
    <w:rsid w:val="12CE1F8E"/>
    <w:rsid w:val="12E74E3B"/>
    <w:rsid w:val="13024F62"/>
    <w:rsid w:val="1307442E"/>
    <w:rsid w:val="130B3F40"/>
    <w:rsid w:val="13244721"/>
    <w:rsid w:val="13285985"/>
    <w:rsid w:val="133A1A09"/>
    <w:rsid w:val="133C703D"/>
    <w:rsid w:val="13494163"/>
    <w:rsid w:val="134C77A5"/>
    <w:rsid w:val="134D2BB6"/>
    <w:rsid w:val="135D3F89"/>
    <w:rsid w:val="135E6A8D"/>
    <w:rsid w:val="13731B39"/>
    <w:rsid w:val="1381791C"/>
    <w:rsid w:val="138C102F"/>
    <w:rsid w:val="13A11F77"/>
    <w:rsid w:val="13A75515"/>
    <w:rsid w:val="13B82628"/>
    <w:rsid w:val="13C30E6E"/>
    <w:rsid w:val="140769BE"/>
    <w:rsid w:val="1413430F"/>
    <w:rsid w:val="141613F9"/>
    <w:rsid w:val="14203CB8"/>
    <w:rsid w:val="143A0B7C"/>
    <w:rsid w:val="143C354F"/>
    <w:rsid w:val="143F0C8B"/>
    <w:rsid w:val="144646A7"/>
    <w:rsid w:val="14545F32"/>
    <w:rsid w:val="14596F4E"/>
    <w:rsid w:val="146F011F"/>
    <w:rsid w:val="147632A2"/>
    <w:rsid w:val="147F68A0"/>
    <w:rsid w:val="14872049"/>
    <w:rsid w:val="14936552"/>
    <w:rsid w:val="149C7998"/>
    <w:rsid w:val="14C272D2"/>
    <w:rsid w:val="14C34F24"/>
    <w:rsid w:val="14CB202B"/>
    <w:rsid w:val="14E463A0"/>
    <w:rsid w:val="14EA3450"/>
    <w:rsid w:val="14F767B6"/>
    <w:rsid w:val="14FB222F"/>
    <w:rsid w:val="14FF79DA"/>
    <w:rsid w:val="150F0D42"/>
    <w:rsid w:val="15113EE2"/>
    <w:rsid w:val="15194B44"/>
    <w:rsid w:val="151C2838"/>
    <w:rsid w:val="153D4B3A"/>
    <w:rsid w:val="153E582F"/>
    <w:rsid w:val="154F67B8"/>
    <w:rsid w:val="155B4D1B"/>
    <w:rsid w:val="156D6570"/>
    <w:rsid w:val="159016BB"/>
    <w:rsid w:val="15B41308"/>
    <w:rsid w:val="15E2762C"/>
    <w:rsid w:val="15E5000F"/>
    <w:rsid w:val="15E61B2E"/>
    <w:rsid w:val="15E72E94"/>
    <w:rsid w:val="15E770DE"/>
    <w:rsid w:val="16031113"/>
    <w:rsid w:val="16104199"/>
    <w:rsid w:val="16213B9C"/>
    <w:rsid w:val="16377978"/>
    <w:rsid w:val="16587FDE"/>
    <w:rsid w:val="16674FC6"/>
    <w:rsid w:val="16692CA6"/>
    <w:rsid w:val="16725D01"/>
    <w:rsid w:val="167B2DF3"/>
    <w:rsid w:val="167E7043"/>
    <w:rsid w:val="168F227C"/>
    <w:rsid w:val="169052DA"/>
    <w:rsid w:val="16F45F36"/>
    <w:rsid w:val="16FC1D97"/>
    <w:rsid w:val="17011D34"/>
    <w:rsid w:val="171F0861"/>
    <w:rsid w:val="17372639"/>
    <w:rsid w:val="173D243C"/>
    <w:rsid w:val="1740285C"/>
    <w:rsid w:val="17463BEB"/>
    <w:rsid w:val="17534ECF"/>
    <w:rsid w:val="175F0E7A"/>
    <w:rsid w:val="1767434D"/>
    <w:rsid w:val="178967AE"/>
    <w:rsid w:val="17BA77C8"/>
    <w:rsid w:val="17C340E6"/>
    <w:rsid w:val="17C93C3F"/>
    <w:rsid w:val="17D71645"/>
    <w:rsid w:val="17DD1E28"/>
    <w:rsid w:val="17E01BB1"/>
    <w:rsid w:val="17E21891"/>
    <w:rsid w:val="17EF6030"/>
    <w:rsid w:val="180715CC"/>
    <w:rsid w:val="181011F1"/>
    <w:rsid w:val="181C38B0"/>
    <w:rsid w:val="181E053B"/>
    <w:rsid w:val="18205336"/>
    <w:rsid w:val="184F29B3"/>
    <w:rsid w:val="18574301"/>
    <w:rsid w:val="18810539"/>
    <w:rsid w:val="18873CF5"/>
    <w:rsid w:val="18AA0A18"/>
    <w:rsid w:val="18B117B0"/>
    <w:rsid w:val="18DF40DC"/>
    <w:rsid w:val="18F45107"/>
    <w:rsid w:val="18F47AF6"/>
    <w:rsid w:val="190A522C"/>
    <w:rsid w:val="191915B7"/>
    <w:rsid w:val="191C0124"/>
    <w:rsid w:val="191D23BA"/>
    <w:rsid w:val="192349BD"/>
    <w:rsid w:val="19297C63"/>
    <w:rsid w:val="192A06DB"/>
    <w:rsid w:val="192C0B58"/>
    <w:rsid w:val="192D288C"/>
    <w:rsid w:val="19371ED7"/>
    <w:rsid w:val="194335B5"/>
    <w:rsid w:val="196F11D7"/>
    <w:rsid w:val="197607B7"/>
    <w:rsid w:val="198218DD"/>
    <w:rsid w:val="19960E59"/>
    <w:rsid w:val="19A01ECA"/>
    <w:rsid w:val="19A716A6"/>
    <w:rsid w:val="19BE3F0C"/>
    <w:rsid w:val="19BF2F9E"/>
    <w:rsid w:val="19C56581"/>
    <w:rsid w:val="19EE41FA"/>
    <w:rsid w:val="19EF40C6"/>
    <w:rsid w:val="1A002E3D"/>
    <w:rsid w:val="1A0E78C9"/>
    <w:rsid w:val="1A1A55E6"/>
    <w:rsid w:val="1A3B37AF"/>
    <w:rsid w:val="1A442663"/>
    <w:rsid w:val="1A5A6066"/>
    <w:rsid w:val="1A6000FA"/>
    <w:rsid w:val="1A777345"/>
    <w:rsid w:val="1A7A4184"/>
    <w:rsid w:val="1A7B506A"/>
    <w:rsid w:val="1A846F04"/>
    <w:rsid w:val="1A8707A2"/>
    <w:rsid w:val="1A8D59A2"/>
    <w:rsid w:val="1A8E3BCD"/>
    <w:rsid w:val="1A907657"/>
    <w:rsid w:val="1AD15B84"/>
    <w:rsid w:val="1ADA6CD0"/>
    <w:rsid w:val="1AE13C5B"/>
    <w:rsid w:val="1AE23C2A"/>
    <w:rsid w:val="1AF47380"/>
    <w:rsid w:val="1B0C0005"/>
    <w:rsid w:val="1B0D166C"/>
    <w:rsid w:val="1B101682"/>
    <w:rsid w:val="1B112B36"/>
    <w:rsid w:val="1B251F48"/>
    <w:rsid w:val="1B261D69"/>
    <w:rsid w:val="1B293607"/>
    <w:rsid w:val="1B3833FF"/>
    <w:rsid w:val="1B396BED"/>
    <w:rsid w:val="1B486792"/>
    <w:rsid w:val="1B4C6CA1"/>
    <w:rsid w:val="1B52759D"/>
    <w:rsid w:val="1B586C8A"/>
    <w:rsid w:val="1B612ED3"/>
    <w:rsid w:val="1B662AAD"/>
    <w:rsid w:val="1B6A011C"/>
    <w:rsid w:val="1B705E15"/>
    <w:rsid w:val="1B8C242C"/>
    <w:rsid w:val="1B8C6B7B"/>
    <w:rsid w:val="1BA0571E"/>
    <w:rsid w:val="1BA72C10"/>
    <w:rsid w:val="1BB91038"/>
    <w:rsid w:val="1BBA1754"/>
    <w:rsid w:val="1BBF65FB"/>
    <w:rsid w:val="1BD162E3"/>
    <w:rsid w:val="1BDE64F1"/>
    <w:rsid w:val="1BEA1EEC"/>
    <w:rsid w:val="1BF657FB"/>
    <w:rsid w:val="1BF868AD"/>
    <w:rsid w:val="1C0503E8"/>
    <w:rsid w:val="1C126363"/>
    <w:rsid w:val="1C2023D8"/>
    <w:rsid w:val="1C3420A9"/>
    <w:rsid w:val="1C512E16"/>
    <w:rsid w:val="1C5B5BF8"/>
    <w:rsid w:val="1C766429"/>
    <w:rsid w:val="1C771298"/>
    <w:rsid w:val="1C786858"/>
    <w:rsid w:val="1C800114"/>
    <w:rsid w:val="1C9A155D"/>
    <w:rsid w:val="1CB15134"/>
    <w:rsid w:val="1CC92F95"/>
    <w:rsid w:val="1CE21780"/>
    <w:rsid w:val="1CE26164"/>
    <w:rsid w:val="1CEB5018"/>
    <w:rsid w:val="1CF716BE"/>
    <w:rsid w:val="1CFA7EEF"/>
    <w:rsid w:val="1CFB1146"/>
    <w:rsid w:val="1D0E75B6"/>
    <w:rsid w:val="1D100F23"/>
    <w:rsid w:val="1D2331DE"/>
    <w:rsid w:val="1D312AFC"/>
    <w:rsid w:val="1D325ED3"/>
    <w:rsid w:val="1D37062D"/>
    <w:rsid w:val="1D3E15B3"/>
    <w:rsid w:val="1D4105A8"/>
    <w:rsid w:val="1D442776"/>
    <w:rsid w:val="1D487EB6"/>
    <w:rsid w:val="1D4D0670"/>
    <w:rsid w:val="1D525D67"/>
    <w:rsid w:val="1D74500E"/>
    <w:rsid w:val="1D7B204C"/>
    <w:rsid w:val="1E0A3BC4"/>
    <w:rsid w:val="1E0F2F88"/>
    <w:rsid w:val="1E317170"/>
    <w:rsid w:val="1E331E3B"/>
    <w:rsid w:val="1E4914EC"/>
    <w:rsid w:val="1E561B49"/>
    <w:rsid w:val="1E5B5B74"/>
    <w:rsid w:val="1E84790D"/>
    <w:rsid w:val="1E925E44"/>
    <w:rsid w:val="1EAD29D5"/>
    <w:rsid w:val="1EDB21B2"/>
    <w:rsid w:val="1EE21D29"/>
    <w:rsid w:val="1EEB57A3"/>
    <w:rsid w:val="1EF77EA4"/>
    <w:rsid w:val="1F0B37C8"/>
    <w:rsid w:val="1F280F4B"/>
    <w:rsid w:val="1F344FD9"/>
    <w:rsid w:val="1F3E1D5D"/>
    <w:rsid w:val="1F441C9D"/>
    <w:rsid w:val="1F511C17"/>
    <w:rsid w:val="1F5F3A9B"/>
    <w:rsid w:val="1F603A69"/>
    <w:rsid w:val="1F6E3177"/>
    <w:rsid w:val="1F6F04BA"/>
    <w:rsid w:val="1F6F7A87"/>
    <w:rsid w:val="1F7312F5"/>
    <w:rsid w:val="1F74673D"/>
    <w:rsid w:val="1F7742A1"/>
    <w:rsid w:val="1F786D21"/>
    <w:rsid w:val="1F7E03C6"/>
    <w:rsid w:val="1F832B7E"/>
    <w:rsid w:val="1F8C15A6"/>
    <w:rsid w:val="1F9415B5"/>
    <w:rsid w:val="1F9445FD"/>
    <w:rsid w:val="1F986F45"/>
    <w:rsid w:val="1F9F6666"/>
    <w:rsid w:val="1FB5210B"/>
    <w:rsid w:val="1FCD6552"/>
    <w:rsid w:val="1FD04999"/>
    <w:rsid w:val="1FD61FB0"/>
    <w:rsid w:val="1FE07634"/>
    <w:rsid w:val="1FF829ED"/>
    <w:rsid w:val="1FFC12EA"/>
    <w:rsid w:val="20016901"/>
    <w:rsid w:val="20027E74"/>
    <w:rsid w:val="201047BC"/>
    <w:rsid w:val="20176124"/>
    <w:rsid w:val="2019412B"/>
    <w:rsid w:val="201B0AD1"/>
    <w:rsid w:val="2024650C"/>
    <w:rsid w:val="204E5FD2"/>
    <w:rsid w:val="206D3F96"/>
    <w:rsid w:val="20703E6E"/>
    <w:rsid w:val="207A428C"/>
    <w:rsid w:val="20835E3C"/>
    <w:rsid w:val="208946C4"/>
    <w:rsid w:val="208F1332"/>
    <w:rsid w:val="209570A1"/>
    <w:rsid w:val="20AA71C2"/>
    <w:rsid w:val="20B10A0D"/>
    <w:rsid w:val="20B9166B"/>
    <w:rsid w:val="20D02ECC"/>
    <w:rsid w:val="20DC2970"/>
    <w:rsid w:val="20E00C0C"/>
    <w:rsid w:val="20EA0AA7"/>
    <w:rsid w:val="20ED0308"/>
    <w:rsid w:val="20F46465"/>
    <w:rsid w:val="20FA7410"/>
    <w:rsid w:val="21076B87"/>
    <w:rsid w:val="21094E07"/>
    <w:rsid w:val="21105360"/>
    <w:rsid w:val="21110DC5"/>
    <w:rsid w:val="21113681"/>
    <w:rsid w:val="21250156"/>
    <w:rsid w:val="212B3666"/>
    <w:rsid w:val="213276BA"/>
    <w:rsid w:val="21451A24"/>
    <w:rsid w:val="21523AD1"/>
    <w:rsid w:val="215C6880"/>
    <w:rsid w:val="216D19EE"/>
    <w:rsid w:val="21860B2C"/>
    <w:rsid w:val="218F0080"/>
    <w:rsid w:val="21BB2D65"/>
    <w:rsid w:val="21C20C05"/>
    <w:rsid w:val="21D536EF"/>
    <w:rsid w:val="21E13F03"/>
    <w:rsid w:val="21E9106C"/>
    <w:rsid w:val="21E949C3"/>
    <w:rsid w:val="21E96967"/>
    <w:rsid w:val="21F52495"/>
    <w:rsid w:val="22084595"/>
    <w:rsid w:val="220C2925"/>
    <w:rsid w:val="2225605D"/>
    <w:rsid w:val="222A72A4"/>
    <w:rsid w:val="222F1E4B"/>
    <w:rsid w:val="222F2404"/>
    <w:rsid w:val="22423882"/>
    <w:rsid w:val="226650A3"/>
    <w:rsid w:val="227334E7"/>
    <w:rsid w:val="22734646"/>
    <w:rsid w:val="228850B7"/>
    <w:rsid w:val="22AE1EDE"/>
    <w:rsid w:val="22C23296"/>
    <w:rsid w:val="22DD6CC1"/>
    <w:rsid w:val="22F774F6"/>
    <w:rsid w:val="2307360A"/>
    <w:rsid w:val="230F0CC5"/>
    <w:rsid w:val="232042A1"/>
    <w:rsid w:val="2322550C"/>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D16E12"/>
    <w:rsid w:val="23FE2934"/>
    <w:rsid w:val="24105169"/>
    <w:rsid w:val="24145543"/>
    <w:rsid w:val="2415164D"/>
    <w:rsid w:val="24207C9D"/>
    <w:rsid w:val="242853E9"/>
    <w:rsid w:val="24372605"/>
    <w:rsid w:val="24426206"/>
    <w:rsid w:val="244668E1"/>
    <w:rsid w:val="247921D2"/>
    <w:rsid w:val="249064A5"/>
    <w:rsid w:val="249B37C8"/>
    <w:rsid w:val="24A3012A"/>
    <w:rsid w:val="24A51F50"/>
    <w:rsid w:val="24AD52A9"/>
    <w:rsid w:val="24BB1774"/>
    <w:rsid w:val="24D40FD8"/>
    <w:rsid w:val="24DE5C48"/>
    <w:rsid w:val="24E51E80"/>
    <w:rsid w:val="24F64777"/>
    <w:rsid w:val="24FB1C59"/>
    <w:rsid w:val="24FE0E05"/>
    <w:rsid w:val="250A26FB"/>
    <w:rsid w:val="25382DC5"/>
    <w:rsid w:val="25476557"/>
    <w:rsid w:val="25517809"/>
    <w:rsid w:val="255F47F5"/>
    <w:rsid w:val="256C1BBD"/>
    <w:rsid w:val="256F2571"/>
    <w:rsid w:val="2576124C"/>
    <w:rsid w:val="258130F7"/>
    <w:rsid w:val="259402E7"/>
    <w:rsid w:val="25AF3989"/>
    <w:rsid w:val="25B82D92"/>
    <w:rsid w:val="25BD25B4"/>
    <w:rsid w:val="25C73339"/>
    <w:rsid w:val="25C772BF"/>
    <w:rsid w:val="25D05B49"/>
    <w:rsid w:val="25D62822"/>
    <w:rsid w:val="25FD1357"/>
    <w:rsid w:val="260B3061"/>
    <w:rsid w:val="260E0C8F"/>
    <w:rsid w:val="26127ABA"/>
    <w:rsid w:val="26205FC9"/>
    <w:rsid w:val="262931EB"/>
    <w:rsid w:val="262E591A"/>
    <w:rsid w:val="263771C4"/>
    <w:rsid w:val="26400EA4"/>
    <w:rsid w:val="26455321"/>
    <w:rsid w:val="264D464E"/>
    <w:rsid w:val="265B4748"/>
    <w:rsid w:val="26622CD9"/>
    <w:rsid w:val="266372C2"/>
    <w:rsid w:val="267961DB"/>
    <w:rsid w:val="268C7D4E"/>
    <w:rsid w:val="26A60A07"/>
    <w:rsid w:val="26B172D2"/>
    <w:rsid w:val="26B424FB"/>
    <w:rsid w:val="26B446CD"/>
    <w:rsid w:val="26CC1B59"/>
    <w:rsid w:val="26CF2874"/>
    <w:rsid w:val="26D10ECC"/>
    <w:rsid w:val="26EF57DC"/>
    <w:rsid w:val="27083115"/>
    <w:rsid w:val="27142A2D"/>
    <w:rsid w:val="271B4881"/>
    <w:rsid w:val="27214C90"/>
    <w:rsid w:val="272414C7"/>
    <w:rsid w:val="272A2ED5"/>
    <w:rsid w:val="27554102"/>
    <w:rsid w:val="27685524"/>
    <w:rsid w:val="276959E0"/>
    <w:rsid w:val="276F555C"/>
    <w:rsid w:val="27702C8E"/>
    <w:rsid w:val="2771149D"/>
    <w:rsid w:val="277125BE"/>
    <w:rsid w:val="27827E3D"/>
    <w:rsid w:val="27930786"/>
    <w:rsid w:val="27A028B7"/>
    <w:rsid w:val="27AB6605"/>
    <w:rsid w:val="27BF3604"/>
    <w:rsid w:val="27D26786"/>
    <w:rsid w:val="27D33279"/>
    <w:rsid w:val="27EA6257"/>
    <w:rsid w:val="27EE1E60"/>
    <w:rsid w:val="27F82CDF"/>
    <w:rsid w:val="27FD3CE9"/>
    <w:rsid w:val="280D0539"/>
    <w:rsid w:val="2831638E"/>
    <w:rsid w:val="283D14DA"/>
    <w:rsid w:val="284F457A"/>
    <w:rsid w:val="28503B39"/>
    <w:rsid w:val="28505402"/>
    <w:rsid w:val="285117F8"/>
    <w:rsid w:val="288445F5"/>
    <w:rsid w:val="28883EBB"/>
    <w:rsid w:val="28885F5E"/>
    <w:rsid w:val="288B7B30"/>
    <w:rsid w:val="28901CD3"/>
    <w:rsid w:val="28907627"/>
    <w:rsid w:val="28A013AD"/>
    <w:rsid w:val="28A908AA"/>
    <w:rsid w:val="28C3120E"/>
    <w:rsid w:val="28D9203E"/>
    <w:rsid w:val="28F87F99"/>
    <w:rsid w:val="29043050"/>
    <w:rsid w:val="290851A4"/>
    <w:rsid w:val="290A1459"/>
    <w:rsid w:val="290D2770"/>
    <w:rsid w:val="29312005"/>
    <w:rsid w:val="293430C2"/>
    <w:rsid w:val="29394DC3"/>
    <w:rsid w:val="294D3F3D"/>
    <w:rsid w:val="295757E3"/>
    <w:rsid w:val="296A69AB"/>
    <w:rsid w:val="296E2E4C"/>
    <w:rsid w:val="297A28A9"/>
    <w:rsid w:val="29871168"/>
    <w:rsid w:val="299C610E"/>
    <w:rsid w:val="299F7580"/>
    <w:rsid w:val="299F78B6"/>
    <w:rsid w:val="29B24934"/>
    <w:rsid w:val="29B661A7"/>
    <w:rsid w:val="29C25DAC"/>
    <w:rsid w:val="29D26FA5"/>
    <w:rsid w:val="29D6334A"/>
    <w:rsid w:val="29DA08EE"/>
    <w:rsid w:val="29EF59E7"/>
    <w:rsid w:val="29F869C7"/>
    <w:rsid w:val="29FA460F"/>
    <w:rsid w:val="2A081208"/>
    <w:rsid w:val="2A19132F"/>
    <w:rsid w:val="2A1E3A2B"/>
    <w:rsid w:val="2A3714C4"/>
    <w:rsid w:val="2A377AEF"/>
    <w:rsid w:val="2A3C40CC"/>
    <w:rsid w:val="2A3D4248"/>
    <w:rsid w:val="2A4E1459"/>
    <w:rsid w:val="2A5E24DB"/>
    <w:rsid w:val="2A6F54DA"/>
    <w:rsid w:val="2A926984"/>
    <w:rsid w:val="2AA908E7"/>
    <w:rsid w:val="2AB63109"/>
    <w:rsid w:val="2AC017A8"/>
    <w:rsid w:val="2AC36155"/>
    <w:rsid w:val="2AF2488D"/>
    <w:rsid w:val="2B01334C"/>
    <w:rsid w:val="2B17347C"/>
    <w:rsid w:val="2B1C1A99"/>
    <w:rsid w:val="2B204A27"/>
    <w:rsid w:val="2B334F71"/>
    <w:rsid w:val="2B4D4BC5"/>
    <w:rsid w:val="2B50394A"/>
    <w:rsid w:val="2B603075"/>
    <w:rsid w:val="2B753191"/>
    <w:rsid w:val="2B7740E7"/>
    <w:rsid w:val="2B7D6E07"/>
    <w:rsid w:val="2B9444D2"/>
    <w:rsid w:val="2BB4516F"/>
    <w:rsid w:val="2BBF4BF8"/>
    <w:rsid w:val="2BE340CE"/>
    <w:rsid w:val="2BFA7026"/>
    <w:rsid w:val="2BFC3479"/>
    <w:rsid w:val="2C1A48CD"/>
    <w:rsid w:val="2C1A76C8"/>
    <w:rsid w:val="2C1E1CA1"/>
    <w:rsid w:val="2C214447"/>
    <w:rsid w:val="2C22032B"/>
    <w:rsid w:val="2C232160"/>
    <w:rsid w:val="2C44210E"/>
    <w:rsid w:val="2C4D6F1B"/>
    <w:rsid w:val="2C587217"/>
    <w:rsid w:val="2C640943"/>
    <w:rsid w:val="2C680433"/>
    <w:rsid w:val="2C825683"/>
    <w:rsid w:val="2C8D63B1"/>
    <w:rsid w:val="2CA60F5C"/>
    <w:rsid w:val="2CBB44E5"/>
    <w:rsid w:val="2CBC77F6"/>
    <w:rsid w:val="2CC145F6"/>
    <w:rsid w:val="2CC87124"/>
    <w:rsid w:val="2CDB55D6"/>
    <w:rsid w:val="2CF00429"/>
    <w:rsid w:val="2D00230F"/>
    <w:rsid w:val="2D0A773C"/>
    <w:rsid w:val="2D121A68"/>
    <w:rsid w:val="2D157E8F"/>
    <w:rsid w:val="2D1D236A"/>
    <w:rsid w:val="2D26209C"/>
    <w:rsid w:val="2D2728B4"/>
    <w:rsid w:val="2D2F5CDB"/>
    <w:rsid w:val="2D3622E0"/>
    <w:rsid w:val="2DAB174B"/>
    <w:rsid w:val="2DAC3053"/>
    <w:rsid w:val="2DB15E0A"/>
    <w:rsid w:val="2DB21AB3"/>
    <w:rsid w:val="2DC70AE2"/>
    <w:rsid w:val="2DC82F69"/>
    <w:rsid w:val="2DCA6026"/>
    <w:rsid w:val="2DCD4928"/>
    <w:rsid w:val="2DE96603"/>
    <w:rsid w:val="2DEE2BBA"/>
    <w:rsid w:val="2DF918E8"/>
    <w:rsid w:val="2E023C28"/>
    <w:rsid w:val="2E0E6DB8"/>
    <w:rsid w:val="2E1729D6"/>
    <w:rsid w:val="2E1A0C6A"/>
    <w:rsid w:val="2E262354"/>
    <w:rsid w:val="2E310CF9"/>
    <w:rsid w:val="2E347EE6"/>
    <w:rsid w:val="2E374A38"/>
    <w:rsid w:val="2E3A1850"/>
    <w:rsid w:val="2E3C5510"/>
    <w:rsid w:val="2E5C5D76"/>
    <w:rsid w:val="2E6305D7"/>
    <w:rsid w:val="2E666BF4"/>
    <w:rsid w:val="2E690638"/>
    <w:rsid w:val="2E857DAE"/>
    <w:rsid w:val="2E875B98"/>
    <w:rsid w:val="2E8E614B"/>
    <w:rsid w:val="2EA37EAA"/>
    <w:rsid w:val="2EBD7031"/>
    <w:rsid w:val="2EF73B32"/>
    <w:rsid w:val="2F011E82"/>
    <w:rsid w:val="2F240791"/>
    <w:rsid w:val="2F2B399A"/>
    <w:rsid w:val="2F492921"/>
    <w:rsid w:val="2F4C7446"/>
    <w:rsid w:val="2F546A4D"/>
    <w:rsid w:val="2F6858EF"/>
    <w:rsid w:val="2F6A0B1E"/>
    <w:rsid w:val="2F784161"/>
    <w:rsid w:val="2F7B48B5"/>
    <w:rsid w:val="2F853233"/>
    <w:rsid w:val="2F971030"/>
    <w:rsid w:val="2F9C4F97"/>
    <w:rsid w:val="2FAF333B"/>
    <w:rsid w:val="2FBE31AC"/>
    <w:rsid w:val="2FC27E67"/>
    <w:rsid w:val="2FCD2C96"/>
    <w:rsid w:val="2FCE058D"/>
    <w:rsid w:val="2FD75997"/>
    <w:rsid w:val="2FE66FC1"/>
    <w:rsid w:val="2FE77BC4"/>
    <w:rsid w:val="2FF678AF"/>
    <w:rsid w:val="300C7DD0"/>
    <w:rsid w:val="30160CDB"/>
    <w:rsid w:val="301B2075"/>
    <w:rsid w:val="30243B4E"/>
    <w:rsid w:val="30287A71"/>
    <w:rsid w:val="30334092"/>
    <w:rsid w:val="3046030C"/>
    <w:rsid w:val="304C3C74"/>
    <w:rsid w:val="304E7940"/>
    <w:rsid w:val="30601421"/>
    <w:rsid w:val="30613F93"/>
    <w:rsid w:val="306162D4"/>
    <w:rsid w:val="30635A86"/>
    <w:rsid w:val="30717AD3"/>
    <w:rsid w:val="30797BE5"/>
    <w:rsid w:val="308146B4"/>
    <w:rsid w:val="308710A4"/>
    <w:rsid w:val="308B2942"/>
    <w:rsid w:val="309F27BB"/>
    <w:rsid w:val="30BA4FD6"/>
    <w:rsid w:val="30C01081"/>
    <w:rsid w:val="30C81567"/>
    <w:rsid w:val="30CC18E3"/>
    <w:rsid w:val="30CD46BC"/>
    <w:rsid w:val="30CE0A81"/>
    <w:rsid w:val="31013135"/>
    <w:rsid w:val="311763B6"/>
    <w:rsid w:val="31201479"/>
    <w:rsid w:val="31257A15"/>
    <w:rsid w:val="31344D88"/>
    <w:rsid w:val="31404F70"/>
    <w:rsid w:val="31452A71"/>
    <w:rsid w:val="31527289"/>
    <w:rsid w:val="315471D8"/>
    <w:rsid w:val="31552377"/>
    <w:rsid w:val="31834561"/>
    <w:rsid w:val="318F2514"/>
    <w:rsid w:val="3190424C"/>
    <w:rsid w:val="31AC658F"/>
    <w:rsid w:val="31B2519D"/>
    <w:rsid w:val="31B37BA1"/>
    <w:rsid w:val="31CB6D6E"/>
    <w:rsid w:val="31E00383"/>
    <w:rsid w:val="31EE6D68"/>
    <w:rsid w:val="31F241E6"/>
    <w:rsid w:val="31FD2600"/>
    <w:rsid w:val="3207424B"/>
    <w:rsid w:val="32114B98"/>
    <w:rsid w:val="32127E75"/>
    <w:rsid w:val="32210BD1"/>
    <w:rsid w:val="322658D9"/>
    <w:rsid w:val="322D17D7"/>
    <w:rsid w:val="32361B53"/>
    <w:rsid w:val="32400891"/>
    <w:rsid w:val="32493248"/>
    <w:rsid w:val="324C0B81"/>
    <w:rsid w:val="326C730B"/>
    <w:rsid w:val="326E7E26"/>
    <w:rsid w:val="3272558C"/>
    <w:rsid w:val="327403EA"/>
    <w:rsid w:val="3281224F"/>
    <w:rsid w:val="329A29DB"/>
    <w:rsid w:val="32BF68D3"/>
    <w:rsid w:val="32C25872"/>
    <w:rsid w:val="32C75788"/>
    <w:rsid w:val="32D473D1"/>
    <w:rsid w:val="32DA51AD"/>
    <w:rsid w:val="32DC671C"/>
    <w:rsid w:val="32E67F06"/>
    <w:rsid w:val="33091096"/>
    <w:rsid w:val="33232830"/>
    <w:rsid w:val="33247F6A"/>
    <w:rsid w:val="332D664F"/>
    <w:rsid w:val="33442827"/>
    <w:rsid w:val="33462AFF"/>
    <w:rsid w:val="337E52FC"/>
    <w:rsid w:val="33843CA1"/>
    <w:rsid w:val="338604C2"/>
    <w:rsid w:val="338F2A0F"/>
    <w:rsid w:val="33996246"/>
    <w:rsid w:val="33AF3F49"/>
    <w:rsid w:val="33B0446E"/>
    <w:rsid w:val="33C323F3"/>
    <w:rsid w:val="33CD5A8C"/>
    <w:rsid w:val="33DC7649"/>
    <w:rsid w:val="340639D6"/>
    <w:rsid w:val="34105AD1"/>
    <w:rsid w:val="34125129"/>
    <w:rsid w:val="34227213"/>
    <w:rsid w:val="34515C51"/>
    <w:rsid w:val="345254B5"/>
    <w:rsid w:val="34731AFC"/>
    <w:rsid w:val="347728F4"/>
    <w:rsid w:val="348B54C8"/>
    <w:rsid w:val="348C4EDB"/>
    <w:rsid w:val="34915550"/>
    <w:rsid w:val="349D49F2"/>
    <w:rsid w:val="349D56AC"/>
    <w:rsid w:val="349D6BA5"/>
    <w:rsid w:val="34A11B7B"/>
    <w:rsid w:val="34A6697A"/>
    <w:rsid w:val="34AF7E71"/>
    <w:rsid w:val="34B33A72"/>
    <w:rsid w:val="34BF1760"/>
    <w:rsid w:val="34C5219B"/>
    <w:rsid w:val="34D5280E"/>
    <w:rsid w:val="34DB19BE"/>
    <w:rsid w:val="34E20D20"/>
    <w:rsid w:val="34E46AC5"/>
    <w:rsid w:val="350C7DB7"/>
    <w:rsid w:val="355D6F36"/>
    <w:rsid w:val="3562042D"/>
    <w:rsid w:val="356608C9"/>
    <w:rsid w:val="35850AE6"/>
    <w:rsid w:val="35A90EA2"/>
    <w:rsid w:val="35DE1818"/>
    <w:rsid w:val="35E06871"/>
    <w:rsid w:val="36146F55"/>
    <w:rsid w:val="362A49AB"/>
    <w:rsid w:val="36314CC3"/>
    <w:rsid w:val="364E3DD0"/>
    <w:rsid w:val="36511F38"/>
    <w:rsid w:val="365437D6"/>
    <w:rsid w:val="365B6913"/>
    <w:rsid w:val="366F6862"/>
    <w:rsid w:val="36785717"/>
    <w:rsid w:val="36787E34"/>
    <w:rsid w:val="367E4E3B"/>
    <w:rsid w:val="36997418"/>
    <w:rsid w:val="36D974F7"/>
    <w:rsid w:val="36E03CF2"/>
    <w:rsid w:val="36E05B33"/>
    <w:rsid w:val="36E77649"/>
    <w:rsid w:val="36FC06E4"/>
    <w:rsid w:val="37002BA5"/>
    <w:rsid w:val="370C5E5F"/>
    <w:rsid w:val="372413FB"/>
    <w:rsid w:val="372A57D1"/>
    <w:rsid w:val="372B7A8B"/>
    <w:rsid w:val="373006D6"/>
    <w:rsid w:val="373215AF"/>
    <w:rsid w:val="37395AAC"/>
    <w:rsid w:val="373A0C1E"/>
    <w:rsid w:val="37533A9C"/>
    <w:rsid w:val="37554C2A"/>
    <w:rsid w:val="376C2F8C"/>
    <w:rsid w:val="37726D74"/>
    <w:rsid w:val="37733C45"/>
    <w:rsid w:val="37985945"/>
    <w:rsid w:val="379E6E7B"/>
    <w:rsid w:val="37A34A15"/>
    <w:rsid w:val="37B704C1"/>
    <w:rsid w:val="37C452B4"/>
    <w:rsid w:val="37CA01F4"/>
    <w:rsid w:val="37D723D8"/>
    <w:rsid w:val="37EA244F"/>
    <w:rsid w:val="3801691A"/>
    <w:rsid w:val="38053C44"/>
    <w:rsid w:val="3816564C"/>
    <w:rsid w:val="382A2A0E"/>
    <w:rsid w:val="382A2A41"/>
    <w:rsid w:val="383C5D00"/>
    <w:rsid w:val="383F5E4A"/>
    <w:rsid w:val="38622194"/>
    <w:rsid w:val="38684F32"/>
    <w:rsid w:val="387A7CA5"/>
    <w:rsid w:val="387E3BF1"/>
    <w:rsid w:val="388402C8"/>
    <w:rsid w:val="388E0F50"/>
    <w:rsid w:val="38941E98"/>
    <w:rsid w:val="38983F5E"/>
    <w:rsid w:val="38A02D03"/>
    <w:rsid w:val="38B4055C"/>
    <w:rsid w:val="38EC1118"/>
    <w:rsid w:val="38EE7F12"/>
    <w:rsid w:val="38F96580"/>
    <w:rsid w:val="38FD1A72"/>
    <w:rsid w:val="39056352"/>
    <w:rsid w:val="392F5095"/>
    <w:rsid w:val="39331DC9"/>
    <w:rsid w:val="393F42CA"/>
    <w:rsid w:val="39413193"/>
    <w:rsid w:val="39465433"/>
    <w:rsid w:val="395B6912"/>
    <w:rsid w:val="39750ACE"/>
    <w:rsid w:val="398A61BC"/>
    <w:rsid w:val="399510E7"/>
    <w:rsid w:val="399B683C"/>
    <w:rsid w:val="399D3FE9"/>
    <w:rsid w:val="39B00029"/>
    <w:rsid w:val="39B51F60"/>
    <w:rsid w:val="39BA6046"/>
    <w:rsid w:val="39BD13BD"/>
    <w:rsid w:val="39BE3B67"/>
    <w:rsid w:val="39DD3AE3"/>
    <w:rsid w:val="39E932D4"/>
    <w:rsid w:val="39EA0C0C"/>
    <w:rsid w:val="39FB7D1E"/>
    <w:rsid w:val="39FC665F"/>
    <w:rsid w:val="3A1C6D85"/>
    <w:rsid w:val="3A276D51"/>
    <w:rsid w:val="3A390376"/>
    <w:rsid w:val="3A3F6C87"/>
    <w:rsid w:val="3A3F7409"/>
    <w:rsid w:val="3A4D6EBA"/>
    <w:rsid w:val="3A531373"/>
    <w:rsid w:val="3A5B021A"/>
    <w:rsid w:val="3A5C70FE"/>
    <w:rsid w:val="3A772970"/>
    <w:rsid w:val="3A7954E5"/>
    <w:rsid w:val="3A7D6D38"/>
    <w:rsid w:val="3A7E0E22"/>
    <w:rsid w:val="3A820CC7"/>
    <w:rsid w:val="3A8521B0"/>
    <w:rsid w:val="3A903326"/>
    <w:rsid w:val="3A9C74FA"/>
    <w:rsid w:val="3AB40CE8"/>
    <w:rsid w:val="3AB971E4"/>
    <w:rsid w:val="3AC32CD9"/>
    <w:rsid w:val="3ADF78F0"/>
    <w:rsid w:val="3AE00107"/>
    <w:rsid w:val="3AE3337B"/>
    <w:rsid w:val="3AE428CE"/>
    <w:rsid w:val="3AED465B"/>
    <w:rsid w:val="3B023CD3"/>
    <w:rsid w:val="3B140F58"/>
    <w:rsid w:val="3B170940"/>
    <w:rsid w:val="3B2A2C19"/>
    <w:rsid w:val="3B376B70"/>
    <w:rsid w:val="3B7A7129"/>
    <w:rsid w:val="3B7D7576"/>
    <w:rsid w:val="3B7F1E8C"/>
    <w:rsid w:val="3B88391F"/>
    <w:rsid w:val="3B890DAC"/>
    <w:rsid w:val="3B911029"/>
    <w:rsid w:val="3B9823B7"/>
    <w:rsid w:val="3BA25DBC"/>
    <w:rsid w:val="3BB6283D"/>
    <w:rsid w:val="3BC76E9C"/>
    <w:rsid w:val="3BCB467A"/>
    <w:rsid w:val="3BDD3907"/>
    <w:rsid w:val="3BE90506"/>
    <w:rsid w:val="3BEB6832"/>
    <w:rsid w:val="3BF53366"/>
    <w:rsid w:val="3BF72C69"/>
    <w:rsid w:val="3BFA06DC"/>
    <w:rsid w:val="3C010C01"/>
    <w:rsid w:val="3C08753D"/>
    <w:rsid w:val="3C0D6901"/>
    <w:rsid w:val="3C2E4B3E"/>
    <w:rsid w:val="3C2E5ED4"/>
    <w:rsid w:val="3C34309D"/>
    <w:rsid w:val="3C371BD0"/>
    <w:rsid w:val="3C40766B"/>
    <w:rsid w:val="3C5000BD"/>
    <w:rsid w:val="3C5938F5"/>
    <w:rsid w:val="3C6A5B02"/>
    <w:rsid w:val="3C7F621D"/>
    <w:rsid w:val="3C8B47EB"/>
    <w:rsid w:val="3C95088E"/>
    <w:rsid w:val="3CAD1E92"/>
    <w:rsid w:val="3CBB6AC9"/>
    <w:rsid w:val="3CBD35C8"/>
    <w:rsid w:val="3D1456AE"/>
    <w:rsid w:val="3D145DCC"/>
    <w:rsid w:val="3D1C0002"/>
    <w:rsid w:val="3D281519"/>
    <w:rsid w:val="3D2962ED"/>
    <w:rsid w:val="3D2D7B94"/>
    <w:rsid w:val="3D340B81"/>
    <w:rsid w:val="3D484A54"/>
    <w:rsid w:val="3D4E706F"/>
    <w:rsid w:val="3D4F6AA6"/>
    <w:rsid w:val="3D516CC2"/>
    <w:rsid w:val="3D605157"/>
    <w:rsid w:val="3D8311E9"/>
    <w:rsid w:val="3D900FA9"/>
    <w:rsid w:val="3D9A694F"/>
    <w:rsid w:val="3DAA319C"/>
    <w:rsid w:val="3DE805B0"/>
    <w:rsid w:val="3DEB2C72"/>
    <w:rsid w:val="3DF00289"/>
    <w:rsid w:val="3E036111"/>
    <w:rsid w:val="3E0B2530"/>
    <w:rsid w:val="3E1E4036"/>
    <w:rsid w:val="3E410AE4"/>
    <w:rsid w:val="3E5D6B5C"/>
    <w:rsid w:val="3E6F5651"/>
    <w:rsid w:val="3E7E4756"/>
    <w:rsid w:val="3E8106B7"/>
    <w:rsid w:val="3E845265"/>
    <w:rsid w:val="3E881F78"/>
    <w:rsid w:val="3E9A3719"/>
    <w:rsid w:val="3EC254C0"/>
    <w:rsid w:val="3ED07987"/>
    <w:rsid w:val="3EDC002C"/>
    <w:rsid w:val="3EE6343A"/>
    <w:rsid w:val="3EE935FA"/>
    <w:rsid w:val="3EED10F8"/>
    <w:rsid w:val="3EFB6EE5"/>
    <w:rsid w:val="3EFE25BA"/>
    <w:rsid w:val="3F051B12"/>
    <w:rsid w:val="3F310FA6"/>
    <w:rsid w:val="3F337D20"/>
    <w:rsid w:val="3F3C00D6"/>
    <w:rsid w:val="3F506818"/>
    <w:rsid w:val="3F5C5A0A"/>
    <w:rsid w:val="3F684E6E"/>
    <w:rsid w:val="3F6A3676"/>
    <w:rsid w:val="3F6F1681"/>
    <w:rsid w:val="3F710A6F"/>
    <w:rsid w:val="3F7E1F67"/>
    <w:rsid w:val="3F83420A"/>
    <w:rsid w:val="3F8F7315"/>
    <w:rsid w:val="3F9A203F"/>
    <w:rsid w:val="3FA67005"/>
    <w:rsid w:val="3FAE6184"/>
    <w:rsid w:val="3FD472D0"/>
    <w:rsid w:val="3FE31731"/>
    <w:rsid w:val="3FE36C1C"/>
    <w:rsid w:val="3FE72AEA"/>
    <w:rsid w:val="3FEB19D5"/>
    <w:rsid w:val="402E5098"/>
    <w:rsid w:val="40371A55"/>
    <w:rsid w:val="403B55F7"/>
    <w:rsid w:val="403D5505"/>
    <w:rsid w:val="404866AD"/>
    <w:rsid w:val="404C5FC4"/>
    <w:rsid w:val="404E1296"/>
    <w:rsid w:val="40632B44"/>
    <w:rsid w:val="406D6C79"/>
    <w:rsid w:val="408853C4"/>
    <w:rsid w:val="409475F1"/>
    <w:rsid w:val="40B67D70"/>
    <w:rsid w:val="40D75E60"/>
    <w:rsid w:val="40F02F75"/>
    <w:rsid w:val="40F2437B"/>
    <w:rsid w:val="40FD48E0"/>
    <w:rsid w:val="40FE1BCF"/>
    <w:rsid w:val="40FE520F"/>
    <w:rsid w:val="410F4ECA"/>
    <w:rsid w:val="414562FD"/>
    <w:rsid w:val="414C3B30"/>
    <w:rsid w:val="414E0433"/>
    <w:rsid w:val="41524DB6"/>
    <w:rsid w:val="41563B9A"/>
    <w:rsid w:val="41731331"/>
    <w:rsid w:val="41792343"/>
    <w:rsid w:val="417B7161"/>
    <w:rsid w:val="418579D7"/>
    <w:rsid w:val="418C6B85"/>
    <w:rsid w:val="418D4040"/>
    <w:rsid w:val="4196095F"/>
    <w:rsid w:val="41970A1B"/>
    <w:rsid w:val="419D72A2"/>
    <w:rsid w:val="41A0236E"/>
    <w:rsid w:val="41A96728"/>
    <w:rsid w:val="41AB6899"/>
    <w:rsid w:val="41BF450A"/>
    <w:rsid w:val="41CA0DF1"/>
    <w:rsid w:val="41F95353"/>
    <w:rsid w:val="42076836"/>
    <w:rsid w:val="420F1D94"/>
    <w:rsid w:val="423B1FA8"/>
    <w:rsid w:val="424E4424"/>
    <w:rsid w:val="427625D2"/>
    <w:rsid w:val="428471F1"/>
    <w:rsid w:val="42894808"/>
    <w:rsid w:val="42925DB2"/>
    <w:rsid w:val="429325D1"/>
    <w:rsid w:val="429B53DF"/>
    <w:rsid w:val="429E3CF8"/>
    <w:rsid w:val="42AB29D0"/>
    <w:rsid w:val="42B80EC8"/>
    <w:rsid w:val="42BC7452"/>
    <w:rsid w:val="42C85330"/>
    <w:rsid w:val="42D12138"/>
    <w:rsid w:val="42DC0DDB"/>
    <w:rsid w:val="42DD2F74"/>
    <w:rsid w:val="42F7079D"/>
    <w:rsid w:val="43016A94"/>
    <w:rsid w:val="430D4AC0"/>
    <w:rsid w:val="431C1B20"/>
    <w:rsid w:val="431E047F"/>
    <w:rsid w:val="431E65EF"/>
    <w:rsid w:val="43282273"/>
    <w:rsid w:val="43522956"/>
    <w:rsid w:val="43624EAD"/>
    <w:rsid w:val="437750CA"/>
    <w:rsid w:val="4383394D"/>
    <w:rsid w:val="438D45B9"/>
    <w:rsid w:val="43985D00"/>
    <w:rsid w:val="43986BA3"/>
    <w:rsid w:val="43A87A0A"/>
    <w:rsid w:val="43AB2F4E"/>
    <w:rsid w:val="43AC3F44"/>
    <w:rsid w:val="43B1210D"/>
    <w:rsid w:val="43DE77F3"/>
    <w:rsid w:val="43EF7EFB"/>
    <w:rsid w:val="43FA2050"/>
    <w:rsid w:val="4400649E"/>
    <w:rsid w:val="441910A9"/>
    <w:rsid w:val="442742D8"/>
    <w:rsid w:val="444359C3"/>
    <w:rsid w:val="44500782"/>
    <w:rsid w:val="446871A0"/>
    <w:rsid w:val="446A2417"/>
    <w:rsid w:val="4478624B"/>
    <w:rsid w:val="447B6681"/>
    <w:rsid w:val="4493367B"/>
    <w:rsid w:val="44961F17"/>
    <w:rsid w:val="44A84176"/>
    <w:rsid w:val="44AB74B4"/>
    <w:rsid w:val="44BB301C"/>
    <w:rsid w:val="44D0671E"/>
    <w:rsid w:val="44DF1057"/>
    <w:rsid w:val="450A3185"/>
    <w:rsid w:val="450B1E4C"/>
    <w:rsid w:val="450E61CB"/>
    <w:rsid w:val="451037D6"/>
    <w:rsid w:val="451D2988"/>
    <w:rsid w:val="45280575"/>
    <w:rsid w:val="452905F3"/>
    <w:rsid w:val="45433394"/>
    <w:rsid w:val="45582FC6"/>
    <w:rsid w:val="4568103F"/>
    <w:rsid w:val="457B2B2E"/>
    <w:rsid w:val="45801D53"/>
    <w:rsid w:val="458A2D71"/>
    <w:rsid w:val="458C4D3B"/>
    <w:rsid w:val="45953C03"/>
    <w:rsid w:val="45AE2DF6"/>
    <w:rsid w:val="45BF0D92"/>
    <w:rsid w:val="45F459D1"/>
    <w:rsid w:val="46052F0A"/>
    <w:rsid w:val="460C379B"/>
    <w:rsid w:val="460C7C2A"/>
    <w:rsid w:val="461B1C1B"/>
    <w:rsid w:val="462B2635"/>
    <w:rsid w:val="462F2C65"/>
    <w:rsid w:val="462F56C6"/>
    <w:rsid w:val="46401681"/>
    <w:rsid w:val="46405B25"/>
    <w:rsid w:val="464461A7"/>
    <w:rsid w:val="464A3711"/>
    <w:rsid w:val="46552058"/>
    <w:rsid w:val="46627FC0"/>
    <w:rsid w:val="466B4F4C"/>
    <w:rsid w:val="46753A21"/>
    <w:rsid w:val="469246C4"/>
    <w:rsid w:val="46935C55"/>
    <w:rsid w:val="46977D08"/>
    <w:rsid w:val="46AF3AB5"/>
    <w:rsid w:val="46E25CA4"/>
    <w:rsid w:val="46E37251"/>
    <w:rsid w:val="46F40267"/>
    <w:rsid w:val="47017932"/>
    <w:rsid w:val="470628CB"/>
    <w:rsid w:val="4716287B"/>
    <w:rsid w:val="47294A71"/>
    <w:rsid w:val="472D2C48"/>
    <w:rsid w:val="474C71DB"/>
    <w:rsid w:val="475662DB"/>
    <w:rsid w:val="47756FD4"/>
    <w:rsid w:val="479B7297"/>
    <w:rsid w:val="47A214C1"/>
    <w:rsid w:val="47A3636C"/>
    <w:rsid w:val="47C2529B"/>
    <w:rsid w:val="47C54534"/>
    <w:rsid w:val="47D626EF"/>
    <w:rsid w:val="47DE0285"/>
    <w:rsid w:val="47E349BA"/>
    <w:rsid w:val="47E81AB8"/>
    <w:rsid w:val="47ED730F"/>
    <w:rsid w:val="47F3460E"/>
    <w:rsid w:val="47F77566"/>
    <w:rsid w:val="47F94BE6"/>
    <w:rsid w:val="480C5CBF"/>
    <w:rsid w:val="481013F7"/>
    <w:rsid w:val="4812405E"/>
    <w:rsid w:val="481A3D49"/>
    <w:rsid w:val="481C1F20"/>
    <w:rsid w:val="48220E04"/>
    <w:rsid w:val="48225672"/>
    <w:rsid w:val="482454C6"/>
    <w:rsid w:val="48297C86"/>
    <w:rsid w:val="48370969"/>
    <w:rsid w:val="4844625B"/>
    <w:rsid w:val="48580F04"/>
    <w:rsid w:val="486434C4"/>
    <w:rsid w:val="486B4E85"/>
    <w:rsid w:val="48801F0A"/>
    <w:rsid w:val="48861E49"/>
    <w:rsid w:val="488C6B30"/>
    <w:rsid w:val="48913C4F"/>
    <w:rsid w:val="489757F5"/>
    <w:rsid w:val="489C3512"/>
    <w:rsid w:val="489C7EA5"/>
    <w:rsid w:val="48AF592F"/>
    <w:rsid w:val="48BF5427"/>
    <w:rsid w:val="48D04F3E"/>
    <w:rsid w:val="48DB5184"/>
    <w:rsid w:val="48DC4BB3"/>
    <w:rsid w:val="48F11175"/>
    <w:rsid w:val="48FC5916"/>
    <w:rsid w:val="4900334A"/>
    <w:rsid w:val="49035E3C"/>
    <w:rsid w:val="49161A6F"/>
    <w:rsid w:val="491B567A"/>
    <w:rsid w:val="492819DC"/>
    <w:rsid w:val="49336FEA"/>
    <w:rsid w:val="493556E9"/>
    <w:rsid w:val="493E22D0"/>
    <w:rsid w:val="49415896"/>
    <w:rsid w:val="4953162D"/>
    <w:rsid w:val="495C3D14"/>
    <w:rsid w:val="496A4A80"/>
    <w:rsid w:val="496D6654"/>
    <w:rsid w:val="497C5511"/>
    <w:rsid w:val="497E0E3E"/>
    <w:rsid w:val="498E2725"/>
    <w:rsid w:val="499C6D01"/>
    <w:rsid w:val="49A3132A"/>
    <w:rsid w:val="49B65DC9"/>
    <w:rsid w:val="49C600F0"/>
    <w:rsid w:val="49C6524F"/>
    <w:rsid w:val="49C828D8"/>
    <w:rsid w:val="49D94123"/>
    <w:rsid w:val="49E82B6B"/>
    <w:rsid w:val="49E970EA"/>
    <w:rsid w:val="49EE0415"/>
    <w:rsid w:val="49F904C5"/>
    <w:rsid w:val="4A000FFC"/>
    <w:rsid w:val="4A0805D0"/>
    <w:rsid w:val="4A1E1CDA"/>
    <w:rsid w:val="4A26545B"/>
    <w:rsid w:val="4A290AF9"/>
    <w:rsid w:val="4A3E1268"/>
    <w:rsid w:val="4A431740"/>
    <w:rsid w:val="4A560AA6"/>
    <w:rsid w:val="4A631F60"/>
    <w:rsid w:val="4A6F7034"/>
    <w:rsid w:val="4A7B659D"/>
    <w:rsid w:val="4A8F76FA"/>
    <w:rsid w:val="4ACF1226"/>
    <w:rsid w:val="4AD018B4"/>
    <w:rsid w:val="4AD122F6"/>
    <w:rsid w:val="4AFB6678"/>
    <w:rsid w:val="4B12483C"/>
    <w:rsid w:val="4B182BCD"/>
    <w:rsid w:val="4B257098"/>
    <w:rsid w:val="4B281AD9"/>
    <w:rsid w:val="4B286964"/>
    <w:rsid w:val="4B3A6FE7"/>
    <w:rsid w:val="4B462533"/>
    <w:rsid w:val="4B497516"/>
    <w:rsid w:val="4B5F395F"/>
    <w:rsid w:val="4B887ABD"/>
    <w:rsid w:val="4B927D05"/>
    <w:rsid w:val="4BA71700"/>
    <w:rsid w:val="4BAF711A"/>
    <w:rsid w:val="4BBD5522"/>
    <w:rsid w:val="4BC40127"/>
    <w:rsid w:val="4BCF7C38"/>
    <w:rsid w:val="4BD1718E"/>
    <w:rsid w:val="4BD95ACE"/>
    <w:rsid w:val="4C000F41"/>
    <w:rsid w:val="4C0554CB"/>
    <w:rsid w:val="4C1E38AF"/>
    <w:rsid w:val="4C1F09E8"/>
    <w:rsid w:val="4C4520E1"/>
    <w:rsid w:val="4C493EAF"/>
    <w:rsid w:val="4C63431C"/>
    <w:rsid w:val="4C6A4F05"/>
    <w:rsid w:val="4C6B7BE3"/>
    <w:rsid w:val="4C771D65"/>
    <w:rsid w:val="4C783020"/>
    <w:rsid w:val="4C9743B6"/>
    <w:rsid w:val="4CCF375F"/>
    <w:rsid w:val="4CD104DB"/>
    <w:rsid w:val="4CEB4760"/>
    <w:rsid w:val="4CEE4DA0"/>
    <w:rsid w:val="4CFA5EBA"/>
    <w:rsid w:val="4D0B09F5"/>
    <w:rsid w:val="4D243AE6"/>
    <w:rsid w:val="4D362180"/>
    <w:rsid w:val="4D3C4079"/>
    <w:rsid w:val="4D4152D2"/>
    <w:rsid w:val="4D420722"/>
    <w:rsid w:val="4D5D2973"/>
    <w:rsid w:val="4D670A85"/>
    <w:rsid w:val="4D743D70"/>
    <w:rsid w:val="4D806473"/>
    <w:rsid w:val="4DA27E03"/>
    <w:rsid w:val="4DB87F6B"/>
    <w:rsid w:val="4DBA61BD"/>
    <w:rsid w:val="4DD000A8"/>
    <w:rsid w:val="4DE22211"/>
    <w:rsid w:val="4DE72B20"/>
    <w:rsid w:val="4DEF40B9"/>
    <w:rsid w:val="4DEF590F"/>
    <w:rsid w:val="4DF85FC0"/>
    <w:rsid w:val="4E001052"/>
    <w:rsid w:val="4E0277A0"/>
    <w:rsid w:val="4E1C3F53"/>
    <w:rsid w:val="4E231FB4"/>
    <w:rsid w:val="4E2B135E"/>
    <w:rsid w:val="4E3C4E24"/>
    <w:rsid w:val="4E3F2EE6"/>
    <w:rsid w:val="4E41243B"/>
    <w:rsid w:val="4E457068"/>
    <w:rsid w:val="4E4E4B6D"/>
    <w:rsid w:val="4E53374A"/>
    <w:rsid w:val="4E625DA3"/>
    <w:rsid w:val="4E6C1454"/>
    <w:rsid w:val="4E7740AE"/>
    <w:rsid w:val="4E7B029B"/>
    <w:rsid w:val="4E94139D"/>
    <w:rsid w:val="4EBD23C2"/>
    <w:rsid w:val="4ED36E10"/>
    <w:rsid w:val="4ED61833"/>
    <w:rsid w:val="4EDA18B9"/>
    <w:rsid w:val="4EEA1FB8"/>
    <w:rsid w:val="4F1214F9"/>
    <w:rsid w:val="4F37236C"/>
    <w:rsid w:val="4F400F3C"/>
    <w:rsid w:val="4F573543"/>
    <w:rsid w:val="4F6271DE"/>
    <w:rsid w:val="4F781E8C"/>
    <w:rsid w:val="4F7A3E56"/>
    <w:rsid w:val="4FA24E56"/>
    <w:rsid w:val="4FA613D6"/>
    <w:rsid w:val="4FAE4B93"/>
    <w:rsid w:val="4FB43984"/>
    <w:rsid w:val="4FB80520"/>
    <w:rsid w:val="4FCE557D"/>
    <w:rsid w:val="4FCF67B8"/>
    <w:rsid w:val="4FDE6CDC"/>
    <w:rsid w:val="4FFE7F33"/>
    <w:rsid w:val="500E331C"/>
    <w:rsid w:val="500F7F8E"/>
    <w:rsid w:val="5010363B"/>
    <w:rsid w:val="501802EF"/>
    <w:rsid w:val="501A6EB3"/>
    <w:rsid w:val="501C4E89"/>
    <w:rsid w:val="502B33A2"/>
    <w:rsid w:val="50334005"/>
    <w:rsid w:val="50401C90"/>
    <w:rsid w:val="504A1A7A"/>
    <w:rsid w:val="50520469"/>
    <w:rsid w:val="50705EA7"/>
    <w:rsid w:val="508A00C9"/>
    <w:rsid w:val="508A0BD0"/>
    <w:rsid w:val="508E4B33"/>
    <w:rsid w:val="50AA6EEE"/>
    <w:rsid w:val="50CA6717"/>
    <w:rsid w:val="50DD3BA3"/>
    <w:rsid w:val="50E61CAB"/>
    <w:rsid w:val="50EE7DC2"/>
    <w:rsid w:val="511D2CEB"/>
    <w:rsid w:val="51323F3D"/>
    <w:rsid w:val="514136A1"/>
    <w:rsid w:val="514A20B0"/>
    <w:rsid w:val="514E559A"/>
    <w:rsid w:val="515463AA"/>
    <w:rsid w:val="517843C5"/>
    <w:rsid w:val="517D1FD1"/>
    <w:rsid w:val="51820F0A"/>
    <w:rsid w:val="519711C4"/>
    <w:rsid w:val="51AA02F7"/>
    <w:rsid w:val="51B00924"/>
    <w:rsid w:val="51BF1CEA"/>
    <w:rsid w:val="51C370F3"/>
    <w:rsid w:val="51C55B60"/>
    <w:rsid w:val="51C720FB"/>
    <w:rsid w:val="51D2101C"/>
    <w:rsid w:val="51E441B2"/>
    <w:rsid w:val="51E878B5"/>
    <w:rsid w:val="51EE3F4A"/>
    <w:rsid w:val="520511F4"/>
    <w:rsid w:val="521045FE"/>
    <w:rsid w:val="52144845"/>
    <w:rsid w:val="52291B63"/>
    <w:rsid w:val="522B4481"/>
    <w:rsid w:val="523F3431"/>
    <w:rsid w:val="52433E33"/>
    <w:rsid w:val="52461D9B"/>
    <w:rsid w:val="52556F68"/>
    <w:rsid w:val="526131D0"/>
    <w:rsid w:val="527A0BC1"/>
    <w:rsid w:val="528E5F94"/>
    <w:rsid w:val="528F03DD"/>
    <w:rsid w:val="529C2335"/>
    <w:rsid w:val="52B73817"/>
    <w:rsid w:val="52F42171"/>
    <w:rsid w:val="53014F84"/>
    <w:rsid w:val="53081FE2"/>
    <w:rsid w:val="532742F5"/>
    <w:rsid w:val="53370035"/>
    <w:rsid w:val="5338205E"/>
    <w:rsid w:val="533F0999"/>
    <w:rsid w:val="537030E1"/>
    <w:rsid w:val="53757657"/>
    <w:rsid w:val="537A44F5"/>
    <w:rsid w:val="53836E13"/>
    <w:rsid w:val="5399393C"/>
    <w:rsid w:val="53A146DB"/>
    <w:rsid w:val="53A814E1"/>
    <w:rsid w:val="53BC34C4"/>
    <w:rsid w:val="53CE29B7"/>
    <w:rsid w:val="53D61877"/>
    <w:rsid w:val="53F1045F"/>
    <w:rsid w:val="540A23C9"/>
    <w:rsid w:val="54136627"/>
    <w:rsid w:val="5423339D"/>
    <w:rsid w:val="54310315"/>
    <w:rsid w:val="54451376"/>
    <w:rsid w:val="545B0024"/>
    <w:rsid w:val="54623CCF"/>
    <w:rsid w:val="54643283"/>
    <w:rsid w:val="54660E4D"/>
    <w:rsid w:val="54783F91"/>
    <w:rsid w:val="54C52C01"/>
    <w:rsid w:val="54D005DE"/>
    <w:rsid w:val="54DE257B"/>
    <w:rsid w:val="55197C6D"/>
    <w:rsid w:val="551B052F"/>
    <w:rsid w:val="551F503D"/>
    <w:rsid w:val="552E7B6C"/>
    <w:rsid w:val="55356F21"/>
    <w:rsid w:val="553B1566"/>
    <w:rsid w:val="553D5A1E"/>
    <w:rsid w:val="554E66B4"/>
    <w:rsid w:val="555963EF"/>
    <w:rsid w:val="55623019"/>
    <w:rsid w:val="556718ED"/>
    <w:rsid w:val="556F788D"/>
    <w:rsid w:val="5572737D"/>
    <w:rsid w:val="559508F1"/>
    <w:rsid w:val="55A0704C"/>
    <w:rsid w:val="55A27C63"/>
    <w:rsid w:val="55BA1450"/>
    <w:rsid w:val="55CD2AA4"/>
    <w:rsid w:val="55CD5B20"/>
    <w:rsid w:val="55D32512"/>
    <w:rsid w:val="55DD38ED"/>
    <w:rsid w:val="55DD513F"/>
    <w:rsid w:val="55E33C19"/>
    <w:rsid w:val="55E3492A"/>
    <w:rsid w:val="55E63D84"/>
    <w:rsid w:val="55E738C7"/>
    <w:rsid w:val="55FB5288"/>
    <w:rsid w:val="560F5295"/>
    <w:rsid w:val="56292490"/>
    <w:rsid w:val="56444990"/>
    <w:rsid w:val="56511311"/>
    <w:rsid w:val="56536DD0"/>
    <w:rsid w:val="565847C5"/>
    <w:rsid w:val="56A16CF1"/>
    <w:rsid w:val="56A8314F"/>
    <w:rsid w:val="56C34335"/>
    <w:rsid w:val="56C569E8"/>
    <w:rsid w:val="56C63E25"/>
    <w:rsid w:val="56DB69E5"/>
    <w:rsid w:val="56E16569"/>
    <w:rsid w:val="56E96180"/>
    <w:rsid w:val="56EA1F97"/>
    <w:rsid w:val="56FE7B3D"/>
    <w:rsid w:val="57115A76"/>
    <w:rsid w:val="57356CE5"/>
    <w:rsid w:val="57400691"/>
    <w:rsid w:val="57477A7D"/>
    <w:rsid w:val="574C5991"/>
    <w:rsid w:val="575651A9"/>
    <w:rsid w:val="575E0275"/>
    <w:rsid w:val="57650F48"/>
    <w:rsid w:val="57685E63"/>
    <w:rsid w:val="576E359C"/>
    <w:rsid w:val="57761A73"/>
    <w:rsid w:val="57803A91"/>
    <w:rsid w:val="57833AC4"/>
    <w:rsid w:val="578F63E0"/>
    <w:rsid w:val="57974CC5"/>
    <w:rsid w:val="57AA5D1A"/>
    <w:rsid w:val="57B717AF"/>
    <w:rsid w:val="57C06BFC"/>
    <w:rsid w:val="57D0016E"/>
    <w:rsid w:val="57D46CDD"/>
    <w:rsid w:val="57DD461C"/>
    <w:rsid w:val="57DE15F7"/>
    <w:rsid w:val="57F052A5"/>
    <w:rsid w:val="57F56DA8"/>
    <w:rsid w:val="580F5DBC"/>
    <w:rsid w:val="5829466B"/>
    <w:rsid w:val="583136E9"/>
    <w:rsid w:val="58372026"/>
    <w:rsid w:val="584809DA"/>
    <w:rsid w:val="587316C8"/>
    <w:rsid w:val="588A1881"/>
    <w:rsid w:val="588C1B3F"/>
    <w:rsid w:val="588C3DE2"/>
    <w:rsid w:val="58952B75"/>
    <w:rsid w:val="589870FB"/>
    <w:rsid w:val="589923E8"/>
    <w:rsid w:val="58A9755A"/>
    <w:rsid w:val="58BA4DDE"/>
    <w:rsid w:val="58C3686E"/>
    <w:rsid w:val="58CF6781"/>
    <w:rsid w:val="58D3199A"/>
    <w:rsid w:val="58DA5821"/>
    <w:rsid w:val="58E146E6"/>
    <w:rsid w:val="58E862D4"/>
    <w:rsid w:val="58F307D5"/>
    <w:rsid w:val="59043E08"/>
    <w:rsid w:val="5934326C"/>
    <w:rsid w:val="5943350B"/>
    <w:rsid w:val="59471B28"/>
    <w:rsid w:val="594A55D4"/>
    <w:rsid w:val="596F0B08"/>
    <w:rsid w:val="59763E82"/>
    <w:rsid w:val="597F5245"/>
    <w:rsid w:val="59837DAB"/>
    <w:rsid w:val="59847464"/>
    <w:rsid w:val="598A3666"/>
    <w:rsid w:val="59A63822"/>
    <w:rsid w:val="59B8355B"/>
    <w:rsid w:val="59FE08FA"/>
    <w:rsid w:val="5A032C9A"/>
    <w:rsid w:val="5A1455BF"/>
    <w:rsid w:val="5A221EDD"/>
    <w:rsid w:val="5A22506C"/>
    <w:rsid w:val="5A257E94"/>
    <w:rsid w:val="5A2A02BF"/>
    <w:rsid w:val="5A5106AE"/>
    <w:rsid w:val="5A60741A"/>
    <w:rsid w:val="5A6A4AC7"/>
    <w:rsid w:val="5A7A608F"/>
    <w:rsid w:val="5A861016"/>
    <w:rsid w:val="5A976E36"/>
    <w:rsid w:val="5A9D694A"/>
    <w:rsid w:val="5AA2358A"/>
    <w:rsid w:val="5AA24080"/>
    <w:rsid w:val="5AAD1EF8"/>
    <w:rsid w:val="5AAE0E58"/>
    <w:rsid w:val="5ACF7403"/>
    <w:rsid w:val="5AD7215D"/>
    <w:rsid w:val="5ADE798F"/>
    <w:rsid w:val="5AF07329"/>
    <w:rsid w:val="5B082F2B"/>
    <w:rsid w:val="5B170853"/>
    <w:rsid w:val="5B365C08"/>
    <w:rsid w:val="5B46719F"/>
    <w:rsid w:val="5B523ED9"/>
    <w:rsid w:val="5B5A2D8E"/>
    <w:rsid w:val="5B60313C"/>
    <w:rsid w:val="5B6D0D13"/>
    <w:rsid w:val="5B705B09"/>
    <w:rsid w:val="5B885B4D"/>
    <w:rsid w:val="5B9331F3"/>
    <w:rsid w:val="5B983712"/>
    <w:rsid w:val="5B997CCC"/>
    <w:rsid w:val="5B9D7438"/>
    <w:rsid w:val="5BA42A14"/>
    <w:rsid w:val="5BC52ADE"/>
    <w:rsid w:val="5BC76675"/>
    <w:rsid w:val="5BE25AA2"/>
    <w:rsid w:val="5C60141A"/>
    <w:rsid w:val="5C691962"/>
    <w:rsid w:val="5C8D4642"/>
    <w:rsid w:val="5C9A5B38"/>
    <w:rsid w:val="5CA70BEA"/>
    <w:rsid w:val="5CC6114D"/>
    <w:rsid w:val="5CEE7C31"/>
    <w:rsid w:val="5CFA70E0"/>
    <w:rsid w:val="5CFF3634"/>
    <w:rsid w:val="5D0905C7"/>
    <w:rsid w:val="5D0B0214"/>
    <w:rsid w:val="5D0E2082"/>
    <w:rsid w:val="5D1A0A42"/>
    <w:rsid w:val="5D282771"/>
    <w:rsid w:val="5D386B0F"/>
    <w:rsid w:val="5D3A4C89"/>
    <w:rsid w:val="5D417D61"/>
    <w:rsid w:val="5D42151C"/>
    <w:rsid w:val="5D426389"/>
    <w:rsid w:val="5D443CF5"/>
    <w:rsid w:val="5D4B0BE0"/>
    <w:rsid w:val="5D4C71F9"/>
    <w:rsid w:val="5D4F1710"/>
    <w:rsid w:val="5D5D43F4"/>
    <w:rsid w:val="5D616655"/>
    <w:rsid w:val="5D71045F"/>
    <w:rsid w:val="5D9A4060"/>
    <w:rsid w:val="5D9E0075"/>
    <w:rsid w:val="5DAB19D1"/>
    <w:rsid w:val="5DBC1ADE"/>
    <w:rsid w:val="5DBE340A"/>
    <w:rsid w:val="5DC97E04"/>
    <w:rsid w:val="5DCA4203"/>
    <w:rsid w:val="5DD263B9"/>
    <w:rsid w:val="5DD45079"/>
    <w:rsid w:val="5DDE10C7"/>
    <w:rsid w:val="5DE41D76"/>
    <w:rsid w:val="5DE555FC"/>
    <w:rsid w:val="5DEC2376"/>
    <w:rsid w:val="5DF27C61"/>
    <w:rsid w:val="5E385608"/>
    <w:rsid w:val="5E4A015A"/>
    <w:rsid w:val="5E5E4943"/>
    <w:rsid w:val="5E5F1000"/>
    <w:rsid w:val="5E617327"/>
    <w:rsid w:val="5E772D56"/>
    <w:rsid w:val="5E7D74BF"/>
    <w:rsid w:val="5E843AB7"/>
    <w:rsid w:val="5E9A1FB9"/>
    <w:rsid w:val="5EB11CC9"/>
    <w:rsid w:val="5EB7165F"/>
    <w:rsid w:val="5EDA2E6C"/>
    <w:rsid w:val="5EDF49B6"/>
    <w:rsid w:val="5EE659E4"/>
    <w:rsid w:val="5EEF2D1B"/>
    <w:rsid w:val="5EF029BA"/>
    <w:rsid w:val="5EF2401E"/>
    <w:rsid w:val="5EF37A12"/>
    <w:rsid w:val="5F19063B"/>
    <w:rsid w:val="5F1E1F19"/>
    <w:rsid w:val="5F2636B2"/>
    <w:rsid w:val="5F2A58BF"/>
    <w:rsid w:val="5F2D2E3D"/>
    <w:rsid w:val="5F3F28CF"/>
    <w:rsid w:val="5F4D6034"/>
    <w:rsid w:val="5F4E4E9B"/>
    <w:rsid w:val="5F7D704B"/>
    <w:rsid w:val="5F920D48"/>
    <w:rsid w:val="5FA41311"/>
    <w:rsid w:val="5FA81246"/>
    <w:rsid w:val="5FBE3FE5"/>
    <w:rsid w:val="5FC03792"/>
    <w:rsid w:val="5FC939D5"/>
    <w:rsid w:val="5FDA399F"/>
    <w:rsid w:val="5FDC6467"/>
    <w:rsid w:val="5FEF1CF6"/>
    <w:rsid w:val="5FF22D36"/>
    <w:rsid w:val="5FFA79ED"/>
    <w:rsid w:val="60075E39"/>
    <w:rsid w:val="600D0AF4"/>
    <w:rsid w:val="60273573"/>
    <w:rsid w:val="60276DC2"/>
    <w:rsid w:val="602A54A3"/>
    <w:rsid w:val="60370997"/>
    <w:rsid w:val="60411174"/>
    <w:rsid w:val="604F40FC"/>
    <w:rsid w:val="605A259A"/>
    <w:rsid w:val="6060154E"/>
    <w:rsid w:val="60607E17"/>
    <w:rsid w:val="606D0EF6"/>
    <w:rsid w:val="6094289E"/>
    <w:rsid w:val="60B07C9E"/>
    <w:rsid w:val="60CC028A"/>
    <w:rsid w:val="60D06270"/>
    <w:rsid w:val="60E32D07"/>
    <w:rsid w:val="60EA7F29"/>
    <w:rsid w:val="60F12B9F"/>
    <w:rsid w:val="60F2534F"/>
    <w:rsid w:val="61013040"/>
    <w:rsid w:val="610361D7"/>
    <w:rsid w:val="6109328C"/>
    <w:rsid w:val="611128E5"/>
    <w:rsid w:val="611C35B8"/>
    <w:rsid w:val="611D6D37"/>
    <w:rsid w:val="61315EF6"/>
    <w:rsid w:val="61355E2F"/>
    <w:rsid w:val="613A0A49"/>
    <w:rsid w:val="614E56CB"/>
    <w:rsid w:val="615440FF"/>
    <w:rsid w:val="61646714"/>
    <w:rsid w:val="616710AC"/>
    <w:rsid w:val="616E368F"/>
    <w:rsid w:val="61834DEC"/>
    <w:rsid w:val="6184566A"/>
    <w:rsid w:val="619012C2"/>
    <w:rsid w:val="61AE7556"/>
    <w:rsid w:val="61BC02FE"/>
    <w:rsid w:val="61BC3E5A"/>
    <w:rsid w:val="61D41854"/>
    <w:rsid w:val="61E3363C"/>
    <w:rsid w:val="61EC5337"/>
    <w:rsid w:val="62282B27"/>
    <w:rsid w:val="623743B3"/>
    <w:rsid w:val="623E7108"/>
    <w:rsid w:val="62514EEA"/>
    <w:rsid w:val="625A6442"/>
    <w:rsid w:val="625B7B17"/>
    <w:rsid w:val="626A1CE1"/>
    <w:rsid w:val="626C134E"/>
    <w:rsid w:val="629B22CB"/>
    <w:rsid w:val="62A3229B"/>
    <w:rsid w:val="62A45588"/>
    <w:rsid w:val="62A57C35"/>
    <w:rsid w:val="62AA7314"/>
    <w:rsid w:val="62B178DF"/>
    <w:rsid w:val="62B80AC5"/>
    <w:rsid w:val="62B952CA"/>
    <w:rsid w:val="62E07553"/>
    <w:rsid w:val="62F70A86"/>
    <w:rsid w:val="62F933BC"/>
    <w:rsid w:val="63081C9E"/>
    <w:rsid w:val="633640E0"/>
    <w:rsid w:val="633C1069"/>
    <w:rsid w:val="63421845"/>
    <w:rsid w:val="634A387E"/>
    <w:rsid w:val="634E311E"/>
    <w:rsid w:val="6361478E"/>
    <w:rsid w:val="63624ED5"/>
    <w:rsid w:val="636E52EB"/>
    <w:rsid w:val="637F41CC"/>
    <w:rsid w:val="638B4892"/>
    <w:rsid w:val="639279AF"/>
    <w:rsid w:val="63944825"/>
    <w:rsid w:val="63D762DC"/>
    <w:rsid w:val="63D80CF3"/>
    <w:rsid w:val="63EC2A57"/>
    <w:rsid w:val="63FE5C95"/>
    <w:rsid w:val="640E22EE"/>
    <w:rsid w:val="641222ED"/>
    <w:rsid w:val="64156B80"/>
    <w:rsid w:val="642B5582"/>
    <w:rsid w:val="642F125B"/>
    <w:rsid w:val="642F3826"/>
    <w:rsid w:val="643B040A"/>
    <w:rsid w:val="644F7208"/>
    <w:rsid w:val="645D1336"/>
    <w:rsid w:val="64643953"/>
    <w:rsid w:val="646709F5"/>
    <w:rsid w:val="6477675E"/>
    <w:rsid w:val="647B7FFD"/>
    <w:rsid w:val="649122E0"/>
    <w:rsid w:val="6491381F"/>
    <w:rsid w:val="64960A79"/>
    <w:rsid w:val="64B77EFF"/>
    <w:rsid w:val="64BB209D"/>
    <w:rsid w:val="64D4595F"/>
    <w:rsid w:val="64D83934"/>
    <w:rsid w:val="64D8577A"/>
    <w:rsid w:val="64FB2F8F"/>
    <w:rsid w:val="65044496"/>
    <w:rsid w:val="65077676"/>
    <w:rsid w:val="651722E7"/>
    <w:rsid w:val="65347231"/>
    <w:rsid w:val="6559478F"/>
    <w:rsid w:val="65740427"/>
    <w:rsid w:val="6577651D"/>
    <w:rsid w:val="658C66C4"/>
    <w:rsid w:val="65A05658"/>
    <w:rsid w:val="65A944F1"/>
    <w:rsid w:val="65AC2EFD"/>
    <w:rsid w:val="65B46375"/>
    <w:rsid w:val="65D37A5B"/>
    <w:rsid w:val="65DD6A95"/>
    <w:rsid w:val="65DD6C08"/>
    <w:rsid w:val="65F4511D"/>
    <w:rsid w:val="65F47DC0"/>
    <w:rsid w:val="65FF7596"/>
    <w:rsid w:val="66096B05"/>
    <w:rsid w:val="6627721E"/>
    <w:rsid w:val="662841B4"/>
    <w:rsid w:val="662A2B19"/>
    <w:rsid w:val="6635067F"/>
    <w:rsid w:val="66537DD0"/>
    <w:rsid w:val="6655119C"/>
    <w:rsid w:val="665B4AAC"/>
    <w:rsid w:val="66753E2C"/>
    <w:rsid w:val="6687460E"/>
    <w:rsid w:val="66907027"/>
    <w:rsid w:val="66A146AB"/>
    <w:rsid w:val="66A34F7A"/>
    <w:rsid w:val="66A43DA7"/>
    <w:rsid w:val="66AE0D1C"/>
    <w:rsid w:val="66B56271"/>
    <w:rsid w:val="66BA3AE3"/>
    <w:rsid w:val="66C32061"/>
    <w:rsid w:val="66CA7019"/>
    <w:rsid w:val="66CE247E"/>
    <w:rsid w:val="66D1553B"/>
    <w:rsid w:val="66D678E5"/>
    <w:rsid w:val="66D87988"/>
    <w:rsid w:val="66E23A48"/>
    <w:rsid w:val="66EF31C1"/>
    <w:rsid w:val="66F123D1"/>
    <w:rsid w:val="66F16A47"/>
    <w:rsid w:val="66F203EF"/>
    <w:rsid w:val="671A0D2D"/>
    <w:rsid w:val="67200F9C"/>
    <w:rsid w:val="672252C1"/>
    <w:rsid w:val="672901E4"/>
    <w:rsid w:val="67340A1D"/>
    <w:rsid w:val="673646AF"/>
    <w:rsid w:val="674A4FC0"/>
    <w:rsid w:val="674D101A"/>
    <w:rsid w:val="675249FA"/>
    <w:rsid w:val="67683CFC"/>
    <w:rsid w:val="676C1E7F"/>
    <w:rsid w:val="676D3A11"/>
    <w:rsid w:val="678B49FB"/>
    <w:rsid w:val="67B406DA"/>
    <w:rsid w:val="67BF6452"/>
    <w:rsid w:val="67C75EAB"/>
    <w:rsid w:val="67CF4511"/>
    <w:rsid w:val="67D13F82"/>
    <w:rsid w:val="67D47556"/>
    <w:rsid w:val="67E83BD3"/>
    <w:rsid w:val="67FE0A51"/>
    <w:rsid w:val="68183C09"/>
    <w:rsid w:val="683021EA"/>
    <w:rsid w:val="6831292C"/>
    <w:rsid w:val="683A5F07"/>
    <w:rsid w:val="683D4EA1"/>
    <w:rsid w:val="68482B4B"/>
    <w:rsid w:val="6857517B"/>
    <w:rsid w:val="685A617B"/>
    <w:rsid w:val="685F2B0C"/>
    <w:rsid w:val="68615AEE"/>
    <w:rsid w:val="686465B8"/>
    <w:rsid w:val="68660FC4"/>
    <w:rsid w:val="68686AEA"/>
    <w:rsid w:val="686E2F1C"/>
    <w:rsid w:val="686E4CA0"/>
    <w:rsid w:val="686F3D4E"/>
    <w:rsid w:val="68892408"/>
    <w:rsid w:val="6892121B"/>
    <w:rsid w:val="689E473A"/>
    <w:rsid w:val="68A67612"/>
    <w:rsid w:val="68A772BD"/>
    <w:rsid w:val="68AD32C0"/>
    <w:rsid w:val="68B055E0"/>
    <w:rsid w:val="68C163CF"/>
    <w:rsid w:val="68DC4DE2"/>
    <w:rsid w:val="68F77559"/>
    <w:rsid w:val="693053C2"/>
    <w:rsid w:val="69434E61"/>
    <w:rsid w:val="69577852"/>
    <w:rsid w:val="697A46A8"/>
    <w:rsid w:val="69AA61FA"/>
    <w:rsid w:val="69AB1C1F"/>
    <w:rsid w:val="69B022B6"/>
    <w:rsid w:val="69B26BA6"/>
    <w:rsid w:val="69B72806"/>
    <w:rsid w:val="69B83AE8"/>
    <w:rsid w:val="69C21FC2"/>
    <w:rsid w:val="69D05774"/>
    <w:rsid w:val="69DD68EF"/>
    <w:rsid w:val="69E55F18"/>
    <w:rsid w:val="69F36887"/>
    <w:rsid w:val="69F431E5"/>
    <w:rsid w:val="6A0B12F9"/>
    <w:rsid w:val="6A1C5DDE"/>
    <w:rsid w:val="6A387A83"/>
    <w:rsid w:val="6A4E3481"/>
    <w:rsid w:val="6A794FDE"/>
    <w:rsid w:val="6A7953B8"/>
    <w:rsid w:val="6AB0358F"/>
    <w:rsid w:val="6AB51D8E"/>
    <w:rsid w:val="6AB57FE0"/>
    <w:rsid w:val="6AC81DFB"/>
    <w:rsid w:val="6ACB7804"/>
    <w:rsid w:val="6ACC4B2B"/>
    <w:rsid w:val="6AD5470C"/>
    <w:rsid w:val="6B0845B4"/>
    <w:rsid w:val="6B156F01"/>
    <w:rsid w:val="6B1823F4"/>
    <w:rsid w:val="6B1D005F"/>
    <w:rsid w:val="6B2111EB"/>
    <w:rsid w:val="6B302155"/>
    <w:rsid w:val="6B5061B8"/>
    <w:rsid w:val="6B5541CC"/>
    <w:rsid w:val="6B594757"/>
    <w:rsid w:val="6B794694"/>
    <w:rsid w:val="6BA02A3F"/>
    <w:rsid w:val="6BB10ECA"/>
    <w:rsid w:val="6BB80CD3"/>
    <w:rsid w:val="6BD75E7E"/>
    <w:rsid w:val="6BD97443"/>
    <w:rsid w:val="6BDF70C3"/>
    <w:rsid w:val="6BE154D6"/>
    <w:rsid w:val="6BF07522"/>
    <w:rsid w:val="6BFA34BF"/>
    <w:rsid w:val="6C1D4987"/>
    <w:rsid w:val="6C1E27AA"/>
    <w:rsid w:val="6C253A83"/>
    <w:rsid w:val="6C282E9B"/>
    <w:rsid w:val="6C35541B"/>
    <w:rsid w:val="6C4C1DDE"/>
    <w:rsid w:val="6C60775B"/>
    <w:rsid w:val="6C731F01"/>
    <w:rsid w:val="6C787CBB"/>
    <w:rsid w:val="6C861C34"/>
    <w:rsid w:val="6C8A4E5F"/>
    <w:rsid w:val="6C8C5CC8"/>
    <w:rsid w:val="6C9165B6"/>
    <w:rsid w:val="6C951E77"/>
    <w:rsid w:val="6C9E6F7E"/>
    <w:rsid w:val="6CA1699D"/>
    <w:rsid w:val="6CA87474"/>
    <w:rsid w:val="6CA87DFD"/>
    <w:rsid w:val="6CAE0CBE"/>
    <w:rsid w:val="6CB247D7"/>
    <w:rsid w:val="6CB703F7"/>
    <w:rsid w:val="6CBA4949"/>
    <w:rsid w:val="6D0A3B1E"/>
    <w:rsid w:val="6D1075E9"/>
    <w:rsid w:val="6D1F412E"/>
    <w:rsid w:val="6D2F4343"/>
    <w:rsid w:val="6D353D8C"/>
    <w:rsid w:val="6D382E4B"/>
    <w:rsid w:val="6D4D4500"/>
    <w:rsid w:val="6D4E6285"/>
    <w:rsid w:val="6D512242"/>
    <w:rsid w:val="6D5C18AC"/>
    <w:rsid w:val="6D6B1613"/>
    <w:rsid w:val="6D8141AA"/>
    <w:rsid w:val="6D886D51"/>
    <w:rsid w:val="6DC35F48"/>
    <w:rsid w:val="6DCC4C0D"/>
    <w:rsid w:val="6DD2674E"/>
    <w:rsid w:val="6DEA0A67"/>
    <w:rsid w:val="6DEC6437"/>
    <w:rsid w:val="6DFC561D"/>
    <w:rsid w:val="6DFF1C9E"/>
    <w:rsid w:val="6E027099"/>
    <w:rsid w:val="6E034960"/>
    <w:rsid w:val="6E096679"/>
    <w:rsid w:val="6E0F76B0"/>
    <w:rsid w:val="6E260133"/>
    <w:rsid w:val="6E382FA7"/>
    <w:rsid w:val="6E395E9E"/>
    <w:rsid w:val="6E4341AC"/>
    <w:rsid w:val="6E46167B"/>
    <w:rsid w:val="6E5126B4"/>
    <w:rsid w:val="6E567C0C"/>
    <w:rsid w:val="6E5D4ED7"/>
    <w:rsid w:val="6E5D6868"/>
    <w:rsid w:val="6E683231"/>
    <w:rsid w:val="6E7C1EB5"/>
    <w:rsid w:val="6EB664D0"/>
    <w:rsid w:val="6ED36BB1"/>
    <w:rsid w:val="6EE110A6"/>
    <w:rsid w:val="6EF03BAE"/>
    <w:rsid w:val="6F155D21"/>
    <w:rsid w:val="6F1E3244"/>
    <w:rsid w:val="6F286746"/>
    <w:rsid w:val="6F2B2506"/>
    <w:rsid w:val="6F436F8F"/>
    <w:rsid w:val="6F451BBF"/>
    <w:rsid w:val="6F5C0A2B"/>
    <w:rsid w:val="6F5E29F5"/>
    <w:rsid w:val="6F634567"/>
    <w:rsid w:val="6F8D6B1D"/>
    <w:rsid w:val="6FA32AFD"/>
    <w:rsid w:val="6FAD361D"/>
    <w:rsid w:val="6FAE4748"/>
    <w:rsid w:val="6FC211D5"/>
    <w:rsid w:val="6FD864AA"/>
    <w:rsid w:val="6FD91F90"/>
    <w:rsid w:val="6FE31AA8"/>
    <w:rsid w:val="70045D42"/>
    <w:rsid w:val="701710A8"/>
    <w:rsid w:val="702F613F"/>
    <w:rsid w:val="7047792D"/>
    <w:rsid w:val="704D2ABA"/>
    <w:rsid w:val="705160B5"/>
    <w:rsid w:val="70542A5F"/>
    <w:rsid w:val="7065127C"/>
    <w:rsid w:val="706717CB"/>
    <w:rsid w:val="707200F0"/>
    <w:rsid w:val="707663A9"/>
    <w:rsid w:val="707F274F"/>
    <w:rsid w:val="708A5F5B"/>
    <w:rsid w:val="70950CE0"/>
    <w:rsid w:val="709D2458"/>
    <w:rsid w:val="70A02B99"/>
    <w:rsid w:val="70A24B63"/>
    <w:rsid w:val="70A2698B"/>
    <w:rsid w:val="70A73F27"/>
    <w:rsid w:val="70AA312E"/>
    <w:rsid w:val="70C24A2F"/>
    <w:rsid w:val="70CC0C4C"/>
    <w:rsid w:val="70E41087"/>
    <w:rsid w:val="70E65326"/>
    <w:rsid w:val="70E76A1A"/>
    <w:rsid w:val="70E80F60"/>
    <w:rsid w:val="70EF072B"/>
    <w:rsid w:val="70F11D57"/>
    <w:rsid w:val="70F33611"/>
    <w:rsid w:val="71014D29"/>
    <w:rsid w:val="710A2B65"/>
    <w:rsid w:val="71191A27"/>
    <w:rsid w:val="711F713E"/>
    <w:rsid w:val="71217371"/>
    <w:rsid w:val="712E54D4"/>
    <w:rsid w:val="71321C7C"/>
    <w:rsid w:val="71461992"/>
    <w:rsid w:val="714A1780"/>
    <w:rsid w:val="7170146E"/>
    <w:rsid w:val="71705776"/>
    <w:rsid w:val="717268C8"/>
    <w:rsid w:val="71802D0E"/>
    <w:rsid w:val="71880353"/>
    <w:rsid w:val="718F5890"/>
    <w:rsid w:val="71995E1D"/>
    <w:rsid w:val="71B216C2"/>
    <w:rsid w:val="71C16BD6"/>
    <w:rsid w:val="71C363B8"/>
    <w:rsid w:val="71D14144"/>
    <w:rsid w:val="71E4311C"/>
    <w:rsid w:val="71E511AB"/>
    <w:rsid w:val="71E82A49"/>
    <w:rsid w:val="72143089"/>
    <w:rsid w:val="72150CEA"/>
    <w:rsid w:val="721F1006"/>
    <w:rsid w:val="721F4F40"/>
    <w:rsid w:val="7227177D"/>
    <w:rsid w:val="72312642"/>
    <w:rsid w:val="723419F5"/>
    <w:rsid w:val="7235573F"/>
    <w:rsid w:val="72477BAC"/>
    <w:rsid w:val="7255330E"/>
    <w:rsid w:val="726639DF"/>
    <w:rsid w:val="726C56B8"/>
    <w:rsid w:val="72760CB0"/>
    <w:rsid w:val="727E77AB"/>
    <w:rsid w:val="7288771C"/>
    <w:rsid w:val="729326C7"/>
    <w:rsid w:val="72A458E1"/>
    <w:rsid w:val="72A544DD"/>
    <w:rsid w:val="72B13FB1"/>
    <w:rsid w:val="72B64306"/>
    <w:rsid w:val="72C13E7C"/>
    <w:rsid w:val="72CD388B"/>
    <w:rsid w:val="72CE592F"/>
    <w:rsid w:val="72D21B1B"/>
    <w:rsid w:val="73014E33"/>
    <w:rsid w:val="730770A2"/>
    <w:rsid w:val="73197AE0"/>
    <w:rsid w:val="73221860"/>
    <w:rsid w:val="732F2FC7"/>
    <w:rsid w:val="733A4EF6"/>
    <w:rsid w:val="733D0234"/>
    <w:rsid w:val="734463A5"/>
    <w:rsid w:val="735F4C52"/>
    <w:rsid w:val="73773239"/>
    <w:rsid w:val="7384777D"/>
    <w:rsid w:val="739C7F8F"/>
    <w:rsid w:val="739D4E7F"/>
    <w:rsid w:val="73A52CA9"/>
    <w:rsid w:val="73C82E30"/>
    <w:rsid w:val="73E16DAE"/>
    <w:rsid w:val="73F20825"/>
    <w:rsid w:val="73FA14E3"/>
    <w:rsid w:val="73FD29BB"/>
    <w:rsid w:val="74081181"/>
    <w:rsid w:val="740A7F35"/>
    <w:rsid w:val="740B686A"/>
    <w:rsid w:val="740D4ECA"/>
    <w:rsid w:val="74193434"/>
    <w:rsid w:val="7432542B"/>
    <w:rsid w:val="7436153F"/>
    <w:rsid w:val="74365CEE"/>
    <w:rsid w:val="74411C54"/>
    <w:rsid w:val="744401CE"/>
    <w:rsid w:val="74450F59"/>
    <w:rsid w:val="744875A1"/>
    <w:rsid w:val="74560DC5"/>
    <w:rsid w:val="74581611"/>
    <w:rsid w:val="745819FD"/>
    <w:rsid w:val="745D2AE8"/>
    <w:rsid w:val="746C366D"/>
    <w:rsid w:val="748200B4"/>
    <w:rsid w:val="7496678D"/>
    <w:rsid w:val="749C71E6"/>
    <w:rsid w:val="74AC77E0"/>
    <w:rsid w:val="74BB2697"/>
    <w:rsid w:val="74DE6D4A"/>
    <w:rsid w:val="74EB4D2A"/>
    <w:rsid w:val="75045F44"/>
    <w:rsid w:val="75062A71"/>
    <w:rsid w:val="75063912"/>
    <w:rsid w:val="75154170"/>
    <w:rsid w:val="751F2CCD"/>
    <w:rsid w:val="75334F10"/>
    <w:rsid w:val="75410DEE"/>
    <w:rsid w:val="754937FF"/>
    <w:rsid w:val="754A3843"/>
    <w:rsid w:val="755E6626"/>
    <w:rsid w:val="756E5A5A"/>
    <w:rsid w:val="75714F21"/>
    <w:rsid w:val="75801690"/>
    <w:rsid w:val="75841DF5"/>
    <w:rsid w:val="75883FFE"/>
    <w:rsid w:val="759118EE"/>
    <w:rsid w:val="759A0BFF"/>
    <w:rsid w:val="75A62B5C"/>
    <w:rsid w:val="75AD1FE0"/>
    <w:rsid w:val="75B660D9"/>
    <w:rsid w:val="75C25129"/>
    <w:rsid w:val="75DA056C"/>
    <w:rsid w:val="75E6400F"/>
    <w:rsid w:val="75FA2F4D"/>
    <w:rsid w:val="76177C7F"/>
    <w:rsid w:val="761C0F14"/>
    <w:rsid w:val="761E4555"/>
    <w:rsid w:val="7645046A"/>
    <w:rsid w:val="7652518B"/>
    <w:rsid w:val="765661CE"/>
    <w:rsid w:val="766B1FE7"/>
    <w:rsid w:val="767737E8"/>
    <w:rsid w:val="76793BFD"/>
    <w:rsid w:val="7687321E"/>
    <w:rsid w:val="769C5380"/>
    <w:rsid w:val="769D488D"/>
    <w:rsid w:val="76A648DB"/>
    <w:rsid w:val="76AA6FCA"/>
    <w:rsid w:val="76AD33AB"/>
    <w:rsid w:val="76AE1A33"/>
    <w:rsid w:val="76B645C9"/>
    <w:rsid w:val="76CB05E9"/>
    <w:rsid w:val="76F557EA"/>
    <w:rsid w:val="76FB601C"/>
    <w:rsid w:val="771E0B46"/>
    <w:rsid w:val="77243900"/>
    <w:rsid w:val="77444BC6"/>
    <w:rsid w:val="7745626C"/>
    <w:rsid w:val="774A218D"/>
    <w:rsid w:val="77534E7F"/>
    <w:rsid w:val="77765B6B"/>
    <w:rsid w:val="777D79D9"/>
    <w:rsid w:val="777F5BFE"/>
    <w:rsid w:val="7788271D"/>
    <w:rsid w:val="778A3CA6"/>
    <w:rsid w:val="779C67B0"/>
    <w:rsid w:val="77AB127E"/>
    <w:rsid w:val="77B8759C"/>
    <w:rsid w:val="77CA7AD8"/>
    <w:rsid w:val="77F04589"/>
    <w:rsid w:val="780776F7"/>
    <w:rsid w:val="785D4AC2"/>
    <w:rsid w:val="78680440"/>
    <w:rsid w:val="78755AD9"/>
    <w:rsid w:val="787768D5"/>
    <w:rsid w:val="787F3BA0"/>
    <w:rsid w:val="78867CFB"/>
    <w:rsid w:val="7895518B"/>
    <w:rsid w:val="78B673FD"/>
    <w:rsid w:val="78B96EEE"/>
    <w:rsid w:val="78BB2C66"/>
    <w:rsid w:val="78DA375A"/>
    <w:rsid w:val="78EE77C5"/>
    <w:rsid w:val="78FB6861"/>
    <w:rsid w:val="79043BFC"/>
    <w:rsid w:val="790A7749"/>
    <w:rsid w:val="790C30F7"/>
    <w:rsid w:val="79182F94"/>
    <w:rsid w:val="791E6626"/>
    <w:rsid w:val="791F15A3"/>
    <w:rsid w:val="791F1ABD"/>
    <w:rsid w:val="79273E57"/>
    <w:rsid w:val="792A6014"/>
    <w:rsid w:val="792A77CA"/>
    <w:rsid w:val="792C1C9C"/>
    <w:rsid w:val="792C5912"/>
    <w:rsid w:val="794B223C"/>
    <w:rsid w:val="794F33AE"/>
    <w:rsid w:val="79534836"/>
    <w:rsid w:val="795F47C4"/>
    <w:rsid w:val="796333A2"/>
    <w:rsid w:val="79880110"/>
    <w:rsid w:val="79894347"/>
    <w:rsid w:val="799447B2"/>
    <w:rsid w:val="79955265"/>
    <w:rsid w:val="79991DA1"/>
    <w:rsid w:val="79993DEC"/>
    <w:rsid w:val="799C1D55"/>
    <w:rsid w:val="79A91848"/>
    <w:rsid w:val="79B155D3"/>
    <w:rsid w:val="79C44E91"/>
    <w:rsid w:val="79C93160"/>
    <w:rsid w:val="79D75B18"/>
    <w:rsid w:val="79F9227E"/>
    <w:rsid w:val="79FD364E"/>
    <w:rsid w:val="7A03141B"/>
    <w:rsid w:val="7A1D5EFD"/>
    <w:rsid w:val="7A2F5A98"/>
    <w:rsid w:val="7A340EA4"/>
    <w:rsid w:val="7A3727C0"/>
    <w:rsid w:val="7A3F5F0E"/>
    <w:rsid w:val="7A402127"/>
    <w:rsid w:val="7A4153ED"/>
    <w:rsid w:val="7A48677B"/>
    <w:rsid w:val="7A505630"/>
    <w:rsid w:val="7A677819"/>
    <w:rsid w:val="7A74131E"/>
    <w:rsid w:val="7A75750A"/>
    <w:rsid w:val="7A7C3110"/>
    <w:rsid w:val="7A9E45ED"/>
    <w:rsid w:val="7A9E603E"/>
    <w:rsid w:val="7AA5799A"/>
    <w:rsid w:val="7AA977A4"/>
    <w:rsid w:val="7AAE7A48"/>
    <w:rsid w:val="7AD220EC"/>
    <w:rsid w:val="7AD65B35"/>
    <w:rsid w:val="7AF259C5"/>
    <w:rsid w:val="7B024B7C"/>
    <w:rsid w:val="7B12265C"/>
    <w:rsid w:val="7B4E1237"/>
    <w:rsid w:val="7B557668"/>
    <w:rsid w:val="7B5721B8"/>
    <w:rsid w:val="7B5A6766"/>
    <w:rsid w:val="7B5C6BFD"/>
    <w:rsid w:val="7B5E79F6"/>
    <w:rsid w:val="7B615D46"/>
    <w:rsid w:val="7B71585E"/>
    <w:rsid w:val="7B7B048A"/>
    <w:rsid w:val="7B7F244A"/>
    <w:rsid w:val="7B884D33"/>
    <w:rsid w:val="7B896ADD"/>
    <w:rsid w:val="7BA630A7"/>
    <w:rsid w:val="7BB67714"/>
    <w:rsid w:val="7BBB6A08"/>
    <w:rsid w:val="7BCB5994"/>
    <w:rsid w:val="7BEA3626"/>
    <w:rsid w:val="7BED154E"/>
    <w:rsid w:val="7BED6B05"/>
    <w:rsid w:val="7BF32451"/>
    <w:rsid w:val="7BF67A69"/>
    <w:rsid w:val="7BFA5853"/>
    <w:rsid w:val="7C1946E0"/>
    <w:rsid w:val="7C42078B"/>
    <w:rsid w:val="7C4D7A74"/>
    <w:rsid w:val="7C566F9A"/>
    <w:rsid w:val="7C5D4489"/>
    <w:rsid w:val="7C7A158E"/>
    <w:rsid w:val="7C953CBE"/>
    <w:rsid w:val="7C9C6D51"/>
    <w:rsid w:val="7CA326C8"/>
    <w:rsid w:val="7CAA5F0D"/>
    <w:rsid w:val="7CF03638"/>
    <w:rsid w:val="7D0C3A90"/>
    <w:rsid w:val="7D1D674F"/>
    <w:rsid w:val="7D25417D"/>
    <w:rsid w:val="7D423956"/>
    <w:rsid w:val="7D470375"/>
    <w:rsid w:val="7D5A124C"/>
    <w:rsid w:val="7D6B3C9C"/>
    <w:rsid w:val="7D6C7837"/>
    <w:rsid w:val="7D8408F4"/>
    <w:rsid w:val="7D87483A"/>
    <w:rsid w:val="7D886B89"/>
    <w:rsid w:val="7D8A3047"/>
    <w:rsid w:val="7D8E0949"/>
    <w:rsid w:val="7D92427A"/>
    <w:rsid w:val="7DA653E8"/>
    <w:rsid w:val="7DAB4450"/>
    <w:rsid w:val="7DAE4568"/>
    <w:rsid w:val="7DB04C5B"/>
    <w:rsid w:val="7DC3009F"/>
    <w:rsid w:val="7DC80DDA"/>
    <w:rsid w:val="7DD950D4"/>
    <w:rsid w:val="7DDC30D5"/>
    <w:rsid w:val="7DE95B7F"/>
    <w:rsid w:val="7E046E5D"/>
    <w:rsid w:val="7E0B16A2"/>
    <w:rsid w:val="7E12506E"/>
    <w:rsid w:val="7E1B5179"/>
    <w:rsid w:val="7E3610F8"/>
    <w:rsid w:val="7E594E0B"/>
    <w:rsid w:val="7E5C3F56"/>
    <w:rsid w:val="7E7C766D"/>
    <w:rsid w:val="7E833262"/>
    <w:rsid w:val="7E8C66FA"/>
    <w:rsid w:val="7E8D00F2"/>
    <w:rsid w:val="7E932FC5"/>
    <w:rsid w:val="7E9B5F2D"/>
    <w:rsid w:val="7EB20667"/>
    <w:rsid w:val="7ECE4E91"/>
    <w:rsid w:val="7ECE6209"/>
    <w:rsid w:val="7EDB5D8D"/>
    <w:rsid w:val="7EDD4604"/>
    <w:rsid w:val="7EE06F82"/>
    <w:rsid w:val="7EE626A2"/>
    <w:rsid w:val="7EE800E3"/>
    <w:rsid w:val="7F0A31ED"/>
    <w:rsid w:val="7F0D1D41"/>
    <w:rsid w:val="7F165CD8"/>
    <w:rsid w:val="7F211349"/>
    <w:rsid w:val="7F243837"/>
    <w:rsid w:val="7F2B17D8"/>
    <w:rsid w:val="7F3C05D3"/>
    <w:rsid w:val="7F4101B1"/>
    <w:rsid w:val="7F4E60A4"/>
    <w:rsid w:val="7F676C28"/>
    <w:rsid w:val="7F751E64"/>
    <w:rsid w:val="7F7A4953"/>
    <w:rsid w:val="7F806C96"/>
    <w:rsid w:val="7F871AF4"/>
    <w:rsid w:val="7F90721E"/>
    <w:rsid w:val="7F990359"/>
    <w:rsid w:val="7FAC08C1"/>
    <w:rsid w:val="7FAD0277"/>
    <w:rsid w:val="7FB44E0C"/>
    <w:rsid w:val="7FBD17F6"/>
    <w:rsid w:val="7FCA435E"/>
    <w:rsid w:val="7FCF5193"/>
    <w:rsid w:val="7FD06104"/>
    <w:rsid w:val="7FF03D02"/>
    <w:rsid w:val="F3DBE7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6">
    <w:name w:val="heading 5"/>
    <w:basedOn w:val="1"/>
    <w:next w:val="1"/>
    <w:unhideWhenUsed/>
    <w:qFormat/>
    <w:uiPriority w:val="9"/>
    <w:pPr>
      <w:keepNext/>
      <w:spacing w:before="60" w:after="60" w:line="360" w:lineRule="auto"/>
      <w:ind w:left="1008" w:hanging="1008"/>
      <w:outlineLvl w:val="4"/>
    </w:pPr>
    <w:rPr>
      <w:rFonts w:ascii="宋体" w:hAnsiTheme="minorHAnsi" w:cstheme="minorBidi"/>
      <w:b/>
      <w:bCs/>
      <w:sz w:val="24"/>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8"/>
    <w:qFormat/>
    <w:uiPriority w:val="10"/>
    <w:pPr>
      <w:autoSpaceDE w:val="0"/>
      <w:autoSpaceDN w:val="0"/>
      <w:adjustRightInd w:val="0"/>
      <w:spacing w:before="240" w:after="60"/>
      <w:jc w:val="center"/>
      <w:outlineLvl w:val="0"/>
    </w:pPr>
    <w:rPr>
      <w:rFonts w:ascii="Cambria" w:hAnsi="Cambria"/>
      <w:b/>
      <w:color w:val="000000"/>
      <w:kern w:val="0"/>
      <w:sz w:val="32"/>
      <w:szCs w:val="32"/>
    </w:r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54"/>
    <w:qFormat/>
    <w:uiPriority w:val="99"/>
    <w:pPr>
      <w:jc w:val="left"/>
    </w:pPr>
  </w:style>
  <w:style w:type="paragraph" w:styleId="11">
    <w:name w:val="Body Text"/>
    <w:basedOn w:val="1"/>
    <w:qFormat/>
    <w:uiPriority w:val="0"/>
    <w:pPr>
      <w:spacing w:line="360" w:lineRule="exact"/>
    </w:pPr>
    <w:rPr>
      <w:sz w:val="24"/>
    </w:rPr>
  </w:style>
  <w:style w:type="paragraph" w:styleId="12">
    <w:name w:val="Body Text Indent"/>
    <w:basedOn w:val="1"/>
    <w:next w:val="1"/>
    <w:qFormat/>
    <w:uiPriority w:val="0"/>
    <w:pPr>
      <w:spacing w:after="120"/>
      <w:ind w:left="420" w:leftChars="200"/>
    </w:pPr>
  </w:style>
  <w:style w:type="paragraph" w:styleId="13">
    <w:name w:val="Plain Text"/>
    <w:basedOn w:val="1"/>
    <w:next w:val="14"/>
    <w:link w:val="60"/>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
    <w:qFormat/>
    <w:uiPriority w:val="0"/>
    <w:pPr>
      <w:ind w:firstLine="200" w:firstLineChars="200"/>
    </w:pPr>
  </w:style>
  <w:style w:type="paragraph" w:styleId="21">
    <w:name w:val="Body Text First Indent 2"/>
    <w:basedOn w:val="12"/>
    <w:qFormat/>
    <w:uiPriority w:val="0"/>
    <w:pPr>
      <w:ind w:firstLine="420"/>
    </w:pPr>
  </w:style>
  <w:style w:type="table" w:styleId="23">
    <w:name w:val="Table Grid"/>
    <w:basedOn w:val="22"/>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FollowedHyperlink"/>
    <w:basedOn w:val="24"/>
    <w:qFormat/>
    <w:uiPriority w:val="0"/>
    <w:rPr>
      <w:color w:val="800080"/>
      <w:u w:val="single"/>
    </w:rPr>
  </w:style>
  <w:style w:type="character" w:styleId="27">
    <w:name w:val="Hyperlink"/>
    <w:qFormat/>
    <w:uiPriority w:val="0"/>
    <w:rPr>
      <w:color w:val="0000FF"/>
      <w:u w:val="single"/>
    </w:rPr>
  </w:style>
  <w:style w:type="character" w:styleId="28">
    <w:name w:val="annotation reference"/>
    <w:basedOn w:val="24"/>
    <w:qFormat/>
    <w:uiPriority w:val="0"/>
    <w:rPr>
      <w:sz w:val="21"/>
      <w:szCs w:val="21"/>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link w:val="53"/>
    <w:qFormat/>
    <w:uiPriority w:val="0"/>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4"/>
    <w:qFormat/>
    <w:uiPriority w:val="0"/>
    <w:rPr>
      <w:rFonts w:hint="default" w:ascii="Arial" w:hAnsi="Arial" w:cs="Arial"/>
      <w:color w:val="000000"/>
      <w:sz w:val="20"/>
      <w:szCs w:val="20"/>
      <w:u w:val="none"/>
    </w:rPr>
  </w:style>
  <w:style w:type="character" w:customStyle="1" w:styleId="46">
    <w:name w:val="font01"/>
    <w:basedOn w:val="24"/>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character" w:customStyle="1" w:styleId="51">
    <w:name w:val="标题 1 Char Char"/>
    <w:basedOn w:val="24"/>
    <w:qFormat/>
    <w:uiPriority w:val="0"/>
    <w:rPr>
      <w:rFonts w:eastAsia="宋体"/>
      <w:b/>
      <w:spacing w:val="-2"/>
      <w:sz w:val="24"/>
      <w:lang w:val="en-US" w:eastAsia="zh-CN" w:bidi="ar-SA"/>
    </w:rPr>
  </w:style>
  <w:style w:type="character" w:customStyle="1" w:styleId="52">
    <w:name w:val="批注框文本 Char"/>
    <w:basedOn w:val="24"/>
    <w:link w:val="15"/>
    <w:qFormat/>
    <w:uiPriority w:val="0"/>
    <w:rPr>
      <w:kern w:val="2"/>
      <w:sz w:val="18"/>
      <w:szCs w:val="18"/>
    </w:rPr>
  </w:style>
  <w:style w:type="character" w:customStyle="1" w:styleId="53">
    <w:name w:val="列出段落 Char"/>
    <w:link w:val="30"/>
    <w:qFormat/>
    <w:uiPriority w:val="0"/>
    <w:rPr>
      <w:rFonts w:ascii="Calibri" w:hAnsi="Calibri"/>
      <w:kern w:val="2"/>
      <w:sz w:val="21"/>
      <w:szCs w:val="22"/>
    </w:rPr>
  </w:style>
  <w:style w:type="character" w:customStyle="1" w:styleId="54">
    <w:name w:val="批注文字 Char"/>
    <w:basedOn w:val="24"/>
    <w:link w:val="10"/>
    <w:qFormat/>
    <w:uiPriority w:val="99"/>
    <w:rPr>
      <w:kern w:val="2"/>
      <w:sz w:val="21"/>
      <w:szCs w:val="24"/>
    </w:rPr>
  </w:style>
  <w:style w:type="paragraph" w:customStyle="1" w:styleId="5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paragraph" w:customStyle="1" w:styleId="57">
    <w:name w:val="正文文本 (2)3"/>
    <w:basedOn w:val="1"/>
    <w:qFormat/>
    <w:uiPriority w:val="0"/>
    <w:pPr>
      <w:shd w:val="clear" w:color="auto" w:fill="FFFFFF"/>
      <w:spacing w:line="403" w:lineRule="exact"/>
      <w:jc w:val="distribute"/>
    </w:pPr>
    <w:rPr>
      <w:rFonts w:ascii="MingLiU" w:hAnsi="MingLiU" w:eastAsia="MingLiU" w:cs="宋体"/>
      <w:color w:val="000000"/>
      <w:kern w:val="0"/>
      <w:sz w:val="22"/>
      <w:szCs w:val="22"/>
    </w:rPr>
  </w:style>
  <w:style w:type="character" w:customStyle="1" w:styleId="58">
    <w:name w:val="标题 Char"/>
    <w:basedOn w:val="24"/>
    <w:link w:val="2"/>
    <w:qFormat/>
    <w:uiPriority w:val="10"/>
    <w:rPr>
      <w:rFonts w:ascii="Cambria" w:hAnsi="Cambria"/>
      <w:b/>
      <w:color w:val="000000"/>
      <w:sz w:val="32"/>
      <w:szCs w:val="32"/>
    </w:rPr>
  </w:style>
  <w:style w:type="paragraph" w:customStyle="1" w:styleId="59">
    <w:name w:val="列出段落1"/>
    <w:basedOn w:val="1"/>
    <w:qFormat/>
    <w:uiPriority w:val="0"/>
    <w:pPr>
      <w:ind w:firstLine="420" w:firstLineChars="200"/>
    </w:pPr>
    <w:rPr>
      <w:rFonts w:ascii="Calibri" w:hAnsi="Calibri" w:cs="Calibri"/>
      <w:szCs w:val="21"/>
    </w:rPr>
  </w:style>
  <w:style w:type="character" w:customStyle="1" w:styleId="60">
    <w:name w:val="纯文本 Char"/>
    <w:basedOn w:val="24"/>
    <w:link w:val="13"/>
    <w:qFormat/>
    <w:locked/>
    <w:uiPriority w:val="0"/>
    <w:rPr>
      <w:rFonts w:ascii="宋体" w:hAnsi="Courier New"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32156</Words>
  <Characters>34001</Characters>
  <Lines>54</Lines>
  <Paragraphs>78</Paragraphs>
  <TotalTime>30</TotalTime>
  <ScaleCrop>false</ScaleCrop>
  <LinksUpToDate>false</LinksUpToDate>
  <CharactersWithSpaces>35815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2022-11-07T11:21:00Z</dcterms:created>
  <dc:creator>Thorpe521</dc:creator>
  <cp:lastModifiedBy>罗筱</cp:lastModifiedBy>
  <cp:lastPrinted>2022-07-21T09:19:00Z</cp:lastPrinted>
  <dcterms:modified xsi:type="dcterms:W3CDTF">2022-11-17T03:11:24Z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3DDFB40C35294C118544C9940C435B15</vt:lpwstr>
  </property>
  <property fmtid="{D5CDD505-2E9C-101B-9397-08002B2CF9AE}" pid="4" name="woTemplateTypoMode" linkTarget="0">
    <vt:lpwstr>web</vt:lpwstr>
  </property>
  <property fmtid="{D5CDD505-2E9C-101B-9397-08002B2CF9AE}" pid="5" name="woTemplate" linkTarget="0">
    <vt:i4>1</vt:i4>
  </property>
</Properties>
</file>