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400" w:lineRule="exact"/>
        <w:ind w:right="0"/>
        <w:jc w:val="center"/>
        <w:textAlignment w:val="auto"/>
        <w:rPr>
          <w:rFonts w:hint="eastAsia" w:ascii="微软雅黑" w:hAnsi="微软雅黑" w:eastAsia="微软雅黑" w:cs="微软雅黑"/>
          <w:b/>
          <w:bCs/>
          <w:kern w:val="0"/>
          <w:sz w:val="48"/>
          <w:szCs w:val="48"/>
          <w:highlight w:val="none"/>
          <w:lang w:eastAsia="zh-CN"/>
        </w:rPr>
      </w:pP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240" w:lineRule="auto"/>
        <w:ind w:right="0"/>
        <w:jc w:val="center"/>
        <w:textAlignment w:val="auto"/>
        <w:rPr>
          <w:rFonts w:hint="eastAsia" w:ascii="微软雅黑" w:hAnsi="微软雅黑" w:eastAsia="微软雅黑" w:cs="微软雅黑"/>
          <w:b/>
          <w:bCs/>
          <w:kern w:val="0"/>
          <w:sz w:val="48"/>
          <w:szCs w:val="48"/>
          <w:highlight w:val="none"/>
          <w:lang w:eastAsia="zh-CN"/>
        </w:rPr>
      </w:pP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360" w:lineRule="auto"/>
        <w:ind w:right="0"/>
        <w:jc w:val="center"/>
        <w:textAlignment w:val="auto"/>
        <w:rPr>
          <w:rFonts w:hint="eastAsia" w:ascii="微软雅黑" w:hAnsi="微软雅黑" w:eastAsia="微软雅黑" w:cs="微软雅黑"/>
          <w:kern w:val="0"/>
          <w:sz w:val="28"/>
          <w:szCs w:val="28"/>
          <w:highlight w:val="none"/>
        </w:rPr>
      </w:pPr>
      <w:r>
        <w:rPr>
          <w:rFonts w:hint="eastAsia" w:ascii="微软雅黑" w:hAnsi="微软雅黑" w:eastAsia="微软雅黑" w:cs="微软雅黑"/>
          <w:b/>
          <w:bCs/>
          <w:kern w:val="0"/>
          <w:sz w:val="48"/>
          <w:szCs w:val="48"/>
          <w:highlight w:val="none"/>
          <w:lang w:eastAsia="zh-CN"/>
        </w:rPr>
        <w:t>温岭市城北街道道路清扫保洁、垃圾清运及公厕保洁服务采购</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center"/>
        <w:rPr>
          <w:rFonts w:hint="default"/>
          <w:highlight w:val="none"/>
          <w:lang w:val="en-US" w:eastAsia="zh-CN"/>
        </w:rPr>
      </w:pPr>
      <w:r>
        <w:rPr>
          <w:rFonts w:hint="eastAsia" w:ascii="微软雅黑" w:hAnsi="微软雅黑" w:eastAsia="微软雅黑" w:cs="微软雅黑"/>
          <w:kern w:val="0"/>
          <w:sz w:val="32"/>
          <w:szCs w:val="32"/>
          <w:highlight w:val="none"/>
          <w:lang w:val="en-US" w:eastAsia="zh-CN"/>
        </w:rPr>
        <w:t xml:space="preserve">         </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微软雅黑" w:hAnsi="微软雅黑" w:eastAsia="微软雅黑" w:cs="微软雅黑"/>
          <w:b/>
          <w:bCs/>
          <w:kern w:val="0"/>
          <w:sz w:val="72"/>
          <w:szCs w:val="72"/>
          <w:highlight w:val="none"/>
        </w:rPr>
      </w:pPr>
      <w:r>
        <w:rPr>
          <w:rFonts w:hint="eastAsia" w:ascii="微软雅黑" w:hAnsi="微软雅黑" w:eastAsia="微软雅黑" w:cs="微软雅黑"/>
          <w:b/>
          <w:bCs/>
          <w:kern w:val="0"/>
          <w:sz w:val="72"/>
          <w:szCs w:val="72"/>
          <w:highlight w:val="none"/>
        </w:rPr>
        <w:t>招</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微软雅黑" w:hAnsi="微软雅黑" w:eastAsia="微软雅黑" w:cs="微软雅黑"/>
          <w:b/>
          <w:bCs/>
          <w:kern w:val="0"/>
          <w:sz w:val="72"/>
          <w:szCs w:val="72"/>
          <w:highlight w:val="none"/>
        </w:rPr>
      </w:pPr>
      <w:r>
        <w:rPr>
          <w:rFonts w:hint="eastAsia" w:ascii="微软雅黑" w:hAnsi="微软雅黑" w:eastAsia="微软雅黑" w:cs="微软雅黑"/>
          <w:b/>
          <w:bCs/>
          <w:kern w:val="0"/>
          <w:sz w:val="72"/>
          <w:szCs w:val="72"/>
          <w:highlight w:val="none"/>
        </w:rPr>
        <w:t>标</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微软雅黑" w:hAnsi="微软雅黑" w:eastAsia="微软雅黑" w:cs="微软雅黑"/>
          <w:b/>
          <w:bCs/>
          <w:kern w:val="0"/>
          <w:sz w:val="72"/>
          <w:szCs w:val="72"/>
          <w:highlight w:val="none"/>
        </w:rPr>
      </w:pPr>
      <w:r>
        <w:rPr>
          <w:rFonts w:hint="eastAsia" w:ascii="微软雅黑" w:hAnsi="微软雅黑" w:eastAsia="微软雅黑" w:cs="微软雅黑"/>
          <w:b/>
          <w:bCs/>
          <w:kern w:val="0"/>
          <w:sz w:val="72"/>
          <w:szCs w:val="72"/>
          <w:highlight w:val="none"/>
        </w:rPr>
        <w:t>文</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微软雅黑" w:hAnsi="微软雅黑" w:eastAsia="微软雅黑" w:cs="微软雅黑"/>
          <w:b/>
          <w:bCs/>
          <w:kern w:val="0"/>
          <w:sz w:val="72"/>
          <w:szCs w:val="72"/>
          <w:highlight w:val="none"/>
        </w:rPr>
      </w:pPr>
      <w:r>
        <w:rPr>
          <w:rFonts w:hint="eastAsia" w:ascii="微软雅黑" w:hAnsi="微软雅黑" w:eastAsia="微软雅黑" w:cs="微软雅黑"/>
          <w:b/>
          <w:bCs/>
          <w:kern w:val="0"/>
          <w:sz w:val="72"/>
          <w:szCs w:val="72"/>
          <w:highlight w:val="none"/>
        </w:rPr>
        <w:t>件</w:t>
      </w:r>
    </w:p>
    <w:p>
      <w:pPr>
        <w:pStyle w:val="13"/>
        <w:rPr>
          <w:rFonts w:hint="eastAsia"/>
          <w:highlight w:val="none"/>
        </w:rPr>
      </w:pP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240" w:lineRule="auto"/>
        <w:ind w:left="1277" w:leftChars="608" w:right="0" w:firstLine="0" w:firstLineChars="0"/>
        <w:jc w:val="left"/>
        <w:textAlignment w:val="auto"/>
        <w:rPr>
          <w:rFonts w:hint="eastAsia"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采购人（章）：</w:t>
      </w:r>
      <w:r>
        <w:rPr>
          <w:rFonts w:hint="eastAsia" w:ascii="微软雅黑" w:hAnsi="微软雅黑" w:eastAsia="微软雅黑" w:cs="微软雅黑"/>
          <w:kern w:val="0"/>
          <w:sz w:val="32"/>
          <w:szCs w:val="32"/>
          <w:highlight w:val="none"/>
          <w:lang w:eastAsia="zh-CN"/>
        </w:rPr>
        <w:t>温岭市人民政府城北街道办事处</w:t>
      </w: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240" w:lineRule="auto"/>
        <w:ind w:left="1277" w:leftChars="608" w:right="0" w:firstLine="0" w:firstLineChars="0"/>
        <w:jc w:val="left"/>
        <w:textAlignment w:val="auto"/>
        <w:rPr>
          <w:rFonts w:hint="eastAsia" w:ascii="微软雅黑" w:hAnsi="微软雅黑" w:eastAsia="微软雅黑" w:cs="微软雅黑"/>
          <w:kern w:val="0"/>
          <w:sz w:val="32"/>
          <w:szCs w:val="32"/>
          <w:highlight w:val="none"/>
          <w:lang w:val="en-US" w:eastAsia="zh-CN"/>
        </w:rPr>
      </w:pPr>
      <w:r>
        <w:rPr>
          <w:rFonts w:hint="eastAsia" w:ascii="微软雅黑" w:hAnsi="微软雅黑" w:eastAsia="微软雅黑" w:cs="微软雅黑"/>
          <w:kern w:val="0"/>
          <w:sz w:val="32"/>
          <w:szCs w:val="32"/>
          <w:highlight w:val="none"/>
        </w:rPr>
        <w:t>采购代理机构（章）：</w:t>
      </w:r>
      <w:r>
        <w:rPr>
          <w:rFonts w:hint="eastAsia" w:ascii="微软雅黑" w:hAnsi="微软雅黑" w:eastAsia="微软雅黑" w:cs="微软雅黑"/>
          <w:kern w:val="0"/>
          <w:sz w:val="32"/>
          <w:szCs w:val="32"/>
          <w:highlight w:val="none"/>
          <w:lang w:val="en-US" w:eastAsia="zh-CN"/>
        </w:rPr>
        <w:t>台州诚创招标代理有限公司</w:t>
      </w:r>
    </w:p>
    <w:p>
      <w:pPr>
        <w:keepNext w:val="0"/>
        <w:keepLines w:val="0"/>
        <w:pageBreakBefore w:val="0"/>
        <w:widowControl w:val="0"/>
        <w:tabs>
          <w:tab w:val="left" w:pos="567"/>
          <w:tab w:val="left" w:pos="72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spacing w:line="240" w:lineRule="auto"/>
        <w:ind w:left="1277" w:leftChars="608" w:right="0" w:firstLine="0" w:firstLineChars="0"/>
        <w:jc w:val="left"/>
        <w:textAlignment w:val="auto"/>
        <w:rPr>
          <w:rFonts w:hint="eastAsia" w:ascii="微软雅黑" w:hAnsi="微软雅黑" w:eastAsia="微软雅黑" w:cs="微软雅黑"/>
          <w:kern w:val="0"/>
          <w:sz w:val="32"/>
          <w:szCs w:val="32"/>
          <w:highlight w:val="none"/>
        </w:rPr>
      </w:pPr>
      <w:r>
        <w:rPr>
          <w:rFonts w:hint="eastAsia" w:ascii="微软雅黑" w:hAnsi="微软雅黑" w:eastAsia="微软雅黑" w:cs="微软雅黑"/>
          <w:kern w:val="0"/>
          <w:sz w:val="32"/>
          <w:szCs w:val="32"/>
          <w:highlight w:val="none"/>
        </w:rPr>
        <w:t>备案单位：温岭市财政局政府采购监管科</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1440" w:right="1800" w:firstLine="560" w:firstLineChars="200"/>
        <w:jc w:val="center"/>
        <w:rPr>
          <w:rFonts w:hint="eastAsia" w:ascii="微软雅黑" w:hAnsi="微软雅黑" w:eastAsia="微软雅黑" w:cs="微软雅黑"/>
          <w:kern w:val="0"/>
          <w:sz w:val="28"/>
          <w:szCs w:val="28"/>
          <w:highlight w:val="none"/>
        </w:rPr>
      </w:pPr>
      <w:r>
        <w:rPr>
          <w:rFonts w:hint="eastAsia" w:ascii="微软雅黑" w:hAnsi="微软雅黑" w:eastAsia="微软雅黑" w:cs="微软雅黑"/>
          <w:sz w:val="28"/>
          <w:szCs w:val="28"/>
          <w:highlight w:val="none"/>
          <w:lang w:val="en-US" w:eastAsia="zh-CN"/>
        </w:rPr>
        <w:t>2021</w:t>
      </w:r>
      <w:r>
        <w:rPr>
          <w:rFonts w:hint="eastAsia" w:ascii="微软雅黑" w:hAnsi="微软雅黑" w:eastAsia="微软雅黑" w:cs="微软雅黑"/>
          <w:kern w:val="0"/>
          <w:sz w:val="28"/>
          <w:szCs w:val="28"/>
          <w:highlight w:val="none"/>
        </w:rPr>
        <w:t xml:space="preserve">年 </w:t>
      </w:r>
      <w:r>
        <w:rPr>
          <w:rFonts w:hint="eastAsia" w:ascii="微软雅黑" w:hAnsi="微软雅黑" w:eastAsia="微软雅黑" w:cs="微软雅黑"/>
          <w:sz w:val="28"/>
          <w:szCs w:val="28"/>
          <w:highlight w:val="none"/>
          <w:lang w:val="en-US" w:eastAsia="zh-CN"/>
        </w:rPr>
        <w:t xml:space="preserve">07 </w:t>
      </w:r>
      <w:r>
        <w:rPr>
          <w:rFonts w:hint="eastAsia" w:ascii="微软雅黑" w:hAnsi="微软雅黑" w:eastAsia="微软雅黑" w:cs="微软雅黑"/>
          <w:kern w:val="0"/>
          <w:sz w:val="28"/>
          <w:szCs w:val="28"/>
          <w:highlight w:val="none"/>
        </w:rPr>
        <w:t xml:space="preserve">月 </w:t>
      </w: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jc w:val="center"/>
        <w:rPr>
          <w:rFonts w:hint="eastAsia" w:ascii="微软雅黑" w:hAnsi="微软雅黑" w:eastAsia="微软雅黑" w:cs="微软雅黑"/>
          <w:b/>
          <w:bCs/>
          <w:sz w:val="48"/>
          <w:szCs w:val="48"/>
          <w:highlight w:val="none"/>
        </w:rPr>
      </w:pPr>
    </w:p>
    <w:p>
      <w:pPr>
        <w:jc w:val="center"/>
        <w:rPr>
          <w:rFonts w:hint="eastAsia" w:ascii="微软雅黑" w:hAnsi="微软雅黑" w:eastAsia="微软雅黑" w:cs="微软雅黑"/>
          <w:b/>
          <w:bCs/>
          <w:sz w:val="48"/>
          <w:szCs w:val="48"/>
          <w:highlight w:val="none"/>
        </w:rPr>
      </w:pPr>
      <w:r>
        <w:rPr>
          <w:rFonts w:hint="eastAsia" w:ascii="微软雅黑" w:hAnsi="微软雅黑" w:eastAsia="微软雅黑" w:cs="微软雅黑"/>
          <w:b/>
          <w:bCs/>
          <w:sz w:val="48"/>
          <w:szCs w:val="48"/>
          <w:highlight w:val="none"/>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hint="eastAsia" w:ascii="微软雅黑" w:hAnsi="微软雅黑" w:eastAsia="微软雅黑" w:cs="微软雅黑"/>
          <w:b/>
          <w:bCs/>
          <w:sz w:val="36"/>
          <w:szCs w:val="36"/>
          <w:highlight w:val="none"/>
        </w:rPr>
      </w:pP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第一章  招标公告</w:t>
      </w: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第二章  投标人须知</w:t>
      </w: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第三章  评标办法及评分标准</w:t>
      </w: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第四章  公开招标需求</w:t>
      </w: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第五章  政府采购合同主要条款指引</w:t>
      </w:r>
    </w:p>
    <w:p>
      <w:pPr>
        <w:tabs>
          <w:tab w:val="left" w:pos="1168"/>
        </w:tabs>
        <w:spacing w:line="360" w:lineRule="auto"/>
        <w:ind w:left="568"/>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第六章  投标文件格式附件</w:t>
      </w: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spacing w:line="360" w:lineRule="auto"/>
        <w:rPr>
          <w:rFonts w:hint="eastAsia" w:ascii="微软雅黑" w:hAnsi="微软雅黑" w:eastAsia="微软雅黑" w:cs="微软雅黑"/>
          <w:highlight w:val="none"/>
        </w:rPr>
      </w:pPr>
    </w:p>
    <w:p>
      <w:pPr>
        <w:tabs>
          <w:tab w:val="left" w:pos="180"/>
          <w:tab w:val="left" w:pos="360"/>
          <w:tab w:val="left" w:pos="540"/>
          <w:tab w:val="left" w:pos="8280"/>
        </w:tabs>
        <w:autoSpaceDE w:val="0"/>
        <w:autoSpaceDN w:val="0"/>
        <w:adjustRightInd w:val="0"/>
        <w:spacing w:line="440" w:lineRule="exact"/>
        <w:ind w:right="23"/>
        <w:jc w:val="center"/>
        <w:rPr>
          <w:rFonts w:hint="eastAsia" w:ascii="微软雅黑" w:hAnsi="微软雅黑" w:eastAsia="微软雅黑" w:cs="微软雅黑"/>
          <w:b/>
          <w:bCs/>
          <w:kern w:val="0"/>
          <w:sz w:val="36"/>
          <w:szCs w:val="36"/>
          <w:highlight w:val="none"/>
        </w:rPr>
      </w:pPr>
    </w:p>
    <w:p>
      <w:pPr>
        <w:rPr>
          <w:rFonts w:hint="eastAsia" w:ascii="微软雅黑" w:hAnsi="微软雅黑" w:eastAsia="微软雅黑" w:cs="微软雅黑"/>
          <w:b/>
          <w:bCs/>
          <w:kern w:val="0"/>
          <w:sz w:val="36"/>
          <w:szCs w:val="36"/>
          <w:highlight w:val="none"/>
        </w:rPr>
      </w:pPr>
      <w:r>
        <w:rPr>
          <w:rFonts w:hint="eastAsia" w:ascii="微软雅黑" w:hAnsi="微软雅黑" w:eastAsia="微软雅黑" w:cs="微软雅黑"/>
          <w:b/>
          <w:bCs/>
          <w:kern w:val="0"/>
          <w:sz w:val="36"/>
          <w:szCs w:val="36"/>
          <w:highlight w:val="none"/>
        </w:rPr>
        <w:br w:type="page"/>
      </w:r>
    </w:p>
    <w:p>
      <w:pPr>
        <w:numPr>
          <w:ilvl w:val="0"/>
          <w:numId w:val="3"/>
        </w:numPr>
        <w:tabs>
          <w:tab w:val="left" w:pos="180"/>
          <w:tab w:val="left" w:pos="360"/>
          <w:tab w:val="left" w:pos="540"/>
          <w:tab w:val="left" w:pos="8280"/>
        </w:tabs>
        <w:autoSpaceDE w:val="0"/>
        <w:autoSpaceDN w:val="0"/>
        <w:adjustRightInd w:val="0"/>
        <w:spacing w:line="440" w:lineRule="exact"/>
        <w:ind w:right="23"/>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kern w:val="0"/>
          <w:sz w:val="36"/>
          <w:szCs w:val="36"/>
          <w:highlight w:val="none"/>
          <w:lang w:val="en-US" w:eastAsia="zh-CN"/>
        </w:rPr>
        <w:t xml:space="preserve"> </w:t>
      </w:r>
      <w:r>
        <w:rPr>
          <w:rFonts w:hint="eastAsia" w:ascii="微软雅黑" w:hAnsi="微软雅黑" w:eastAsia="微软雅黑" w:cs="微软雅黑"/>
          <w:b/>
          <w:bCs/>
          <w:sz w:val="36"/>
          <w:szCs w:val="36"/>
          <w:highlight w:val="none"/>
        </w:rPr>
        <w:t>招标公告</w:t>
      </w:r>
    </w:p>
    <w:p>
      <w:pPr>
        <w:pStyle w:val="12"/>
        <w:numPr>
          <w:ilvl w:val="0"/>
          <w:numId w:val="0"/>
        </w:numPr>
        <w:rPr>
          <w:rFonts w:hint="eastAsia"/>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auto"/>
          <w:sz w:val="24"/>
          <w:szCs w:val="24"/>
          <w:highlight w:val="none"/>
          <w:lang w:eastAsia="zh-CN"/>
        </w:rPr>
      </w:pPr>
      <w:r>
        <w:rPr>
          <w:rFonts w:hint="eastAsia" w:ascii="微软雅黑" w:hAnsi="微软雅黑" w:eastAsia="微软雅黑" w:cs="微软雅黑"/>
          <w:b/>
          <w:bCs/>
          <w:color w:val="auto"/>
          <w:sz w:val="24"/>
          <w:szCs w:val="24"/>
          <w:highlight w:val="none"/>
        </w:rPr>
        <w:t>项目概况</w:t>
      </w:r>
      <w:r>
        <w:rPr>
          <w:rFonts w:hint="eastAsia" w:ascii="微软雅黑" w:hAnsi="微软雅黑" w:eastAsia="微软雅黑" w:cs="微软雅黑"/>
          <w:b/>
          <w:bCs/>
          <w:color w:val="auto"/>
          <w:sz w:val="24"/>
          <w:szCs w:val="24"/>
          <w:highlight w:val="none"/>
          <w:lang w:eastAsia="zh-CN"/>
        </w:rPr>
        <w:t>：</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right="0" w:rightChars="0" w:firstLine="480" w:firstLineChars="200"/>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u w:val="single"/>
          <w:lang w:val="en-US" w:eastAsia="zh-CN"/>
        </w:rPr>
        <w:t>温岭市城北街道道路清扫保洁、垃圾清运及公厕保洁服务采购</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招标项目的潜在投标人应在</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b/>
          <w:bCs/>
          <w:i w:val="0"/>
          <w:iCs/>
          <w:color w:val="auto"/>
          <w:sz w:val="24"/>
          <w:szCs w:val="24"/>
          <w:highlight w:val="none"/>
          <w:u w:val="single"/>
        </w:rPr>
        <w:t>政府采购云平台</w:t>
      </w:r>
      <w:r>
        <w:rPr>
          <w:rFonts w:hint="eastAsia" w:ascii="微软雅黑" w:hAnsi="微软雅黑" w:eastAsia="微软雅黑" w:cs="微软雅黑"/>
          <w:i w:val="0"/>
          <w:iCs/>
          <w:color w:val="auto"/>
          <w:sz w:val="24"/>
          <w:szCs w:val="24"/>
          <w:highlight w:val="none"/>
          <w:u w:val="single"/>
          <w:lang w:eastAsia="zh-CN"/>
        </w:rPr>
        <w:t>”</w:t>
      </w:r>
      <w:r>
        <w:rPr>
          <w:rFonts w:hint="eastAsia" w:ascii="微软雅黑" w:hAnsi="微软雅黑" w:eastAsia="微软雅黑" w:cs="微软雅黑"/>
          <w:color w:val="auto"/>
          <w:sz w:val="24"/>
          <w:szCs w:val="24"/>
          <w:highlight w:val="none"/>
        </w:rPr>
        <w:t>获取招标文件，并于</w:t>
      </w:r>
      <w:r>
        <w:rPr>
          <w:rFonts w:hint="eastAsia" w:ascii="微软雅黑" w:hAnsi="微软雅黑" w:eastAsia="微软雅黑" w:cs="微软雅黑"/>
          <w:b/>
          <w:bCs/>
          <w:color w:val="auto"/>
          <w:sz w:val="24"/>
          <w:szCs w:val="24"/>
          <w:highlight w:val="none"/>
          <w:u w:val="single"/>
          <w:lang w:val="en-US" w:eastAsia="zh-CN"/>
        </w:rPr>
        <w:t>2021年08</w:t>
      </w:r>
      <w:r>
        <w:rPr>
          <w:rFonts w:hint="eastAsia" w:ascii="微软雅黑" w:hAnsi="微软雅黑" w:eastAsia="微软雅黑" w:cs="微软雅黑"/>
          <w:b/>
          <w:bCs/>
          <w:color w:val="auto"/>
          <w:sz w:val="24"/>
          <w:szCs w:val="24"/>
          <w:highlight w:val="none"/>
          <w:u w:val="single"/>
        </w:rPr>
        <w:t>月</w:t>
      </w:r>
      <w:r>
        <w:rPr>
          <w:rFonts w:hint="eastAsia" w:ascii="微软雅黑" w:hAnsi="微软雅黑" w:eastAsia="微软雅黑" w:cs="微软雅黑"/>
          <w:b/>
          <w:bCs/>
          <w:color w:val="auto"/>
          <w:sz w:val="24"/>
          <w:szCs w:val="24"/>
          <w:highlight w:val="none"/>
          <w:u w:val="single"/>
          <w:lang w:val="en-US" w:eastAsia="zh-CN"/>
        </w:rPr>
        <w:t>06</w:t>
      </w:r>
      <w:r>
        <w:rPr>
          <w:rFonts w:hint="eastAsia" w:ascii="微软雅黑" w:hAnsi="微软雅黑" w:eastAsia="微软雅黑" w:cs="微软雅黑"/>
          <w:b/>
          <w:bCs/>
          <w:color w:val="auto"/>
          <w:sz w:val="24"/>
          <w:szCs w:val="24"/>
          <w:highlight w:val="none"/>
          <w:u w:val="single"/>
        </w:rPr>
        <w:t>日</w:t>
      </w:r>
      <w:r>
        <w:rPr>
          <w:rFonts w:hint="eastAsia" w:ascii="微软雅黑" w:hAnsi="微软雅黑" w:eastAsia="微软雅黑" w:cs="微软雅黑"/>
          <w:b/>
          <w:bCs/>
          <w:color w:val="auto"/>
          <w:sz w:val="24"/>
          <w:szCs w:val="24"/>
          <w:highlight w:val="none"/>
          <w:u w:val="single"/>
          <w:lang w:val="en-US" w:eastAsia="zh-CN"/>
        </w:rPr>
        <w:t>09</w:t>
      </w:r>
      <w:r>
        <w:rPr>
          <w:rFonts w:hint="eastAsia" w:ascii="微软雅黑" w:hAnsi="微软雅黑" w:eastAsia="微软雅黑" w:cs="微软雅黑"/>
          <w:b/>
          <w:bCs/>
          <w:color w:val="auto"/>
          <w:sz w:val="24"/>
          <w:szCs w:val="24"/>
          <w:highlight w:val="none"/>
          <w:u w:val="single"/>
        </w:rPr>
        <w:t>点</w:t>
      </w:r>
      <w:r>
        <w:rPr>
          <w:rFonts w:hint="eastAsia" w:ascii="微软雅黑" w:hAnsi="微软雅黑" w:eastAsia="微软雅黑" w:cs="微软雅黑"/>
          <w:b/>
          <w:bCs/>
          <w:color w:val="auto"/>
          <w:sz w:val="24"/>
          <w:szCs w:val="24"/>
          <w:highlight w:val="none"/>
          <w:u w:val="single"/>
          <w:lang w:val="en-US" w:eastAsia="zh-CN"/>
        </w:rPr>
        <w:t>00</w:t>
      </w:r>
      <w:r>
        <w:rPr>
          <w:rFonts w:hint="eastAsia" w:ascii="微软雅黑" w:hAnsi="微软雅黑" w:eastAsia="微软雅黑" w:cs="微软雅黑"/>
          <w:b/>
          <w:bCs/>
          <w:color w:val="auto"/>
          <w:sz w:val="24"/>
          <w:szCs w:val="24"/>
          <w:highlight w:val="none"/>
          <w:u w:val="single"/>
        </w:rPr>
        <w:t>分</w:t>
      </w:r>
      <w:r>
        <w:rPr>
          <w:rFonts w:hint="eastAsia" w:ascii="微软雅黑" w:hAnsi="微软雅黑" w:eastAsia="微软雅黑" w:cs="微软雅黑"/>
          <w:bCs/>
          <w:color w:val="auto"/>
          <w:sz w:val="24"/>
          <w:szCs w:val="24"/>
          <w:highlight w:val="none"/>
          <w:u w:val="single"/>
        </w:rPr>
        <w:t>（</w:t>
      </w:r>
      <w:r>
        <w:rPr>
          <w:rFonts w:hint="eastAsia" w:ascii="微软雅黑" w:hAnsi="微软雅黑" w:eastAsia="微软雅黑" w:cs="微软雅黑"/>
          <w:bCs/>
          <w:color w:val="auto"/>
          <w:sz w:val="24"/>
          <w:szCs w:val="24"/>
          <w:highlight w:val="none"/>
        </w:rPr>
        <w:t>北京时间）前递交投标文件</w:t>
      </w:r>
      <w:r>
        <w:rPr>
          <w:rFonts w:hint="eastAsia" w:ascii="微软雅黑" w:hAnsi="微软雅黑" w:eastAsia="微软雅黑" w:cs="微软雅黑"/>
          <w:color w:val="auto"/>
          <w:sz w:val="24"/>
          <w:szCs w:val="24"/>
          <w:highlight w:val="none"/>
        </w:rPr>
        <w:t>。</w:t>
      </w:r>
    </w:p>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一、项目基本情况：</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项目编号：CC021C07091</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项目名称：温岭市城北街道道路清扫保洁、垃圾清运及公厕保洁服务采购</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预算金额：12000000元</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最高限价：/</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采购需求：</w:t>
      </w:r>
    </w:p>
    <w:tbl>
      <w:tblPr>
        <w:tblStyle w:val="23"/>
        <w:tblW w:w="99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2501"/>
        <w:gridCol w:w="896"/>
        <w:gridCol w:w="1455"/>
        <w:gridCol w:w="4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73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rPr>
            </w:pPr>
            <w:r>
              <w:rPr>
                <w:rFonts w:hint="eastAsia" w:ascii="微软雅黑" w:hAnsi="微软雅黑" w:eastAsia="微软雅黑" w:cs="微软雅黑"/>
                <w:color w:val="000000"/>
                <w:spacing w:val="0"/>
                <w:position w:val="0"/>
                <w:sz w:val="21"/>
                <w:szCs w:val="21"/>
                <w:highlight w:val="none"/>
              </w:rPr>
              <w:t>序号</w:t>
            </w:r>
          </w:p>
        </w:tc>
        <w:tc>
          <w:tcPr>
            <w:tcW w:w="25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rPr>
            </w:pPr>
            <w:r>
              <w:rPr>
                <w:rFonts w:hint="eastAsia" w:ascii="微软雅黑" w:hAnsi="微软雅黑" w:eastAsia="微软雅黑" w:cs="微软雅黑"/>
                <w:color w:val="000000"/>
                <w:spacing w:val="0"/>
                <w:position w:val="0"/>
                <w:sz w:val="21"/>
                <w:szCs w:val="21"/>
                <w:highlight w:val="none"/>
                <w:lang w:val="en-US" w:eastAsia="zh-CN"/>
              </w:rPr>
              <w:t>采购</w:t>
            </w:r>
            <w:r>
              <w:rPr>
                <w:rFonts w:hint="eastAsia" w:ascii="微软雅黑" w:hAnsi="微软雅黑" w:eastAsia="微软雅黑" w:cs="微软雅黑"/>
                <w:color w:val="000000"/>
                <w:spacing w:val="0"/>
                <w:position w:val="0"/>
                <w:sz w:val="21"/>
                <w:szCs w:val="21"/>
                <w:highlight w:val="none"/>
              </w:rPr>
              <w:t>内容</w:t>
            </w:r>
          </w:p>
        </w:tc>
        <w:tc>
          <w:tcPr>
            <w:tcW w:w="8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lang w:eastAsia="zh-CN"/>
              </w:rPr>
            </w:pPr>
            <w:r>
              <w:rPr>
                <w:rFonts w:hint="eastAsia" w:ascii="微软雅黑" w:hAnsi="微软雅黑" w:eastAsia="微软雅黑" w:cs="微软雅黑"/>
                <w:color w:val="000000"/>
                <w:spacing w:val="0"/>
                <w:position w:val="0"/>
                <w:sz w:val="21"/>
                <w:szCs w:val="21"/>
                <w:highlight w:val="none"/>
                <w:lang w:val="en-US" w:eastAsia="zh-CN"/>
              </w:rPr>
              <w:t>服务期</w:t>
            </w:r>
          </w:p>
        </w:tc>
        <w:tc>
          <w:tcPr>
            <w:tcW w:w="145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rPr>
            </w:pPr>
            <w:r>
              <w:rPr>
                <w:rFonts w:hint="eastAsia" w:ascii="微软雅黑" w:hAnsi="微软雅黑" w:eastAsia="微软雅黑" w:cs="微软雅黑"/>
                <w:color w:val="000000"/>
                <w:spacing w:val="0"/>
                <w:position w:val="0"/>
                <w:sz w:val="21"/>
                <w:szCs w:val="21"/>
                <w:highlight w:val="none"/>
                <w:lang w:val="en-US" w:eastAsia="zh-CN"/>
              </w:rPr>
              <w:t>预算金额</w:t>
            </w:r>
          </w:p>
        </w:tc>
        <w:tc>
          <w:tcPr>
            <w:tcW w:w="43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lang w:eastAsia="zh-CN"/>
              </w:rPr>
            </w:pPr>
            <w:r>
              <w:rPr>
                <w:rFonts w:hint="eastAsia" w:ascii="微软雅黑" w:hAnsi="微软雅黑" w:eastAsia="微软雅黑" w:cs="微软雅黑"/>
                <w:color w:val="000000"/>
                <w:spacing w:val="0"/>
                <w:position w:val="0"/>
                <w:sz w:val="21"/>
                <w:szCs w:val="21"/>
                <w:highlight w:val="none"/>
                <w:lang w:eastAsia="zh-CN"/>
              </w:rPr>
              <w:t>简要规格描述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trPr>
        <w:tc>
          <w:tcPr>
            <w:tcW w:w="73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eastAsia" w:ascii="微软雅黑" w:hAnsi="微软雅黑" w:eastAsia="微软雅黑" w:cs="微软雅黑"/>
                <w:color w:val="000000"/>
                <w:spacing w:val="0"/>
                <w:position w:val="0"/>
                <w:sz w:val="21"/>
                <w:szCs w:val="21"/>
                <w:highlight w:val="none"/>
              </w:rPr>
            </w:pPr>
            <w:r>
              <w:rPr>
                <w:rFonts w:hint="eastAsia" w:ascii="微软雅黑" w:hAnsi="微软雅黑" w:eastAsia="微软雅黑" w:cs="微软雅黑"/>
                <w:color w:val="000000"/>
                <w:spacing w:val="0"/>
                <w:position w:val="0"/>
                <w:sz w:val="21"/>
                <w:szCs w:val="21"/>
                <w:highlight w:val="none"/>
              </w:rPr>
              <w:t>1</w:t>
            </w:r>
          </w:p>
        </w:tc>
        <w:tc>
          <w:tcPr>
            <w:tcW w:w="25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both"/>
              <w:textAlignment w:val="auto"/>
              <w:rPr>
                <w:rFonts w:hint="eastAsia" w:ascii="微软雅黑" w:hAnsi="微软雅黑" w:eastAsia="微软雅黑" w:cs="微软雅黑"/>
                <w:color w:val="000000"/>
                <w:spacing w:val="0"/>
                <w:position w:val="0"/>
                <w:sz w:val="21"/>
                <w:szCs w:val="21"/>
                <w:highlight w:val="none"/>
                <w:lang w:eastAsia="zh-CN"/>
              </w:rPr>
            </w:pPr>
            <w:r>
              <w:rPr>
                <w:rFonts w:hint="eastAsia" w:ascii="微软雅黑" w:hAnsi="微软雅黑" w:eastAsia="微软雅黑" w:cs="微软雅黑"/>
                <w:color w:val="000000"/>
                <w:spacing w:val="0"/>
                <w:position w:val="0"/>
                <w:sz w:val="21"/>
                <w:szCs w:val="21"/>
                <w:highlight w:val="none"/>
                <w:lang w:eastAsia="zh-CN"/>
              </w:rPr>
              <w:t>温岭市城北街道道路清扫保洁、垃圾清运及公厕保洁服务采购</w:t>
            </w:r>
          </w:p>
        </w:tc>
        <w:tc>
          <w:tcPr>
            <w:tcW w:w="8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default" w:ascii="微软雅黑" w:hAnsi="微软雅黑" w:eastAsia="微软雅黑" w:cs="微软雅黑"/>
                <w:color w:val="000000"/>
                <w:spacing w:val="0"/>
                <w:position w:val="0"/>
                <w:sz w:val="21"/>
                <w:szCs w:val="21"/>
                <w:highlight w:val="none"/>
                <w:lang w:val="en-US" w:eastAsia="zh-CN"/>
              </w:rPr>
            </w:pPr>
            <w:r>
              <w:rPr>
                <w:rFonts w:hint="eastAsia" w:ascii="微软雅黑" w:hAnsi="微软雅黑" w:eastAsia="微软雅黑" w:cs="微软雅黑"/>
                <w:color w:val="000000"/>
                <w:spacing w:val="0"/>
                <w:position w:val="0"/>
                <w:sz w:val="21"/>
                <w:szCs w:val="21"/>
                <w:highlight w:val="none"/>
                <w:lang w:val="en-US" w:eastAsia="zh-CN"/>
              </w:rPr>
              <w:t xml:space="preserve"> 1年</w:t>
            </w:r>
          </w:p>
        </w:tc>
        <w:tc>
          <w:tcPr>
            <w:tcW w:w="145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center"/>
              <w:textAlignment w:val="auto"/>
              <w:rPr>
                <w:rFonts w:hint="default" w:ascii="微软雅黑" w:hAnsi="微软雅黑" w:eastAsia="微软雅黑" w:cs="微软雅黑"/>
                <w:color w:val="000000"/>
                <w:spacing w:val="0"/>
                <w:position w:val="0"/>
                <w:sz w:val="21"/>
                <w:szCs w:val="21"/>
                <w:highlight w:val="none"/>
                <w:lang w:val="en-US" w:eastAsia="zh-CN"/>
              </w:rPr>
            </w:pPr>
            <w:r>
              <w:rPr>
                <w:rFonts w:hint="eastAsia" w:ascii="微软雅黑" w:hAnsi="微软雅黑" w:eastAsia="微软雅黑" w:cs="微软雅黑"/>
                <w:color w:val="000000"/>
                <w:spacing w:val="0"/>
                <w:position w:val="0"/>
                <w:sz w:val="21"/>
                <w:szCs w:val="21"/>
                <w:highlight w:val="none"/>
                <w:lang w:val="en-US" w:eastAsia="zh-CN"/>
              </w:rPr>
              <w:t>12000000元</w:t>
            </w:r>
          </w:p>
        </w:tc>
        <w:tc>
          <w:tcPr>
            <w:tcW w:w="43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0" w:after="0" w:line="360" w:lineRule="exact"/>
              <w:ind w:right="0" w:firstLine="0"/>
              <w:jc w:val="left"/>
              <w:textAlignment w:val="auto"/>
              <w:rPr>
                <w:rFonts w:hint="default" w:ascii="微软雅黑" w:hAnsi="微软雅黑" w:eastAsia="微软雅黑" w:cs="微软雅黑"/>
                <w:color w:val="000000"/>
                <w:spacing w:val="0"/>
                <w:position w:val="0"/>
                <w:sz w:val="21"/>
                <w:szCs w:val="21"/>
                <w:highlight w:val="none"/>
                <w:lang w:val="en-US" w:eastAsia="zh-CN"/>
              </w:rPr>
            </w:pPr>
            <w:r>
              <w:rPr>
                <w:rFonts w:hint="eastAsia" w:ascii="微软雅黑" w:hAnsi="微软雅黑" w:eastAsia="微软雅黑" w:cs="微软雅黑"/>
                <w:color w:val="000000"/>
                <w:highlight w:val="none"/>
              </w:rPr>
              <w:t>为全面推进城乡环卫一体化进程，进一步推动辖区内环境卫生治理工作，不断优化居民生活居住条件，现将城北街道辖区范围内的道路清扫保洁、垃圾清运及公厕保洁实行整体承包，具体详见</w:t>
            </w:r>
            <w:r>
              <w:rPr>
                <w:rFonts w:hint="eastAsia" w:ascii="微软雅黑" w:hAnsi="微软雅黑" w:eastAsia="微软雅黑" w:cs="微软雅黑"/>
                <w:color w:val="000000"/>
                <w:highlight w:val="none"/>
                <w:lang w:val="en-US" w:eastAsia="zh-CN"/>
              </w:rPr>
              <w:t>采购需求</w:t>
            </w:r>
            <w:r>
              <w:rPr>
                <w:rFonts w:hint="eastAsia" w:ascii="微软雅黑" w:hAnsi="微软雅黑" w:eastAsia="微软雅黑" w:cs="微软雅黑"/>
                <w:color w:val="000000"/>
                <w:highlight w:val="none"/>
              </w:rPr>
              <w:t>。</w:t>
            </w:r>
          </w:p>
        </w:tc>
      </w:tr>
    </w:tbl>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合同履行期限：详见合同条款。</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u w:val="singl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本项目不接受联合体投标。</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二、申请人的资格要求：</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440" w:firstLineChars="2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（一）符合《中华人民共和国政府采购法》第二十二条规定的投标人资格条件。</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1.具有独立承担民事责任的能力；</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2.具有良好的商业信誉和健全的财务会计制度；</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3.具有履行合同所必需的设备和专业技术能力；</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4.有依法缴纳税收和社会保障资金的良好记录；</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5.参加政府采购活动前三年内，在经营活动中没有重大违法记录；</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660" w:firstLineChars="3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6.法律、行政法规规定的其他条件。</w:t>
      </w:r>
    </w:p>
    <w:p>
      <w:pPr>
        <w:keepNext w:val="0"/>
        <w:keepLines w:val="0"/>
        <w:pageBreakBefore w:val="0"/>
        <w:tabs>
          <w:tab w:val="left" w:pos="180"/>
          <w:tab w:val="left" w:pos="360"/>
          <w:tab w:val="left" w:pos="540"/>
          <w:tab w:val="left" w:pos="8280"/>
        </w:tabs>
        <w:kinsoku/>
        <w:overflowPunct/>
        <w:topLinePunct w:val="0"/>
        <w:autoSpaceDE w:val="0"/>
        <w:autoSpaceDN w:val="0"/>
        <w:bidi w:val="0"/>
        <w:adjustRightInd w:val="0"/>
        <w:spacing w:line="360" w:lineRule="exact"/>
        <w:ind w:firstLine="440" w:firstLineChars="200"/>
        <w:jc w:val="left"/>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（二）特定资格条件：</w:t>
      </w:r>
      <w:r>
        <w:rPr>
          <w:rFonts w:hint="eastAsia" w:ascii="微软雅黑" w:hAnsi="微软雅黑" w:eastAsia="微软雅黑" w:cs="微软雅黑"/>
          <w:sz w:val="22"/>
          <w:szCs w:val="22"/>
          <w:highlight w:val="none"/>
          <w:lang w:val="en-US" w:eastAsia="zh-CN"/>
        </w:rPr>
        <w:t>/</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440" w:firstLineChars="20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三）截止投标截止时间前（北京时间），投标人未被“信用中国”（www.creditchina.gov.cn）、“中国政府采购网”（www.ccgp.gov.cn）列入失信被执行人、重大税收违法案件当事人名单、政府采购严重违法失信行为记录名单。</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440" w:firstLineChars="20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（四）单位负责人为同一人或者存在直接控股、管理关系的不同供应商，不得参加同一合同项下的政府采购活动。</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440" w:firstLineChars="20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（五）为采购项目提供整体设计、规范编制或者项目管理、监理、检测等服务的供应商，不得再参加该采购项目的其他采购活动。</w:t>
      </w:r>
    </w:p>
    <w:p>
      <w:pPr>
        <w:keepNext w:val="0"/>
        <w:keepLines w:val="0"/>
        <w:pageBreakBefore w:val="0"/>
        <w:tabs>
          <w:tab w:val="left" w:pos="180"/>
          <w:tab w:val="left" w:pos="360"/>
          <w:tab w:val="left" w:pos="540"/>
          <w:tab w:val="left" w:pos="8280"/>
        </w:tabs>
        <w:kinsoku/>
        <w:overflowPunct/>
        <w:topLinePunct w:val="0"/>
        <w:bidi w:val="0"/>
        <w:snapToGrid w:val="0"/>
        <w:spacing w:before="0" w:beforeAutospacing="0" w:after="0" w:afterAutospacing="0" w:line="360" w:lineRule="exact"/>
        <w:ind w:firstLine="440" w:firstLineChars="200"/>
        <w:jc w:val="left"/>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（六）公益一类事业单位不属于政府购买服务的承接主体，不得参与承接政府购买服务。</w:t>
      </w:r>
    </w:p>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三、获取招标文件：</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（一）获取时间：公告发布时间至投标截止时间</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（二）获取地址：浙江政府采购网本项目公告附件</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（三）获取方式：</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1.尚未注册浙江政府采购网正式供应商的应先进行注册申请，注册流程详见“浙江政府采购网—网上办事指南—供应商注册申请”，注册申请免费。</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2.供应商注册成功后，登录“政采云”平台进入“项目采购”应用模块，点击菜单的“申请获取采购文件”，填写获取采购文件的申请信息。点击“下载采购文件”即可获取采购文件。</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3.采购公告上附件里的采购文件仅供阅览使用，供应商应当在“政采云”平台注册登记后再获取采购文件，没有通过注册登记而获取采购文件的潜在供应商，对采购文件提起质疑投诉的，不予受理。</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4.采购代理机构将拒绝接受非通过以上方式获取采购文件的供应商投标文件。</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（四）售价：0元</w:t>
      </w:r>
    </w:p>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四、提交投标文件截止时间、开标时间和地点</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1.投标截止时间：</w:t>
      </w:r>
      <w:r>
        <w:rPr>
          <w:rFonts w:hint="eastAsia" w:ascii="微软雅黑" w:hAnsi="微软雅黑" w:eastAsia="微软雅黑" w:cs="微软雅黑"/>
          <w:b/>
          <w:bCs/>
          <w:color w:val="auto"/>
          <w:sz w:val="24"/>
          <w:szCs w:val="24"/>
          <w:highlight w:val="none"/>
          <w:u w:val="single"/>
          <w:lang w:val="en-US" w:eastAsia="zh-CN"/>
        </w:rPr>
        <w:t>2021年08月06日09点00分</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2.投标地点：投标人应于投标截止时间之前将电子投标文件上传到“政府采购云平台”</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3.开标时间：</w:t>
      </w:r>
      <w:r>
        <w:rPr>
          <w:rFonts w:hint="eastAsia" w:ascii="微软雅黑" w:hAnsi="微软雅黑" w:eastAsia="微软雅黑" w:cs="微软雅黑"/>
          <w:b/>
          <w:bCs/>
          <w:color w:val="auto"/>
          <w:sz w:val="24"/>
          <w:szCs w:val="24"/>
          <w:highlight w:val="none"/>
          <w:u w:val="single"/>
          <w:lang w:val="en-US" w:eastAsia="zh-CN"/>
        </w:rPr>
        <w:t>2021年08月06日09点00分</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开标时间后30分钟内，供应商须登录“政采云”平台，用“项目采购-开标评标”功能解密投标文件。</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4.开标地址：“政府采购云平台”线上开标。</w:t>
      </w:r>
    </w:p>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五、公告期限：</w:t>
      </w: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自本公告发布之日起5个工作日。</w:t>
      </w:r>
    </w:p>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六、其他补充事宜</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（一）电子招投标相关事宜：</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bCs w:val="0"/>
          <w:i w:val="0"/>
          <w:caps w:val="0"/>
          <w:color w:val="000000"/>
          <w:spacing w:val="0"/>
          <w:w w:val="100"/>
          <w:kern w:val="2"/>
          <w:sz w:val="22"/>
          <w:szCs w:val="22"/>
          <w:highlight w:val="none"/>
          <w:lang w:val="en-US" w:eastAsia="zh-CN" w:bidi="ar-SA"/>
        </w:rPr>
        <w:t>1</w:t>
      </w:r>
      <w:r>
        <w:rPr>
          <w:rStyle w:val="62"/>
          <w:rFonts w:hint="eastAsia" w:ascii="微软雅黑" w:hAnsi="微软雅黑" w:eastAsia="微软雅黑" w:cs="微软雅黑"/>
          <w:b w:val="0"/>
          <w:bCs w:val="0"/>
          <w:i w:val="0"/>
          <w:caps w:val="0"/>
          <w:color w:val="000000"/>
          <w:spacing w:val="0"/>
          <w:w w:val="100"/>
          <w:kern w:val="0"/>
          <w:sz w:val="22"/>
          <w:szCs w:val="22"/>
          <w:highlight w:val="none"/>
          <w:lang w:val="en-US" w:eastAsia="zh-CN" w:bidi="ar-SA"/>
        </w:rPr>
        <w:t>.供</w:t>
      </w: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应商注册：投标人应为浙江政府采购注册供应商，如尚未注册，务必在投标截止时间前登陆浙江政府采购网进行注册。</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2.本项目采取电子招投标，电子招投标有关事项说明如下：</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1）本项目通过“政府采购云平台（www.zcygov.cn）”实行电子投标，供应商须安装客户端软件，并按照采购文件和电子交易平台的要求编制并加密投标、响应文件。供应商未按规定加密的投标、响应文件，电子交易平台将拒收并提示。</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客户端软件下载方式：供应商可通过“浙江政府采购网-下载专区-电子交易客户端”进行下载。</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（2）供应商须申领CA，并在政采云平台完成绑定方可进行投标文件的编制，CA相关操作可参考“浙江政府采购网-下载专区-电子交易客户端-CA驱动和申领流程”。</w:t>
      </w:r>
    </w:p>
    <w:p>
      <w:pPr>
        <w:keepNext w:val="0"/>
        <w:keepLines w:val="0"/>
        <w:pageBreakBefore w:val="0"/>
        <w:widowControl/>
        <w:kinsoku/>
        <w:overflowPunct/>
        <w:topLinePunct w:val="0"/>
        <w:bidi w:val="0"/>
        <w:snapToGrid w:val="0"/>
        <w:spacing w:before="0" w:beforeAutospacing="0" w:after="0" w:afterAutospacing="0" w:line="360" w:lineRule="exact"/>
        <w:ind w:firstLine="480"/>
        <w:jc w:val="left"/>
        <w:textAlignment w:val="baseline"/>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0"/>
          <w:sz w:val="22"/>
          <w:szCs w:val="22"/>
          <w:highlight w:val="none"/>
          <w:lang w:val="en-US" w:eastAsia="zh-CN" w:bidi="ar-SA"/>
        </w:rPr>
        <w:t>供应商在进行上述操作时，如遇技术问题可致电400-881-7190进行咨询。</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（二）投标保证金：</w:t>
      </w:r>
      <w:r>
        <w:rPr>
          <w:rStyle w:val="62"/>
          <w:rFonts w:hint="eastAsia" w:ascii="微软雅黑" w:hAnsi="微软雅黑" w:eastAsia="微软雅黑" w:cs="微软雅黑"/>
          <w:b w:val="0"/>
          <w:bCs w:val="0"/>
          <w:i w:val="0"/>
          <w:caps w:val="0"/>
          <w:color w:val="000000"/>
          <w:spacing w:val="0"/>
          <w:w w:val="100"/>
          <w:kern w:val="2"/>
          <w:sz w:val="22"/>
          <w:szCs w:val="22"/>
          <w:highlight w:val="none"/>
          <w:lang w:val="en-US" w:eastAsia="zh-CN" w:bidi="ar-SA"/>
        </w:rPr>
        <w:t>本项目不收取投标保证金。</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（三）质疑和投诉：</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2.质疑函范本、投诉书范本请到浙江政府采购网下载专区下载。</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3.书面质疑受理地点：</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联系人：陈女士               联系电话：0576-86155119</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地址：浙江省温岭市城东街道万昌中路1333号创业大厦1幢1502室</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（四）公告发布媒体：</w:t>
      </w: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浙江省政府采购网（http:// www.zjzfcg.gov.cn）和温岭市公共资源交易中心网（http://new.wl.gov.cn/col/col1402172/index.html）。</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（五）其他事项：</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中标供应商如有融资需求，可使用以下银行的政采贷服务。</w:t>
      </w:r>
    </w:p>
    <w:tbl>
      <w:tblPr>
        <w:tblStyle w:val="23"/>
        <w:tblW w:w="9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59"/>
        <w:gridCol w:w="1991"/>
        <w:gridCol w:w="1950"/>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880" w:firstLineChars="4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银  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贷款年利率</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联系人</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中国农业银行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3.8%起</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赵莉鹏</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15267630808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中国交通银行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3.8%起</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王培洁</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13819666299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中国建设银行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基准利率</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范  融</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13958680866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中国工商银行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3.8%起</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王晨晓</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18858658025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3.85%起</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朱  虹</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13806588208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 w:hRule="atLeast"/>
          <w:jc w:val="center"/>
        </w:trPr>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中国邮政储蓄银行</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3.85%起</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王彬彬</w:t>
            </w:r>
          </w:p>
        </w:tc>
        <w:tc>
          <w:tcPr>
            <w:tcW w:w="2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13173718881</w:t>
            </w:r>
          </w:p>
        </w:tc>
      </w:tr>
    </w:tbl>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“政采保”联系方式：</w:t>
      </w:r>
    </w:p>
    <w:tbl>
      <w:tblPr>
        <w:tblStyle w:val="23"/>
        <w:tblW w:w="9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2725"/>
        <w:gridCol w:w="1200"/>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840" w:firstLineChars="400"/>
              <w:jc w:val="both"/>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保险公司</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年费率</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210" w:firstLineChars="100"/>
              <w:jc w:val="both"/>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联系人</w:t>
            </w:r>
          </w:p>
        </w:tc>
        <w:tc>
          <w:tcPr>
            <w:tcW w:w="1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420" w:firstLineChars="200"/>
              <w:jc w:val="both"/>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left"/>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中国人民财产保险股份有限公司温岭市支公司</w:t>
            </w:r>
          </w:p>
        </w:tc>
        <w:tc>
          <w:tcPr>
            <w:tcW w:w="272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left"/>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合同（质量）履约按履约保证金年费率1%（1.5%），每单保函最低保险费为500元（300元）</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李微微</w:t>
            </w:r>
          </w:p>
        </w:tc>
        <w:tc>
          <w:tcPr>
            <w:tcW w:w="1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13605861319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left"/>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中国平安财产保险股份有限公司温岭支公司</w:t>
            </w:r>
          </w:p>
        </w:tc>
        <w:tc>
          <w:tcPr>
            <w:tcW w:w="2725" w:type="dxa"/>
            <w:vMerge w:val="continue"/>
            <w:tcBorders>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郑海珍</w:t>
            </w:r>
          </w:p>
        </w:tc>
        <w:tc>
          <w:tcPr>
            <w:tcW w:w="1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13906560678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42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left"/>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阳光财产保险股份有限公司温岭支公司</w:t>
            </w:r>
          </w:p>
        </w:tc>
        <w:tc>
          <w:tcPr>
            <w:tcW w:w="2725"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王巧萍</w:t>
            </w:r>
          </w:p>
        </w:tc>
        <w:tc>
          <w:tcPr>
            <w:tcW w:w="1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jc w:val="center"/>
              <w:textAlignment w:val="baseline"/>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1"/>
                <w:szCs w:val="21"/>
                <w:highlight w:val="none"/>
                <w:lang w:val="en-US" w:eastAsia="zh-CN" w:bidi="ar-SA"/>
              </w:rPr>
              <w:t>13967691616</w:t>
            </w:r>
          </w:p>
        </w:tc>
      </w:tr>
    </w:tbl>
    <w:p>
      <w:pPr>
        <w:keepNext w:val="0"/>
        <w:keepLines w:val="0"/>
        <w:pageBreakBefore w:val="0"/>
        <w:kinsoku/>
        <w:overflowPunct/>
        <w:topLinePunct w:val="0"/>
        <w:bidi w:val="0"/>
        <w:snapToGrid w:val="0"/>
        <w:spacing w:before="0" w:beforeAutospacing="0" w:after="0" w:afterAutospacing="0" w:line="360" w:lineRule="exact"/>
        <w:jc w:val="both"/>
        <w:textAlignment w:val="baseline"/>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bCs/>
          <w:i w:val="0"/>
          <w:caps w:val="0"/>
          <w:color w:val="000000"/>
          <w:spacing w:val="0"/>
          <w:w w:val="100"/>
          <w:kern w:val="2"/>
          <w:sz w:val="22"/>
          <w:szCs w:val="22"/>
          <w:highlight w:val="none"/>
          <w:lang w:val="en-US" w:eastAsia="zh-CN" w:bidi="ar-SA"/>
        </w:rPr>
        <w:t>七、对本次招标提出询问，请按以下方式联系。</w:t>
      </w:r>
    </w:p>
    <w:p>
      <w:pPr>
        <w:keepNext w:val="0"/>
        <w:keepLines w:val="0"/>
        <w:pageBreakBefore w:val="0"/>
        <w:numPr>
          <w:ilvl w:val="0"/>
          <w:numId w:val="0"/>
        </w:numPr>
        <w:kinsoku/>
        <w:overflowPunct/>
        <w:topLinePunct w:val="0"/>
        <w:bidi w:val="0"/>
        <w:snapToGrid w:val="0"/>
        <w:spacing w:line="360" w:lineRule="exact"/>
        <w:ind w:firstLine="440" w:firstLineChars="200"/>
        <w:rPr>
          <w:rFonts w:hint="eastAsia" w:ascii="微软雅黑" w:hAnsi="微软雅黑" w:eastAsia="微软雅黑" w:cs="微软雅黑"/>
          <w:b/>
          <w:bCs/>
          <w:sz w:val="22"/>
          <w:szCs w:val="22"/>
          <w:highlight w:val="none"/>
          <w:lang w:val="en-US" w:eastAsia="zh-CN"/>
        </w:rPr>
      </w:pPr>
      <w:r>
        <w:rPr>
          <w:rFonts w:hint="eastAsia" w:ascii="微软雅黑" w:hAnsi="微软雅黑" w:eastAsia="微软雅黑" w:cs="微软雅黑"/>
          <w:b/>
          <w:bCs/>
          <w:sz w:val="22"/>
          <w:szCs w:val="22"/>
          <w:highlight w:val="none"/>
          <w:lang w:val="en-US" w:eastAsia="zh-CN"/>
        </w:rPr>
        <w:t>1. 采购代理机构名称：台州诚创招标代理有限公司</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联系人：庄杰、洪佳</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default"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联系电话：13600589397、18968586935</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地址：浙江省温岭市城东街道万昌中路1333号创业大厦1幢1502室</w:t>
      </w:r>
    </w:p>
    <w:p>
      <w:pPr>
        <w:keepNext w:val="0"/>
        <w:keepLines w:val="0"/>
        <w:pageBreakBefore w:val="0"/>
        <w:numPr>
          <w:ilvl w:val="0"/>
          <w:numId w:val="4"/>
        </w:numPr>
        <w:kinsoku/>
        <w:overflowPunct/>
        <w:topLinePunct w:val="0"/>
        <w:bidi w:val="0"/>
        <w:snapToGrid w:val="0"/>
        <w:spacing w:line="360" w:lineRule="exact"/>
        <w:ind w:firstLine="440" w:firstLineChars="200"/>
        <w:rPr>
          <w:rFonts w:hint="eastAsia" w:ascii="微软雅黑" w:hAnsi="微软雅黑" w:eastAsia="微软雅黑" w:cs="微软雅黑"/>
          <w:b/>
          <w:bCs/>
          <w:sz w:val="22"/>
          <w:szCs w:val="22"/>
          <w:highlight w:val="none"/>
          <w:lang w:val="en-US" w:eastAsia="zh-CN"/>
        </w:rPr>
      </w:pPr>
      <w:r>
        <w:rPr>
          <w:rFonts w:hint="eastAsia" w:ascii="微软雅黑" w:hAnsi="微软雅黑" w:eastAsia="微软雅黑" w:cs="微软雅黑"/>
          <w:b/>
          <w:bCs/>
          <w:sz w:val="22"/>
          <w:szCs w:val="22"/>
          <w:highlight w:val="none"/>
          <w:lang w:val="en-US" w:eastAsia="zh-CN"/>
        </w:rPr>
        <w:t>采购人：温岭市人民政府城北街道办事处</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联系人：</w:t>
      </w:r>
      <w:r>
        <w:rPr>
          <w:rFonts w:hint="eastAsia" w:ascii="微软雅黑" w:hAnsi="微软雅黑" w:eastAsia="微软雅黑" w:cs="微软雅黑"/>
          <w:color w:val="auto"/>
          <w:sz w:val="22"/>
          <w:szCs w:val="22"/>
          <w:highlight w:val="none"/>
          <w:lang w:val="en-US" w:eastAsia="zh-CN"/>
        </w:rPr>
        <w:t xml:space="preserve">王先生   </w:t>
      </w:r>
      <w:r>
        <w:rPr>
          <w:rFonts w:hint="eastAsia" w:ascii="微软雅黑" w:hAnsi="微软雅黑" w:eastAsia="微软雅黑" w:cs="微软雅黑"/>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rPr>
        <w:t>联系电话：13605866626</w:t>
      </w:r>
    </w:p>
    <w:p>
      <w:pPr>
        <w:keepNext w:val="0"/>
        <w:keepLines w:val="0"/>
        <w:pageBreakBefore w:val="0"/>
        <w:numPr>
          <w:ilvl w:val="0"/>
          <w:numId w:val="0"/>
        </w:numPr>
        <w:kinsoku/>
        <w:overflowPunct/>
        <w:topLinePunct w:val="0"/>
        <w:bidi w:val="0"/>
        <w:snapToGrid w:val="0"/>
        <w:spacing w:line="360" w:lineRule="exact"/>
        <w:ind w:firstLine="440" w:firstLineChars="200"/>
        <w:rPr>
          <w:rFonts w:hint="eastAsia" w:ascii="微软雅黑" w:hAnsi="微软雅黑" w:eastAsia="微软雅黑" w:cs="微软雅黑"/>
          <w:color w:val="auto"/>
          <w:sz w:val="24"/>
          <w:highlight w:val="none"/>
          <w:lang w:val="en-US" w:eastAsia="zh-CN"/>
        </w:rPr>
      </w:pPr>
      <w:r>
        <w:rPr>
          <w:rFonts w:hint="eastAsia" w:ascii="微软雅黑" w:hAnsi="微软雅黑" w:eastAsia="微软雅黑" w:cs="微软雅黑"/>
          <w:color w:val="auto"/>
          <w:sz w:val="22"/>
          <w:szCs w:val="22"/>
          <w:highlight w:val="none"/>
        </w:rPr>
        <w:t>地址：</w:t>
      </w:r>
      <w:r>
        <w:rPr>
          <w:rFonts w:hint="eastAsia" w:ascii="微软雅黑" w:hAnsi="微软雅黑" w:eastAsia="微软雅黑" w:cs="微软雅黑"/>
          <w:sz w:val="22"/>
          <w:szCs w:val="22"/>
          <w:highlight w:val="none"/>
        </w:rPr>
        <w:t>浙江省台州市温岭市城北街道中马路129号</w:t>
      </w:r>
    </w:p>
    <w:p>
      <w:pPr>
        <w:keepNext w:val="0"/>
        <w:keepLines w:val="0"/>
        <w:pageBreakBefore w:val="0"/>
        <w:numPr>
          <w:ilvl w:val="0"/>
          <w:numId w:val="4"/>
        </w:numPr>
        <w:kinsoku/>
        <w:overflowPunct/>
        <w:topLinePunct w:val="0"/>
        <w:bidi w:val="0"/>
        <w:snapToGrid w:val="0"/>
        <w:spacing w:line="360" w:lineRule="exact"/>
        <w:ind w:left="0" w:leftChars="0" w:firstLine="440" w:firstLineChars="200"/>
        <w:rPr>
          <w:rFonts w:hint="eastAsia" w:ascii="微软雅黑" w:hAnsi="微软雅黑" w:eastAsia="微软雅黑" w:cs="微软雅黑"/>
          <w:b/>
          <w:bCs/>
          <w:sz w:val="22"/>
          <w:szCs w:val="22"/>
          <w:highlight w:val="none"/>
          <w:lang w:val="en-US" w:eastAsia="zh-CN"/>
        </w:rPr>
      </w:pPr>
      <w:r>
        <w:rPr>
          <w:rFonts w:hint="eastAsia" w:ascii="微软雅黑" w:hAnsi="微软雅黑" w:eastAsia="微软雅黑" w:cs="微软雅黑"/>
          <w:b/>
          <w:bCs/>
          <w:sz w:val="22"/>
          <w:szCs w:val="22"/>
          <w:highlight w:val="none"/>
          <w:lang w:val="en-US" w:eastAsia="zh-CN"/>
        </w:rPr>
        <w:t xml:space="preserve">同级政府采购监督管理部门：温岭市财政局 </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 xml:space="preserve">联系人：温岭市财政局政府采购监管科                    </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 xml:space="preserve">监督投诉电话：0576-86086511 </w:t>
      </w:r>
    </w:p>
    <w:p>
      <w:pPr>
        <w:keepNext w:val="0"/>
        <w:keepLines w:val="0"/>
        <w:pageBreakBefore w:val="0"/>
        <w:kinsoku/>
        <w:overflowPunct/>
        <w:topLinePunct w:val="0"/>
        <w:bidi w:val="0"/>
        <w:snapToGrid w:val="0"/>
        <w:spacing w:before="0" w:beforeAutospacing="0" w:after="0" w:afterAutospacing="0" w:line="360" w:lineRule="exact"/>
        <w:ind w:firstLine="440" w:firstLineChars="200"/>
        <w:jc w:val="both"/>
        <w:textAlignment w:val="baseline"/>
        <w:rPr>
          <w:rStyle w:val="62"/>
          <w:rFonts w:hint="eastAsia" w:ascii="微软雅黑" w:hAnsi="微软雅黑" w:eastAsia="微软雅黑"/>
          <w:b w:val="0"/>
          <w:i w:val="0"/>
          <w:caps w:val="0"/>
          <w:color w:val="000000"/>
          <w:spacing w:val="0"/>
          <w:w w:val="100"/>
          <w:kern w:val="2"/>
          <w:sz w:val="24"/>
          <w:szCs w:val="24"/>
          <w:highlight w:val="none"/>
          <w:lang w:val="en-US" w:eastAsia="zh-CN" w:bidi="ar-SA"/>
        </w:rPr>
      </w:pPr>
      <w:r>
        <w:rPr>
          <w:rStyle w:val="62"/>
          <w:rFonts w:hint="eastAsia" w:ascii="微软雅黑" w:hAnsi="微软雅黑" w:eastAsia="微软雅黑" w:cs="微软雅黑"/>
          <w:b w:val="0"/>
          <w:i w:val="0"/>
          <w:caps w:val="0"/>
          <w:color w:val="000000"/>
          <w:spacing w:val="0"/>
          <w:w w:val="100"/>
          <w:kern w:val="2"/>
          <w:sz w:val="22"/>
          <w:szCs w:val="22"/>
          <w:highlight w:val="none"/>
          <w:lang w:val="en-US" w:eastAsia="zh-CN" w:bidi="ar-SA"/>
        </w:rPr>
        <w:t>地址：浙江省温岭市太平街道中华路29号</w:t>
      </w:r>
    </w:p>
    <w:p>
      <w:pPr>
        <w:spacing w:line="240" w:lineRule="auto"/>
        <w:jc w:val="center"/>
        <w:rPr>
          <w:rFonts w:hint="eastAsia" w:ascii="微软雅黑" w:hAnsi="微软雅黑" w:eastAsia="微软雅黑" w:cs="微软雅黑"/>
          <w:b/>
          <w:bCs/>
          <w:kern w:val="0"/>
          <w:sz w:val="36"/>
          <w:szCs w:val="36"/>
          <w:highlight w:val="none"/>
        </w:rPr>
      </w:pPr>
      <w:r>
        <w:rPr>
          <w:rFonts w:hint="eastAsia" w:ascii="微软雅黑" w:hAnsi="微软雅黑" w:eastAsia="微软雅黑" w:cs="微软雅黑"/>
          <w:b/>
          <w:bCs/>
          <w:kern w:val="0"/>
          <w:sz w:val="36"/>
          <w:szCs w:val="36"/>
          <w:highlight w:val="none"/>
        </w:rPr>
        <w:br w:type="page"/>
      </w:r>
      <w:r>
        <w:rPr>
          <w:rFonts w:hint="eastAsia" w:ascii="微软雅黑" w:hAnsi="微软雅黑" w:eastAsia="微软雅黑" w:cs="微软雅黑"/>
          <w:b/>
          <w:bCs/>
          <w:kern w:val="0"/>
          <w:sz w:val="36"/>
          <w:szCs w:val="36"/>
          <w:highlight w:val="none"/>
        </w:rPr>
        <w:t xml:space="preserve">第二章 </w:t>
      </w:r>
      <w:r>
        <w:rPr>
          <w:rFonts w:hint="eastAsia" w:ascii="微软雅黑" w:hAnsi="微软雅黑" w:eastAsia="微软雅黑" w:cs="微软雅黑"/>
          <w:b/>
          <w:bCs/>
          <w:kern w:val="0"/>
          <w:sz w:val="36"/>
          <w:szCs w:val="36"/>
          <w:highlight w:val="none"/>
          <w:lang w:val="en-US" w:eastAsia="zh-CN"/>
        </w:rPr>
        <w:t xml:space="preserve"> </w:t>
      </w:r>
      <w:r>
        <w:rPr>
          <w:rFonts w:hint="eastAsia" w:ascii="微软雅黑" w:hAnsi="微软雅黑" w:eastAsia="微软雅黑" w:cs="微软雅黑"/>
          <w:b/>
          <w:bCs/>
          <w:kern w:val="0"/>
          <w:sz w:val="36"/>
          <w:szCs w:val="36"/>
          <w:highlight w:val="none"/>
        </w:rPr>
        <w:t>投标人须知前附表</w:t>
      </w:r>
    </w:p>
    <w:tbl>
      <w:tblPr>
        <w:tblStyle w:val="23"/>
        <w:tblW w:w="10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12"/>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序号</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项    目</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采购项目</w:t>
            </w:r>
          </w:p>
        </w:tc>
        <w:tc>
          <w:tcPr>
            <w:tcW w:w="8364" w:type="dxa"/>
            <w:vAlign w:val="center"/>
          </w:tcPr>
          <w:p>
            <w:pPr>
              <w:keepNext w:val="0"/>
              <w:keepLines w:val="0"/>
              <w:pageBreakBefore w:val="0"/>
              <w:widowControl/>
              <w:kinsoku/>
              <w:wordWrap/>
              <w:overflowPunct/>
              <w:topLinePunct w:val="0"/>
              <w:autoSpaceDE/>
              <w:autoSpaceDN/>
              <w:bidi w:val="0"/>
              <w:adjustRightInd/>
              <w:snapToGrid w:val="0"/>
              <w:spacing w:line="300" w:lineRule="exact"/>
              <w:ind w:left="0" w:hanging="1050" w:hangingChars="5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项目名称：</w:t>
            </w:r>
            <w:r>
              <w:rPr>
                <w:rFonts w:hint="eastAsia" w:ascii="微软雅黑" w:hAnsi="微软雅黑" w:eastAsia="微软雅黑" w:cs="微软雅黑"/>
                <w:sz w:val="21"/>
                <w:szCs w:val="21"/>
                <w:highlight w:val="none"/>
                <w:lang w:eastAsia="zh-CN"/>
              </w:rPr>
              <w:t>温岭市城北街道道路清扫保洁、垃圾清运及公厕保洁服务采购</w:t>
            </w:r>
          </w:p>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项目内容：</w:t>
            </w:r>
            <w:r>
              <w:rPr>
                <w:rFonts w:hint="eastAsia" w:ascii="微软雅黑" w:hAnsi="微软雅黑" w:eastAsia="微软雅黑"/>
                <w:sz w:val="21"/>
                <w:szCs w:val="21"/>
                <w:highlight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采购方式</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w:t>
            </w:r>
          </w:p>
        </w:tc>
        <w:tc>
          <w:tcPr>
            <w:tcW w:w="1512" w:type="dxa"/>
            <w:vAlign w:val="center"/>
          </w:tcPr>
          <w:p>
            <w:pPr>
              <w:keepNext w:val="0"/>
              <w:keepLines w:val="0"/>
              <w:pageBreakBefore w:val="0"/>
              <w:kinsoku/>
              <w:wordWrap/>
              <w:overflowPunct/>
              <w:topLinePunct w:val="0"/>
              <w:autoSpaceDE/>
              <w:autoSpaceDN/>
              <w:bidi w:val="0"/>
              <w:adjustRightInd/>
              <w:snapToGrid w:val="0"/>
              <w:spacing w:line="300" w:lineRule="exact"/>
              <w:ind w:left="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投标文件</w:t>
            </w:r>
            <w:r>
              <w:rPr>
                <w:rFonts w:hint="eastAsia" w:ascii="微软雅黑" w:hAnsi="微软雅黑" w:eastAsia="微软雅黑" w:cs="微软雅黑"/>
                <w:sz w:val="21"/>
                <w:szCs w:val="21"/>
                <w:highlight w:val="none"/>
                <w:lang w:val="en-US" w:eastAsia="zh-CN"/>
              </w:rPr>
              <w:t>形式</w:t>
            </w:r>
          </w:p>
        </w:tc>
        <w:tc>
          <w:tcPr>
            <w:tcW w:w="8364" w:type="dxa"/>
            <w:vAlign w:val="center"/>
          </w:tcPr>
          <w:p>
            <w:pPr>
              <w:keepNext w:val="0"/>
              <w:keepLines w:val="0"/>
              <w:pageBreakBefore w:val="0"/>
              <w:numPr>
                <w:ilvl w:val="0"/>
                <w:numId w:val="5"/>
              </w:numPr>
              <w:kinsoku/>
              <w:wordWrap/>
              <w:overflowPunct/>
              <w:topLinePunct w:val="0"/>
              <w:autoSpaceDE/>
              <w:autoSpaceDN/>
              <w:bidi w:val="0"/>
              <w:adjustRightInd/>
              <w:snapToGrid w:val="0"/>
              <w:spacing w:line="300" w:lineRule="exact"/>
              <w:ind w:left="0" w:leftChars="0"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电子投标文件包括“电子加密投标文件”和“备份投标文件”，在投标文件编制完成后同时生成。</w:t>
            </w:r>
          </w:p>
          <w:p>
            <w:pPr>
              <w:keepNext w:val="0"/>
              <w:keepLines w:val="0"/>
              <w:pageBreakBefore w:val="0"/>
              <w:numPr>
                <w:ilvl w:val="0"/>
                <w:numId w:val="5"/>
              </w:numPr>
              <w:kinsoku/>
              <w:wordWrap/>
              <w:overflowPunct/>
              <w:topLinePunct w:val="0"/>
              <w:autoSpaceDE/>
              <w:autoSpaceDN/>
              <w:bidi w:val="0"/>
              <w:adjustRightInd/>
              <w:snapToGrid w:val="0"/>
              <w:spacing w:line="300" w:lineRule="exact"/>
              <w:ind w:left="0" w:leftChars="0"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“电子加密投标文件”是指通过“政采云电子交易客户端”完成投标文件编制后生成并加密的数据电文形式的投标文件。</w:t>
            </w:r>
          </w:p>
          <w:p>
            <w:pPr>
              <w:keepNext w:val="0"/>
              <w:keepLines w:val="0"/>
              <w:pageBreakBefore w:val="0"/>
              <w:numPr>
                <w:ilvl w:val="0"/>
                <w:numId w:val="5"/>
              </w:numPr>
              <w:kinsoku/>
              <w:wordWrap/>
              <w:overflowPunct/>
              <w:topLinePunct w:val="0"/>
              <w:autoSpaceDE/>
              <w:autoSpaceDN/>
              <w:bidi w:val="0"/>
              <w:adjustRightInd/>
              <w:snapToGrid w:val="0"/>
              <w:spacing w:line="300" w:lineRule="exact"/>
              <w:ind w:left="0" w:leftChars="0" w:firstLine="0" w:firstLine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4</w:t>
            </w:r>
          </w:p>
        </w:tc>
        <w:tc>
          <w:tcPr>
            <w:tcW w:w="1512" w:type="dxa"/>
            <w:vAlign w:val="center"/>
          </w:tcPr>
          <w:p>
            <w:pPr>
              <w:keepNext w:val="0"/>
              <w:keepLines w:val="0"/>
              <w:pageBreakBefore w:val="0"/>
              <w:kinsoku/>
              <w:wordWrap/>
              <w:overflowPunct/>
              <w:topLinePunct w:val="0"/>
              <w:autoSpaceDE/>
              <w:autoSpaceDN/>
              <w:bidi w:val="0"/>
              <w:adjustRightInd/>
              <w:snapToGrid w:val="0"/>
              <w:spacing w:line="300" w:lineRule="exact"/>
              <w:ind w:left="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color w:val="auto"/>
                <w:sz w:val="21"/>
                <w:szCs w:val="21"/>
                <w:highlight w:val="none"/>
              </w:rPr>
              <w:t>投标文件份数</w:t>
            </w:r>
          </w:p>
        </w:tc>
        <w:tc>
          <w:tcPr>
            <w:tcW w:w="8364" w:type="dxa"/>
            <w:vAlign w:val="center"/>
          </w:tcPr>
          <w:p>
            <w:pPr>
              <w:keepNext w:val="0"/>
              <w:keepLines w:val="0"/>
              <w:pageBreakBefore w:val="0"/>
              <w:numPr>
                <w:ilvl w:val="0"/>
                <w:numId w:val="0"/>
              </w:numPr>
              <w:kinsoku/>
              <w:wordWrap/>
              <w:overflowPunct/>
              <w:topLinePunct w:val="0"/>
              <w:autoSpaceDE/>
              <w:autoSpaceDN/>
              <w:bidi w:val="0"/>
              <w:adjustRightInd/>
              <w:snapToGrid w:val="0"/>
              <w:spacing w:line="300" w:lineRule="exact"/>
              <w:ind w:left="0" w:left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1.一份电子加密标书（后缀格式为.jmbs），一份备份标书文件（后缀格式为.bfbs）。</w:t>
            </w:r>
          </w:p>
          <w:p>
            <w:pPr>
              <w:keepNext w:val="0"/>
              <w:keepLines w:val="0"/>
              <w:pageBreakBefore w:val="0"/>
              <w:numPr>
                <w:ilvl w:val="0"/>
                <w:numId w:val="0"/>
              </w:numPr>
              <w:kinsoku/>
              <w:wordWrap/>
              <w:overflowPunct/>
              <w:topLinePunct w:val="0"/>
              <w:autoSpaceDE/>
              <w:autoSpaceDN/>
              <w:bidi w:val="0"/>
              <w:adjustRightInd/>
              <w:snapToGrid w:val="0"/>
              <w:spacing w:line="300" w:lineRule="exact"/>
              <w:ind w:left="0" w:left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2.每份电子投标文件应包括资格证明文件、商务技术文件和报价文件三部分内容。</w:t>
            </w:r>
          </w:p>
          <w:p>
            <w:pPr>
              <w:keepNext w:val="0"/>
              <w:keepLines w:val="0"/>
              <w:pageBreakBefore w:val="0"/>
              <w:numPr>
                <w:ilvl w:val="0"/>
                <w:numId w:val="0"/>
              </w:numPr>
              <w:kinsoku/>
              <w:wordWrap/>
              <w:overflowPunct/>
              <w:topLinePunct w:val="0"/>
              <w:autoSpaceDE/>
              <w:autoSpaceDN/>
              <w:bidi w:val="0"/>
              <w:adjustRightInd/>
              <w:snapToGrid w:val="0"/>
              <w:spacing w:line="300" w:lineRule="exact"/>
              <w:ind w:left="0" w:leftChars="0"/>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3.如中标，中标人需根据采购人要求提供纸质投标文件至少一份，采用胶装，不建议采用活页夹等可随时拆换的方式装订。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5</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auto"/>
                <w:sz w:val="21"/>
                <w:szCs w:val="21"/>
                <w:highlight w:val="none"/>
                <w:lang w:val="en-US" w:eastAsia="zh-CN"/>
              </w:rPr>
              <w:t>电子加密投标文件</w:t>
            </w:r>
          </w:p>
        </w:tc>
        <w:tc>
          <w:tcPr>
            <w:tcW w:w="8364" w:type="dxa"/>
            <w:vAlign w:val="center"/>
          </w:tcPr>
          <w:p>
            <w:pPr>
              <w:keepNext w:val="0"/>
              <w:keepLines w:val="0"/>
              <w:pageBreakBefore w:val="0"/>
              <w:numPr>
                <w:ilvl w:val="0"/>
                <w:numId w:val="0"/>
              </w:numPr>
              <w:kinsoku/>
              <w:wordWrap/>
              <w:overflowPunct/>
              <w:topLinePunct w:val="0"/>
              <w:autoSpaceDE/>
              <w:autoSpaceDN/>
              <w:bidi w:val="0"/>
              <w:adjustRightInd/>
              <w:snapToGrid w:val="0"/>
              <w:spacing w:line="300" w:lineRule="exact"/>
              <w:ind w:left="0"/>
              <w:textAlignment w:val="auto"/>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val="en-US" w:eastAsia="zh-CN"/>
              </w:rPr>
              <w:t>电子加密投标文件：</w:t>
            </w:r>
            <w:r>
              <w:rPr>
                <w:rFonts w:hint="eastAsia" w:ascii="微软雅黑" w:hAnsi="微软雅黑" w:eastAsia="微软雅黑" w:cs="微软雅黑"/>
                <w:color w:val="auto"/>
                <w:sz w:val="21"/>
                <w:szCs w:val="21"/>
                <w:highlight w:val="none"/>
              </w:rPr>
              <w:t>投标文件制作完成并生成加密标书，</w:t>
            </w:r>
            <w:r>
              <w:rPr>
                <w:rFonts w:hint="eastAsia" w:ascii="微软雅黑" w:hAnsi="微软雅黑" w:eastAsia="微软雅黑" w:cs="微软雅黑"/>
                <w:color w:val="auto"/>
                <w:sz w:val="21"/>
                <w:szCs w:val="21"/>
                <w:highlight w:val="none"/>
                <w:lang w:eastAsia="zh-CN"/>
              </w:rPr>
              <w:t>在投标截止时间</w:t>
            </w:r>
            <w:r>
              <w:rPr>
                <w:rFonts w:hint="eastAsia" w:ascii="微软雅黑" w:hAnsi="微软雅黑" w:eastAsia="微软雅黑" w:cs="微软雅黑"/>
                <w:color w:val="auto"/>
                <w:sz w:val="21"/>
                <w:szCs w:val="21"/>
                <w:highlight w:val="none"/>
              </w:rPr>
              <w:t>前，供应商需将加密的投标文件上传至政采云平台，在开标时间开始后30分钟内，解密投标文件</w:t>
            </w:r>
            <w:r>
              <w:rPr>
                <w:rFonts w:hint="eastAsia" w:ascii="微软雅黑" w:hAnsi="微软雅黑" w:eastAsia="微软雅黑" w:cs="微软雅黑"/>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0"/>
              <w:jc w:val="both"/>
              <w:textAlignment w:val="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sz w:val="21"/>
                <w:szCs w:val="21"/>
                <w:highlight w:val="none"/>
                <w:lang w:eastAsia="zh-CN"/>
              </w:rPr>
              <w:t>a.供应商</w:t>
            </w:r>
            <w:r>
              <w:rPr>
                <w:rFonts w:hint="eastAsia" w:ascii="微软雅黑" w:hAnsi="微软雅黑" w:eastAsia="微软雅黑" w:cs="微软雅黑"/>
                <w:b/>
                <w:bCs/>
                <w:color w:val="auto"/>
                <w:sz w:val="21"/>
                <w:szCs w:val="21"/>
                <w:highlight w:val="none"/>
                <w:lang w:val="en-US" w:eastAsia="zh-CN"/>
              </w:rPr>
              <w:t>在</w:t>
            </w:r>
            <w:r>
              <w:rPr>
                <w:rFonts w:hint="eastAsia" w:ascii="微软雅黑" w:hAnsi="微软雅黑" w:eastAsia="微软雅黑" w:cs="微软雅黑"/>
                <w:b/>
                <w:bCs/>
                <w:color w:val="auto"/>
                <w:sz w:val="21"/>
                <w:szCs w:val="21"/>
                <w:highlight w:val="none"/>
                <w:lang w:eastAsia="zh-CN"/>
              </w:rPr>
              <w:t>投标截止时间前，</w:t>
            </w:r>
            <w:r>
              <w:rPr>
                <w:rFonts w:hint="eastAsia" w:ascii="微软雅黑" w:hAnsi="微软雅黑" w:eastAsia="微软雅黑" w:cs="微软雅黑"/>
                <w:b/>
                <w:bCs/>
                <w:color w:val="auto"/>
                <w:sz w:val="21"/>
                <w:szCs w:val="21"/>
                <w:highlight w:val="none"/>
                <w:lang w:val="en-US" w:eastAsia="zh-CN"/>
              </w:rPr>
              <w:t>未能</w:t>
            </w:r>
            <w:r>
              <w:rPr>
                <w:rFonts w:hint="eastAsia" w:ascii="微软雅黑" w:hAnsi="微软雅黑" w:eastAsia="微软雅黑" w:cs="微软雅黑"/>
                <w:b/>
                <w:bCs/>
                <w:color w:val="auto"/>
                <w:sz w:val="21"/>
                <w:szCs w:val="21"/>
                <w:highlight w:val="none"/>
                <w:lang w:eastAsia="zh-CN"/>
              </w:rPr>
              <w:t>成功上传电子加密投标文件的，投标无效。</w:t>
            </w:r>
          </w:p>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auto"/>
                <w:sz w:val="21"/>
                <w:szCs w:val="21"/>
                <w:highlight w:val="none"/>
                <w:lang w:eastAsia="zh-CN"/>
              </w:rPr>
              <w:t>b.供应商成功上传电子加密投标文件后，可自行打印投标文件接收回执。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6</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color w:val="auto"/>
                <w:sz w:val="21"/>
                <w:szCs w:val="21"/>
                <w:highlight w:val="none"/>
                <w:lang w:eastAsia="zh-CN"/>
              </w:rPr>
              <w:t>备份投标文件</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备份投标文件：供应商确保在投标截止时间前，将备份投标文件通过快递形式寄达采购代理机构处，以便标书解密异常时应急使用（邮寄地址：浙江省温岭市城东街道万昌中路1333号创业大厦1幢1502室，接收人：朱靖晔，电话：13736692168）。</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b.通过“政府采购云平台”成功上传递交的“电子加密投标文件”已按时解密的，“备份投标文件”自动失效。</w:t>
            </w:r>
            <w:r>
              <w:rPr>
                <w:rFonts w:hint="eastAsia" w:ascii="微软雅黑" w:hAnsi="微软雅黑" w:eastAsia="微软雅黑" w:cs="微软雅黑"/>
                <w:b/>
                <w:bCs/>
                <w:color w:val="auto"/>
                <w:sz w:val="21"/>
                <w:szCs w:val="21"/>
                <w:highlight w:val="none"/>
                <w:lang w:val="en-US" w:eastAsia="zh-CN"/>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7</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val="en-US" w:eastAsia="zh-CN"/>
              </w:rPr>
              <w:t>电子加密投标文件的解密和异常情况处理</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电子加密投标文件的解密和异常情况处理：</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a.开标期间，各投标人代表应在限定时间内自行完成“电子加密投标文件”的在线解密。</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b/>
                <w:bCs/>
                <w:color w:val="auto"/>
                <w:sz w:val="21"/>
                <w:szCs w:val="21"/>
                <w:highlight w:val="none"/>
                <w:lang w:val="en-US" w:eastAsia="zh-CN"/>
              </w:rPr>
              <w:t>c.投标截止时间前，投标供应商仅递交了“备份投标文件”而未将电子加密投标文件上传至“政府采购云平台”的，投标无效。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8</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投标文件、流程文件签章</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电子投标文件</w:t>
            </w:r>
            <w:r>
              <w:rPr>
                <w:rFonts w:hint="eastAsia" w:ascii="微软雅黑" w:hAnsi="微软雅黑" w:eastAsia="微软雅黑" w:cs="微软雅黑"/>
                <w:color w:val="auto"/>
                <w:sz w:val="21"/>
                <w:szCs w:val="21"/>
                <w:highlight w:val="none"/>
                <w:lang w:val="en-US" w:eastAsia="zh-CN"/>
              </w:rPr>
              <w:t>必须有电子签章；开标后，相关信息记录确认、澄清说明、回复等内容，电子签章、或者签章后上传相关文件，均认可；政采云系统平台有新的操作流程的，按其规定。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9</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开标程序</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1.开标后，采购代理机构点击【开始解密】，供应商应在30分钟内完成解密。供应商在规定的时间内都已完成解密，则系统自动结束解密；供应商超过解密时限，默认自动放弃；</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2.解密不成功时，如投标供应商已按规定递交了“备份投标文件”的，采购代理机构通过【异常处理】端口对备份投标文件上传、解密；</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3.结束解密后，供应商通过邮件形式将经授权代表签署的《政府采购活动现场确认声明书》（格式见采购文件格式附件）扫描件发至代理机构经办人邮箱（邮箱地址：360745117@qq.com，联系人：朱靖晔 ，电话：13736692168 ）；</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4.采购组织机构点击【开启标书信息】，开启标书成功后进入开标流程。</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5.政采云系统平台有新的操作流程的，按其规定。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10</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评标程序</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资格审查：由采购人或采购代理机构代表根据采购文件的规定对投标人进行资格审查，资格审查不合格的投标人，其投标作无效标处理。</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符合性评审</w:t>
            </w:r>
            <w:r>
              <w:rPr>
                <w:rFonts w:hint="eastAsia" w:ascii="微软雅黑" w:hAnsi="微软雅黑" w:eastAsia="微软雅黑" w:cs="微软雅黑"/>
                <w:color w:val="auto"/>
                <w:sz w:val="21"/>
                <w:szCs w:val="21"/>
                <w:highlight w:val="none"/>
                <w:lang w:val="en-US" w:eastAsia="zh-CN"/>
              </w:rPr>
              <w:t>：依据采购文件的规定，从投标文件的有效性、完整性和对采购文件的响应程度进行审查，以确定是否对采购文件的实质性要求作出响应。</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商务技术评分</w:t>
            </w:r>
            <w:r>
              <w:rPr>
                <w:rFonts w:hint="eastAsia" w:ascii="微软雅黑" w:hAnsi="微软雅黑" w:eastAsia="微软雅黑" w:cs="微软雅黑"/>
                <w:color w:val="auto"/>
                <w:sz w:val="21"/>
                <w:szCs w:val="21"/>
                <w:highlight w:val="none"/>
                <w:lang w:val="en-US" w:eastAsia="zh-CN"/>
              </w:rPr>
              <w:t>：由评标委员会对各投标人的技术商务充分审核、讨论及评议后，独立评分。</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商务技术评分汇总</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商务技术结果公布</w:t>
            </w:r>
            <w:r>
              <w:rPr>
                <w:rFonts w:hint="eastAsia" w:ascii="微软雅黑" w:hAnsi="微软雅黑" w:eastAsia="微软雅黑" w:cs="微软雅黑"/>
                <w:color w:val="auto"/>
                <w:sz w:val="21"/>
                <w:szCs w:val="21"/>
                <w:highlight w:val="none"/>
                <w:lang w:val="en-US" w:eastAsia="zh-CN"/>
              </w:rPr>
              <w:t>；代理机构通过发送邮件形式公布符合性审查、商务技术评审无效供应商名称及理由；公布经商务技术评审后有效投标供应商的名单，及其商务技术部分得分情况。</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开启</w:t>
            </w:r>
            <w:r>
              <w:rPr>
                <w:rFonts w:hint="eastAsia" w:ascii="微软雅黑" w:hAnsi="微软雅黑" w:eastAsia="微软雅黑" w:cs="微软雅黑"/>
                <w:color w:val="auto"/>
                <w:sz w:val="21"/>
                <w:szCs w:val="21"/>
                <w:highlight w:val="none"/>
                <w:lang w:val="en-US" w:eastAsia="zh-CN"/>
              </w:rPr>
              <w:t>报价响应文件：采购代理机构成功开启报价响应文件后，方可查看各供应商报价情况。</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代理机构通过发送邮件形式公布开标一览表有关内容，供应商签字确认《开标记录》后通过邮件形式发送回代理机构（不予确认的应说明理由，否则视为无异议）。</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报价评审</w:t>
            </w:r>
            <w:r>
              <w:rPr>
                <w:rFonts w:hint="eastAsia" w:ascii="微软雅黑" w:hAnsi="微软雅黑" w:eastAsia="微软雅黑" w:cs="微软雅黑"/>
                <w:color w:val="auto"/>
                <w:sz w:val="21"/>
                <w:szCs w:val="21"/>
                <w:highlight w:val="none"/>
                <w:lang w:val="en-US" w:eastAsia="zh-CN"/>
              </w:rPr>
              <w:t>：由评标委员会对报价的合理性、准确性等进行审查核实。</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default"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得分汇总</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default" w:ascii="微软雅黑" w:hAnsi="微软雅黑" w:eastAsia="微软雅黑" w:cs="微软雅黑"/>
                <w:color w:val="auto"/>
                <w:sz w:val="21"/>
                <w:szCs w:val="21"/>
                <w:highlight w:val="none"/>
                <w:lang w:val="en-US" w:eastAsia="zh-CN"/>
              </w:rPr>
              <w:t>结果公布</w:t>
            </w:r>
            <w:r>
              <w:rPr>
                <w:rFonts w:hint="eastAsia" w:ascii="微软雅黑" w:hAnsi="微软雅黑" w:eastAsia="微软雅黑" w:cs="微软雅黑"/>
                <w:color w:val="auto"/>
                <w:sz w:val="21"/>
                <w:szCs w:val="21"/>
                <w:highlight w:val="none"/>
                <w:lang w:val="en-US" w:eastAsia="zh-CN"/>
              </w:rPr>
              <w:t>：供应商可通过在线平台查看评审结果。</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注：除邮件交互外，如政采云平台提供信息发布、澄清说明、数据交换等操作方式的，或者政采云系统平台有新的操作流程的，按其规定。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11</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rPr>
              <w:t>询标澄清</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rPr>
              <w:t>在</w:t>
            </w:r>
            <w:r>
              <w:rPr>
                <w:rFonts w:hint="eastAsia" w:ascii="微软雅黑" w:hAnsi="微软雅黑" w:eastAsia="微软雅黑" w:cs="微软雅黑"/>
                <w:sz w:val="21"/>
                <w:szCs w:val="21"/>
                <w:highlight w:val="none"/>
                <w:lang w:eastAsia="zh-CN"/>
              </w:rPr>
              <w:t>评</w:t>
            </w:r>
            <w:r>
              <w:rPr>
                <w:rFonts w:hint="eastAsia" w:ascii="微软雅黑" w:hAnsi="微软雅黑" w:eastAsia="微软雅黑" w:cs="微软雅黑"/>
                <w:sz w:val="21"/>
                <w:szCs w:val="21"/>
                <w:highlight w:val="none"/>
              </w:rPr>
              <w:t>标过程中，如评审小组对</w:t>
            </w:r>
            <w:r>
              <w:rPr>
                <w:rFonts w:hint="eastAsia" w:ascii="微软雅黑" w:hAnsi="微软雅黑" w:eastAsia="微软雅黑" w:cs="微软雅黑"/>
                <w:sz w:val="21"/>
                <w:szCs w:val="21"/>
                <w:highlight w:val="none"/>
                <w:lang w:eastAsia="zh-CN"/>
              </w:rPr>
              <w:t>投</w:t>
            </w:r>
            <w:r>
              <w:rPr>
                <w:rFonts w:hint="eastAsia" w:ascii="微软雅黑" w:hAnsi="微软雅黑" w:eastAsia="微软雅黑" w:cs="微软雅黑"/>
                <w:sz w:val="21"/>
                <w:szCs w:val="21"/>
                <w:highlight w:val="none"/>
              </w:rPr>
              <w:t>标文件有疑问，由评审组长将问题汇总后发起询标</w:t>
            </w:r>
            <w:r>
              <w:rPr>
                <w:rFonts w:hint="eastAsia" w:ascii="微软雅黑" w:hAnsi="微软雅黑" w:eastAsia="微软雅黑" w:cs="微软雅黑"/>
                <w:sz w:val="21"/>
                <w:szCs w:val="21"/>
                <w:highlight w:val="none"/>
                <w:lang w:eastAsia="zh-CN"/>
              </w:rPr>
              <w:t>澄清</w:t>
            </w:r>
            <w:r>
              <w:rPr>
                <w:rFonts w:hint="eastAsia" w:ascii="微软雅黑" w:hAnsi="微软雅黑" w:eastAsia="微软雅黑" w:cs="微软雅黑"/>
                <w:sz w:val="21"/>
                <w:szCs w:val="21"/>
                <w:highlight w:val="none"/>
              </w:rPr>
              <w:t>函</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供应商</w:t>
            </w:r>
            <w:r>
              <w:rPr>
                <w:rFonts w:hint="eastAsia" w:ascii="微软雅黑" w:hAnsi="微软雅黑" w:eastAsia="微软雅黑" w:cs="微软雅黑"/>
                <w:sz w:val="21"/>
                <w:szCs w:val="21"/>
                <w:highlight w:val="none"/>
                <w:lang w:eastAsia="zh-CN"/>
              </w:rPr>
              <w:t>应</w:t>
            </w:r>
            <w:r>
              <w:rPr>
                <w:rFonts w:hint="eastAsia" w:ascii="微软雅黑" w:hAnsi="微软雅黑" w:eastAsia="微软雅黑" w:cs="微软雅黑"/>
                <w:sz w:val="21"/>
                <w:szCs w:val="21"/>
                <w:highlight w:val="none"/>
              </w:rPr>
              <w:t>在</w:t>
            </w:r>
            <w:r>
              <w:rPr>
                <w:rFonts w:hint="eastAsia" w:ascii="微软雅黑" w:hAnsi="微软雅黑" w:eastAsia="微软雅黑" w:cs="微软雅黑"/>
                <w:sz w:val="21"/>
                <w:szCs w:val="21"/>
                <w:highlight w:val="none"/>
                <w:lang w:eastAsia="zh-CN"/>
              </w:rPr>
              <w:t>规定</w:t>
            </w:r>
            <w:r>
              <w:rPr>
                <w:rFonts w:hint="eastAsia" w:ascii="微软雅黑" w:hAnsi="微软雅黑" w:eastAsia="微软雅黑" w:cs="微软雅黑"/>
                <w:sz w:val="21"/>
                <w:szCs w:val="21"/>
                <w:highlight w:val="none"/>
              </w:rPr>
              <w:t>截止时间前回复</w:t>
            </w:r>
            <w:r>
              <w:rPr>
                <w:rFonts w:hint="eastAsia" w:ascii="微软雅黑" w:hAnsi="微软雅黑" w:eastAsia="微软雅黑" w:cs="微软雅黑"/>
                <w:sz w:val="21"/>
                <w:szCs w:val="21"/>
                <w:highlight w:val="none"/>
                <w:lang w:eastAsia="zh-CN"/>
              </w:rPr>
              <w:t>相关内容并经签章后提交。</w:t>
            </w:r>
            <w:r>
              <w:rPr>
                <w:rFonts w:hint="eastAsia" w:ascii="微软雅黑" w:hAnsi="微软雅黑" w:eastAsia="微软雅黑" w:cs="微软雅黑"/>
                <w:sz w:val="21"/>
                <w:szCs w:val="21"/>
                <w:highlight w:val="none"/>
                <w:lang w:val="en-US" w:eastAsia="zh-CN"/>
              </w:rPr>
              <w:t>逾期答复的，投标人</w:t>
            </w:r>
            <w:r>
              <w:rPr>
                <w:rFonts w:hint="eastAsia" w:ascii="微软雅黑" w:hAnsi="微软雅黑" w:eastAsia="微软雅黑" w:cs="微软雅黑"/>
                <w:sz w:val="21"/>
                <w:szCs w:val="21"/>
                <w:highlight w:val="none"/>
              </w:rPr>
              <w:t>自行承担由此可能导致的对其不利的评审结果，评标委员会按少数服从多数原则对相关内容进行评判。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default"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lang w:val="en-US" w:eastAsia="zh-CN"/>
              </w:rPr>
              <w:t>12</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投标有效期</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default"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lang w:val="en-US" w:eastAsia="zh-CN"/>
              </w:rPr>
              <w:t>13</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投标报价</w:t>
            </w:r>
          </w:p>
        </w:tc>
        <w:tc>
          <w:tcPr>
            <w:tcW w:w="8364" w:type="dxa"/>
            <w:vAlign w:val="center"/>
          </w:tcPr>
          <w:p>
            <w:pPr>
              <w:keepNext w:val="0"/>
              <w:keepLines w:val="0"/>
              <w:pageBreakBefore w:val="0"/>
              <w:numPr>
                <w:ilvl w:val="0"/>
                <w:numId w:val="6"/>
              </w:numPr>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本项目投标应以人民币报价；</w:t>
            </w:r>
          </w:p>
          <w:p>
            <w:pPr>
              <w:keepNext w:val="0"/>
              <w:keepLines w:val="0"/>
              <w:pageBreakBefore w:val="0"/>
              <w:numPr>
                <w:ilvl w:val="0"/>
                <w:numId w:val="6"/>
              </w:numPr>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default"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14</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踏勘现场</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组织（详细内容）</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default"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15</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样品</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提供，具体详见招标文件，中标人提供的样品将由采购人保管、封存并作为履约验收的参考</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16</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演示</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要求，具体详见招标文件</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17</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评标办法</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综合评分法</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18</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是否进口</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允许进口</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不允许进口</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不适用</w:t>
            </w:r>
            <w:r>
              <w:rPr>
                <w:rFonts w:hint="eastAsia" w:ascii="微软雅黑" w:hAnsi="微软雅黑" w:eastAsia="微软雅黑" w:cs="微软雅黑"/>
                <w:szCs w:val="21"/>
                <w:highlight w:val="none"/>
              </w:rPr>
              <w:t>（服务类项目）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19</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节能产品</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强制采购节能产品</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优先采购节能产品</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不适用</w:t>
            </w:r>
            <w:r>
              <w:rPr>
                <w:rFonts w:hint="eastAsia" w:ascii="微软雅黑" w:hAnsi="微软雅黑" w:eastAsia="微软雅黑" w:cs="微软雅黑"/>
                <w:szCs w:val="21"/>
                <w:highlight w:val="none"/>
              </w:rPr>
              <w:t>（服务类项目）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20</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both"/>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环境标志产品</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优先采购环境标志产品</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rPr>
              <w:t xml:space="preserve"> 不适用</w:t>
            </w:r>
            <w:r>
              <w:rPr>
                <w:rFonts w:hint="eastAsia" w:ascii="微软雅黑" w:hAnsi="微软雅黑" w:eastAsia="微软雅黑" w:cs="微软雅黑"/>
                <w:szCs w:val="21"/>
                <w:highlight w:val="none"/>
              </w:rPr>
              <w:t>（服务类项目）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21</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促进小微企业发展</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本项目执行促进中小企业发展政策，监狱企业、残疾人福利性单位视同小型、微型企业。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22</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合同签订</w:t>
            </w:r>
          </w:p>
        </w:tc>
        <w:tc>
          <w:tcPr>
            <w:tcW w:w="8364" w:type="dxa"/>
            <w:vAlign w:val="center"/>
          </w:tcPr>
          <w:p>
            <w:pPr>
              <w:keepNext w:val="0"/>
              <w:keepLines w:val="0"/>
              <w:pageBreakBefore w:val="0"/>
              <w:kinsoku/>
              <w:wordWrap/>
              <w:overflowPunct/>
              <w:topLinePunct w:val="0"/>
              <w:autoSpaceDE/>
              <w:autoSpaceDN/>
              <w:bidi w:val="0"/>
              <w:adjustRightInd/>
              <w:spacing w:line="300" w:lineRule="exact"/>
              <w:ind w:left="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采购人与中标人应当在《中标通知书》发出之日起30日内签订政府采购合同。中标人拖延、拒签合同的,将被取消中标资格。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leftChars="0"/>
              <w:jc w:val="center"/>
              <w:textAlignment w:val="auto"/>
              <w:rPr>
                <w:rFonts w:hint="eastAsia" w:ascii="微软雅黑" w:hAnsi="微软雅黑" w:eastAsia="微软雅黑" w:cs="微软雅黑"/>
                <w:kern w:val="2"/>
                <w:sz w:val="21"/>
                <w:szCs w:val="21"/>
                <w:highlight w:val="none"/>
                <w:lang w:val="en-US" w:eastAsia="zh-CN" w:bidi="ar-SA"/>
              </w:rPr>
            </w:pPr>
            <w:r>
              <w:rPr>
                <w:rFonts w:hint="eastAsia" w:ascii="微软雅黑" w:hAnsi="微软雅黑" w:eastAsia="微软雅黑" w:cs="微软雅黑"/>
                <w:sz w:val="21"/>
                <w:szCs w:val="21"/>
                <w:highlight w:val="none"/>
              </w:rPr>
              <w:t>23</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供应商注册事项</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24</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履约保证金</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1.金额：</w:t>
            </w:r>
            <w:r>
              <w:rPr>
                <w:rFonts w:hint="eastAsia" w:ascii="微软雅黑" w:hAnsi="微软雅黑" w:eastAsia="微软雅黑" w:cs="微软雅黑"/>
                <w:sz w:val="21"/>
                <w:szCs w:val="21"/>
                <w:highlight w:val="none"/>
                <w:lang w:val="en-US" w:eastAsia="zh-CN"/>
              </w:rPr>
              <w:t>合同价的5%</w:t>
            </w:r>
            <w:r>
              <w:rPr>
                <w:rFonts w:hint="eastAsia" w:ascii="微软雅黑" w:hAnsi="微软雅黑" w:eastAsia="微软雅黑" w:cs="微软雅黑"/>
                <w:sz w:val="21"/>
                <w:szCs w:val="21"/>
                <w:highlight w:val="none"/>
              </w:rPr>
              <w:t>；</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2.收取方式银行、保险公司出具的保函形式；</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3.履约保证金</w:t>
            </w:r>
            <w:r>
              <w:rPr>
                <w:rFonts w:hint="eastAsia" w:ascii="微软雅黑" w:hAnsi="微软雅黑" w:eastAsia="微软雅黑" w:cs="微软雅黑"/>
                <w:sz w:val="21"/>
                <w:szCs w:val="21"/>
                <w:highlight w:val="none"/>
                <w:lang w:val="en-US" w:eastAsia="zh-CN"/>
              </w:rPr>
              <w:t>签订合同前</w:t>
            </w:r>
            <w:r>
              <w:rPr>
                <w:rFonts w:hint="eastAsia" w:ascii="微软雅黑" w:hAnsi="微软雅黑" w:eastAsia="微软雅黑" w:cs="微软雅黑"/>
                <w:sz w:val="21"/>
                <w:szCs w:val="21"/>
                <w:highlight w:val="none"/>
              </w:rPr>
              <w:t>交至采购人处，</w:t>
            </w:r>
            <w:r>
              <w:rPr>
                <w:rFonts w:hint="eastAsia" w:ascii="微软雅黑" w:hAnsi="微软雅黑" w:eastAsia="微软雅黑" w:cs="微软雅黑"/>
                <w:sz w:val="21"/>
                <w:szCs w:val="21"/>
                <w:highlight w:val="none"/>
                <w:lang w:val="en-US" w:eastAsia="zh-CN"/>
              </w:rPr>
              <w:t>退还条件详见合同条款</w:t>
            </w:r>
            <w:r>
              <w:rPr>
                <w:rFonts w:hint="eastAsia" w:ascii="微软雅黑" w:hAnsi="微软雅黑" w:eastAsia="微软雅黑" w:cs="微软雅黑"/>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25</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代理服务费</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1.金额：</w:t>
            </w:r>
            <w:r>
              <w:rPr>
                <w:rFonts w:hint="eastAsia" w:ascii="微软雅黑" w:hAnsi="微软雅黑" w:eastAsia="微软雅黑" w:cs="微软雅黑"/>
                <w:sz w:val="21"/>
                <w:szCs w:val="21"/>
                <w:highlight w:val="none"/>
                <w:lang w:val="en-US" w:eastAsia="zh-CN"/>
              </w:rPr>
              <w:t>本项目采购代理服务费按国家计委计价〔2002〕1980号文的收费标准按服务类采用差额定率累进计费；</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2.收取方式：</w:t>
            </w:r>
            <w:r>
              <w:rPr>
                <w:rFonts w:hint="eastAsia" w:ascii="微软雅黑" w:hAnsi="微软雅黑" w:eastAsia="微软雅黑" w:cs="微软雅黑"/>
                <w:sz w:val="21"/>
                <w:szCs w:val="21"/>
                <w:highlight w:val="none"/>
                <w:lang w:val="en-US" w:eastAsia="zh-CN"/>
              </w:rPr>
              <w:t>由</w:t>
            </w:r>
            <w:r>
              <w:rPr>
                <w:rFonts w:hint="eastAsia" w:ascii="微软雅黑" w:hAnsi="微软雅黑" w:eastAsia="微软雅黑" w:cs="微软雅黑"/>
                <w:sz w:val="21"/>
                <w:szCs w:val="21"/>
                <w:highlight w:val="none"/>
              </w:rPr>
              <w:t>代理机构向中标单位收取</w:t>
            </w:r>
            <w:r>
              <w:rPr>
                <w:rFonts w:hint="eastAsia" w:ascii="微软雅黑" w:hAnsi="微软雅黑" w:eastAsia="微软雅黑" w:cs="微软雅黑"/>
                <w:sz w:val="21"/>
                <w:szCs w:val="21"/>
                <w:highlight w:val="none"/>
                <w:lang w:eastAsia="zh-CN"/>
              </w:rPr>
              <w:t>，</w:t>
            </w:r>
            <w:r>
              <w:rPr>
                <w:rFonts w:hint="eastAsia" w:ascii="微软雅黑" w:hAnsi="微软雅黑" w:eastAsia="微软雅黑" w:cs="微软雅黑"/>
                <w:sz w:val="21"/>
                <w:szCs w:val="21"/>
                <w:highlight w:val="none"/>
                <w:lang w:val="en-US" w:eastAsia="zh-CN"/>
              </w:rPr>
              <w:t>中标单位在收到中标通知书后5个工作日内支付至招标代理机构处</w:t>
            </w:r>
            <w:r>
              <w:rPr>
                <w:rFonts w:hint="eastAsia" w:ascii="微软雅黑" w:hAnsi="微软雅黑" w:eastAsia="微软雅黑" w:cs="微软雅黑"/>
                <w:sz w:val="21"/>
                <w:szCs w:val="21"/>
                <w:highlight w:val="none"/>
              </w:rPr>
              <w:t>。</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台州诚创招标代理有限公司</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税号：91331081MA2APG9A93</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开户银行：浙江泰隆商业银行台州温岭支行</w:t>
            </w:r>
          </w:p>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账号：33010080201000039401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26</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现场组织实施</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根据浙江省财政厅文件浙财采监〔2015〕13号文件《关于印发浙江省政府采购活动现场组织管理办法的通知》实施。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27</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解释权</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28</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其他说明</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720"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default"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29</w:t>
            </w:r>
          </w:p>
        </w:tc>
        <w:tc>
          <w:tcPr>
            <w:tcW w:w="1512" w:type="dxa"/>
            <w:vAlign w:val="center"/>
          </w:tcPr>
          <w:p>
            <w:pPr>
              <w:keepNext w:val="0"/>
              <w:keepLines w:val="0"/>
              <w:pageBreakBefore w:val="0"/>
              <w:kinsoku/>
              <w:wordWrap/>
              <w:overflowPunct/>
              <w:topLinePunct w:val="0"/>
              <w:autoSpaceDE/>
              <w:autoSpaceDN/>
              <w:bidi w:val="0"/>
              <w:adjustRightInd/>
              <w:spacing w:line="300" w:lineRule="exact"/>
              <w:ind w:left="0"/>
              <w:jc w:val="center"/>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注意事项</w:t>
            </w:r>
          </w:p>
        </w:tc>
        <w:tc>
          <w:tcPr>
            <w:tcW w:w="8364" w:type="dxa"/>
            <w:vAlign w:val="center"/>
          </w:tcPr>
          <w:p>
            <w:pPr>
              <w:pStyle w:val="14"/>
              <w:keepNext w:val="0"/>
              <w:keepLines w:val="0"/>
              <w:pageBreakBefore w:val="0"/>
              <w:kinsoku/>
              <w:wordWrap/>
              <w:overflowPunct/>
              <w:topLinePunct w:val="0"/>
              <w:autoSpaceDE/>
              <w:autoSpaceDN/>
              <w:bidi w:val="0"/>
              <w:adjustRightInd/>
              <w:spacing w:line="300" w:lineRule="exact"/>
              <w:ind w:left="0" w:left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投标人应严格按照招标文件及补充文件的规定和要求编制投标文件。在编制投标文件过程中,应严格遵循实事求是、诚信投标的原则,如有偏离,应如实填写响应偏离。</w:t>
            </w:r>
          </w:p>
          <w:p>
            <w:pPr>
              <w:pStyle w:val="14"/>
              <w:keepNext w:val="0"/>
              <w:keepLines w:val="0"/>
              <w:pageBreakBefore w:val="0"/>
              <w:kinsoku/>
              <w:wordWrap/>
              <w:overflowPunct/>
              <w:topLinePunct w:val="0"/>
              <w:autoSpaceDE/>
              <w:autoSpaceDN/>
              <w:bidi w:val="0"/>
              <w:adjustRightInd/>
              <w:spacing w:line="300" w:lineRule="exact"/>
              <w:ind w:left="0" w:left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如果发现本招标文件中存在歧视性不公正条款或违法违规等内容时,请投标人在获取招标文件后,在采购文件的质疑有效期内及时书面提出。</w:t>
            </w:r>
          </w:p>
          <w:p>
            <w:pPr>
              <w:pStyle w:val="14"/>
              <w:keepNext w:val="0"/>
              <w:keepLines w:val="0"/>
              <w:pageBreakBefore w:val="0"/>
              <w:kinsoku/>
              <w:wordWrap/>
              <w:overflowPunct/>
              <w:topLinePunct w:val="0"/>
              <w:autoSpaceDE/>
              <w:autoSpaceDN/>
              <w:bidi w:val="0"/>
              <w:adjustRightInd/>
              <w:spacing w:line="300" w:lineRule="exact"/>
              <w:ind w:left="0" w:left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采购结果公告期间,投标人不得通过非正当途径获取法律法规规定评标委员会(包括其他相关人员)应当保密的相关内容。</w:t>
            </w: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4"/>
          <w:szCs w:val="24"/>
          <w:highlight w:val="none"/>
        </w:rPr>
        <w:br w:type="page"/>
      </w:r>
      <w:r>
        <w:rPr>
          <w:rFonts w:hint="eastAsia" w:ascii="微软雅黑" w:hAnsi="微软雅黑" w:eastAsia="微软雅黑" w:cs="微软雅黑"/>
          <w:b/>
          <w:bCs/>
          <w:sz w:val="24"/>
          <w:szCs w:val="24"/>
          <w:highlight w:val="none"/>
          <w:lang w:val="en-US" w:eastAsia="zh-CN"/>
        </w:rPr>
        <w:t xml:space="preserve">                             </w:t>
      </w:r>
      <w:r>
        <w:rPr>
          <w:rFonts w:hint="eastAsia" w:ascii="微软雅黑" w:hAnsi="微软雅黑" w:eastAsia="微软雅黑" w:cs="微软雅黑"/>
          <w:b/>
          <w:bCs/>
          <w:sz w:val="28"/>
          <w:szCs w:val="28"/>
          <w:highlight w:val="none"/>
        </w:rPr>
        <w:t>一、总则</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outlineLvl w:val="1"/>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（一）适用范围</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本招标文件适用于本次项目的招标、投标、评标、定标、验收、合同履约、付款等行为（法律、法规另有规定的，从其规定）。</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outlineLvl w:val="1"/>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（二）定义</w:t>
      </w:r>
    </w:p>
    <w:p>
      <w:pPr>
        <w:pStyle w:val="4"/>
        <w:keepNext w:val="0"/>
        <w:keepLines w:val="0"/>
        <w:pageBreakBefore w:val="0"/>
        <w:widowControl w:val="0"/>
        <w:tabs>
          <w:tab w:val="left" w:pos="0"/>
          <w:tab w:val="left" w:pos="851"/>
        </w:tabs>
        <w:kinsoku/>
        <w:wordWrap/>
        <w:overflowPunct/>
        <w:topLinePunct w:val="0"/>
        <w:autoSpaceDE w:val="0"/>
        <w:autoSpaceDN w:val="0"/>
        <w:bidi w:val="0"/>
        <w:adjustRightInd w:val="0"/>
        <w:snapToGrid w:val="0"/>
        <w:spacing w:before="0" w:after="0" w:line="360" w:lineRule="exact"/>
        <w:ind w:firstLine="440" w:firstLineChars="200"/>
        <w:jc w:val="left"/>
        <w:textAlignment w:val="auto"/>
        <w:rPr>
          <w:rFonts w:hint="eastAsia" w:ascii="微软雅黑" w:hAnsi="微软雅黑" w:eastAsia="微软雅黑" w:cs="微软雅黑"/>
          <w:b w:val="0"/>
          <w:bCs w:val="0"/>
          <w:sz w:val="22"/>
          <w:szCs w:val="22"/>
          <w:highlight w:val="none"/>
        </w:rPr>
      </w:pPr>
      <w:r>
        <w:rPr>
          <w:rFonts w:hint="eastAsia" w:ascii="微软雅黑" w:hAnsi="微软雅黑" w:eastAsia="微软雅黑" w:cs="微软雅黑"/>
          <w:b w:val="0"/>
          <w:bCs w:val="0"/>
          <w:sz w:val="22"/>
          <w:szCs w:val="22"/>
          <w:highlight w:val="none"/>
        </w:rPr>
        <w:t>1</w:t>
      </w:r>
      <w:r>
        <w:rPr>
          <w:rFonts w:hint="eastAsia" w:ascii="微软雅黑" w:hAnsi="微软雅黑" w:eastAsia="微软雅黑" w:cs="微软雅黑"/>
          <w:b w:val="0"/>
          <w:bCs w:val="0"/>
          <w:sz w:val="22"/>
          <w:szCs w:val="22"/>
          <w:highlight w:val="none"/>
          <w:lang w:val="en-US" w:eastAsia="zh-CN"/>
        </w:rPr>
        <w:t>.</w:t>
      </w:r>
      <w:r>
        <w:rPr>
          <w:rFonts w:hint="eastAsia" w:ascii="微软雅黑" w:hAnsi="微软雅黑" w:eastAsia="微软雅黑" w:cs="微软雅黑"/>
          <w:b w:val="0"/>
          <w:bCs w:val="0"/>
          <w:sz w:val="22"/>
          <w:szCs w:val="22"/>
          <w:highlight w:val="none"/>
        </w:rPr>
        <w:t>采购代理机构：是指受采购人委托，在委托的范围内办理政府采购事宜的机构。</w:t>
      </w:r>
    </w:p>
    <w:p>
      <w:pPr>
        <w:keepNext w:val="0"/>
        <w:keepLines w:val="0"/>
        <w:pageBreakBefore w:val="0"/>
        <w:widowControl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采购人：是指依法进行政府采购的国家机关、事业单位和团体组织。</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投标人：是指参加本政府采购项目投标的供应商。</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4</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货物：是指各种形态和种类的物品，包括原材料、燃料、设备、产品等。</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5</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服务：是指除货物和工程以外的其他政府采购对象，包括各类专业服务、信息网络开发服务、金融保险服务、运输服务，以及维修与维护服务等。</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6</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“书面形式”包括信函、传真等。</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7</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“▲”系指实质性要求条款。</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outlineLvl w:val="1"/>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（三）投标费用</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不论投标结果如何，投标人均应自行承担所有与投标有关的全部费用（招标文件有相关规定除外）。</w:t>
      </w:r>
    </w:p>
    <w:p>
      <w:pPr>
        <w:pStyle w:val="12"/>
        <w:keepNext w:val="0"/>
        <w:keepLines w:val="0"/>
        <w:pageBreakBefore w:val="0"/>
        <w:widowControl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（四）特别说明</w:t>
      </w:r>
    </w:p>
    <w:p>
      <w:pPr>
        <w:pStyle w:val="12"/>
        <w:keepNext w:val="0"/>
        <w:keepLines w:val="0"/>
        <w:pageBreakBefore w:val="0"/>
        <w:widowControl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投标人投标所使用的资格、信誉、荣誉、业绩与企业认证必须为本法人所拥有</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投标人投标所使用的采购项目实施人员必须为本法人员工（指本法人或控股公司正式员工）。</w:t>
      </w:r>
    </w:p>
    <w:p>
      <w:pPr>
        <w:keepNext w:val="0"/>
        <w:keepLines w:val="0"/>
        <w:pageBreakBefore w:val="0"/>
        <w:widowControl w:val="0"/>
        <w:kinsoku/>
        <w:wordWrap/>
        <w:overflowPunct/>
        <w:topLinePunct w:val="0"/>
        <w:bidi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投标供应商对所投产品技术参数的真实性承担法律责任</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项目招标结束后、质疑期限内，如有质疑供应商认为中标供应商所投产品、投标文件技术参数与招标需求存在重大偏离、错误、甚至造假的情况，应提供具体有效的证明材料。</w:t>
      </w:r>
    </w:p>
    <w:p>
      <w:pPr>
        <w:pStyle w:val="43"/>
        <w:keepNext w:val="0"/>
        <w:keepLines w:val="0"/>
        <w:pageBreakBefore w:val="0"/>
        <w:widowControl w:val="0"/>
        <w:kinsoku/>
        <w:wordWrap/>
        <w:overflowPunct/>
        <w:topLinePunct w:val="0"/>
        <w:bidi w:val="0"/>
        <w:snapToGrid w:val="0"/>
        <w:spacing w:line="360" w:lineRule="exact"/>
        <w:ind w:firstLine="48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
        <w:keepNext w:val="0"/>
        <w:keepLines w:val="0"/>
        <w:pageBreakBefore w:val="0"/>
        <w:widowControl w:val="0"/>
        <w:tabs>
          <w:tab w:val="left" w:pos="851"/>
        </w:tabs>
        <w:kinsoku/>
        <w:wordWrap/>
        <w:overflowPunct/>
        <w:topLinePunct w:val="0"/>
        <w:autoSpaceDE w:val="0"/>
        <w:autoSpaceDN w:val="0"/>
        <w:bidi w:val="0"/>
        <w:adjustRightInd w:val="0"/>
        <w:snapToGrid w:val="0"/>
        <w:spacing w:before="0" w:after="0" w:line="360" w:lineRule="exact"/>
        <w:ind w:firstLine="440" w:firstLineChars="200"/>
        <w:textAlignment w:val="auto"/>
        <w:rPr>
          <w:rFonts w:hint="eastAsia" w:ascii="微软雅黑" w:hAnsi="微软雅黑" w:eastAsia="微软雅黑" w:cs="微软雅黑"/>
          <w:b w:val="0"/>
          <w:bCs w:val="0"/>
          <w:sz w:val="22"/>
          <w:szCs w:val="22"/>
          <w:highlight w:val="none"/>
        </w:rPr>
      </w:pPr>
      <w:r>
        <w:rPr>
          <w:rFonts w:hint="eastAsia" w:ascii="微软雅黑" w:hAnsi="微软雅黑" w:eastAsia="微软雅黑" w:cs="微软雅黑"/>
          <w:b w:val="0"/>
          <w:bCs w:val="0"/>
          <w:sz w:val="22"/>
          <w:szCs w:val="22"/>
          <w:highlight w:val="none"/>
        </w:rPr>
        <w:t>4</w:t>
      </w:r>
      <w:r>
        <w:rPr>
          <w:rFonts w:hint="eastAsia" w:ascii="微软雅黑" w:hAnsi="微软雅黑" w:eastAsia="微软雅黑" w:cs="微软雅黑"/>
          <w:b w:val="0"/>
          <w:bCs w:val="0"/>
          <w:sz w:val="22"/>
          <w:szCs w:val="22"/>
          <w:highlight w:val="none"/>
          <w:lang w:val="en-US" w:eastAsia="zh-CN"/>
        </w:rPr>
        <w:t>.</w:t>
      </w:r>
      <w:r>
        <w:rPr>
          <w:rFonts w:hint="eastAsia" w:ascii="微软雅黑" w:hAnsi="微软雅黑" w:eastAsia="微软雅黑" w:cs="微软雅黑"/>
          <w:b w:val="0"/>
          <w:bCs w:val="0"/>
          <w:sz w:val="22"/>
          <w:szCs w:val="22"/>
          <w:highlight w:val="none"/>
        </w:rPr>
        <w:t>投标人不得相互串通投标报价，不得妨碍其他投标人的公平竞争，不得损害采购人或其他投标人的合法权益，投标人不得以向采购人、评标委员会成员行贿或者采取其他不正当手段谋取中标。</w:t>
      </w:r>
    </w:p>
    <w:p>
      <w:pPr>
        <w:pStyle w:val="4"/>
        <w:keepNext w:val="0"/>
        <w:keepLines w:val="0"/>
        <w:pageBreakBefore w:val="0"/>
        <w:widowControl w:val="0"/>
        <w:tabs>
          <w:tab w:val="left" w:pos="851"/>
        </w:tabs>
        <w:kinsoku/>
        <w:wordWrap/>
        <w:overflowPunct/>
        <w:topLinePunct w:val="0"/>
        <w:autoSpaceDE w:val="0"/>
        <w:autoSpaceDN w:val="0"/>
        <w:bidi w:val="0"/>
        <w:adjustRightInd w:val="0"/>
        <w:snapToGrid w:val="0"/>
        <w:spacing w:before="0" w:after="0" w:line="360" w:lineRule="exact"/>
        <w:ind w:firstLine="440" w:firstLineChars="200"/>
        <w:textAlignment w:val="auto"/>
        <w:rPr>
          <w:rFonts w:hint="eastAsia" w:ascii="微软雅黑" w:hAnsi="微软雅黑" w:eastAsia="微软雅黑" w:cs="微软雅黑"/>
          <w:b w:val="0"/>
          <w:bCs w:val="0"/>
          <w:sz w:val="22"/>
          <w:szCs w:val="22"/>
          <w:highlight w:val="none"/>
        </w:rPr>
      </w:pPr>
      <w:r>
        <w:rPr>
          <w:rFonts w:hint="eastAsia" w:ascii="微软雅黑" w:hAnsi="微软雅黑" w:eastAsia="微软雅黑" w:cs="微软雅黑"/>
          <w:b w:val="0"/>
          <w:bCs w:val="0"/>
          <w:sz w:val="22"/>
          <w:szCs w:val="22"/>
          <w:highlight w:val="none"/>
        </w:rPr>
        <w:t>5</w:t>
      </w:r>
      <w:r>
        <w:rPr>
          <w:rFonts w:hint="eastAsia" w:ascii="微软雅黑" w:hAnsi="微软雅黑" w:eastAsia="微软雅黑" w:cs="微软雅黑"/>
          <w:b w:val="0"/>
          <w:bCs w:val="0"/>
          <w:sz w:val="22"/>
          <w:szCs w:val="22"/>
          <w:highlight w:val="none"/>
          <w:lang w:val="en-US" w:eastAsia="zh-CN"/>
        </w:rPr>
        <w:t>.</w:t>
      </w:r>
      <w:r>
        <w:rPr>
          <w:rFonts w:hint="eastAsia" w:ascii="微软雅黑" w:hAnsi="微软雅黑" w:eastAsia="微软雅黑" w:cs="微软雅黑"/>
          <w:b w:val="0"/>
          <w:bCs w:val="0"/>
          <w:sz w:val="22"/>
          <w:szCs w:val="22"/>
          <w:highlight w:val="none"/>
        </w:rPr>
        <w:t>投标文件格式中的表格式样可以根据项目差别做适当调整,但应当保持表格样式基本形态不变。</w:t>
      </w:r>
    </w:p>
    <w:p>
      <w:pPr>
        <w:pStyle w:val="4"/>
        <w:keepNext w:val="0"/>
        <w:keepLines w:val="0"/>
        <w:pageBreakBefore w:val="0"/>
        <w:widowControl w:val="0"/>
        <w:tabs>
          <w:tab w:val="left" w:pos="851"/>
        </w:tabs>
        <w:kinsoku/>
        <w:wordWrap/>
        <w:overflowPunct/>
        <w:topLinePunct w:val="0"/>
        <w:autoSpaceDE w:val="0"/>
        <w:autoSpaceDN w:val="0"/>
        <w:bidi w:val="0"/>
        <w:adjustRightInd w:val="0"/>
        <w:snapToGrid w:val="0"/>
        <w:spacing w:before="0" w:after="0" w:line="360" w:lineRule="exact"/>
        <w:ind w:firstLine="440" w:firstLineChars="200"/>
        <w:textAlignment w:val="auto"/>
        <w:rPr>
          <w:rFonts w:hint="eastAsia" w:ascii="微软雅黑" w:hAnsi="微软雅黑" w:eastAsia="微软雅黑" w:cs="微软雅黑"/>
          <w:b w:val="0"/>
          <w:bCs w:val="0"/>
          <w:sz w:val="22"/>
          <w:szCs w:val="22"/>
          <w:highlight w:val="none"/>
        </w:rPr>
      </w:pPr>
      <w:r>
        <w:rPr>
          <w:rFonts w:hint="eastAsia" w:ascii="微软雅黑" w:hAnsi="微软雅黑" w:eastAsia="微软雅黑" w:cs="微软雅黑"/>
          <w:b w:val="0"/>
          <w:bCs w:val="0"/>
          <w:sz w:val="22"/>
          <w:szCs w:val="22"/>
          <w:highlight w:val="none"/>
        </w:rPr>
        <w:t>6</w:t>
      </w:r>
      <w:r>
        <w:rPr>
          <w:rFonts w:hint="eastAsia" w:ascii="微软雅黑" w:hAnsi="微软雅黑" w:eastAsia="微软雅黑" w:cs="微软雅黑"/>
          <w:b w:val="0"/>
          <w:bCs w:val="0"/>
          <w:sz w:val="22"/>
          <w:szCs w:val="22"/>
          <w:highlight w:val="none"/>
          <w:lang w:val="en-US" w:eastAsia="zh-CN"/>
        </w:rPr>
        <w:t>.</w:t>
      </w:r>
      <w:r>
        <w:rPr>
          <w:rFonts w:hint="eastAsia" w:ascii="微软雅黑" w:hAnsi="微软雅黑" w:eastAsia="微软雅黑" w:cs="微软雅黑"/>
          <w:b w:val="0"/>
          <w:bCs w:val="0"/>
          <w:sz w:val="22"/>
          <w:szCs w:val="22"/>
          <w:highlight w:val="none"/>
        </w:rPr>
        <w:t>本项目不允许分包。</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400" w:lineRule="exact"/>
        <w:jc w:val="center"/>
        <w:textAlignment w:val="auto"/>
        <w:rPr>
          <w:rFonts w:hint="eastAsia" w:ascii="微软雅黑" w:hAnsi="微软雅黑" w:eastAsia="微软雅黑" w:cs="微软雅黑"/>
          <w:b/>
          <w:bCs/>
          <w:sz w:val="28"/>
          <w:szCs w:val="28"/>
          <w:highlight w:val="none"/>
        </w:rPr>
      </w:pP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pacing w:line="400" w:lineRule="exact"/>
        <w:jc w:val="center"/>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二、招标文件</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（一）招标文件由招标文件总目录所列内容组成。</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 xml:space="preserve">（二）招标文件的澄清或修改 </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1</w:t>
      </w:r>
      <w:r>
        <w:rPr>
          <w:rFonts w:hint="eastAsia" w:ascii="微软雅黑" w:hAnsi="微软雅黑" w:eastAsia="微软雅黑" w:cs="微软雅黑"/>
          <w:kern w:val="0"/>
          <w:sz w:val="22"/>
          <w:szCs w:val="22"/>
          <w:highlight w:val="none"/>
          <w:lang w:val="en-US" w:eastAsia="zh-CN"/>
        </w:rPr>
        <w:t>.</w:t>
      </w:r>
      <w:r>
        <w:rPr>
          <w:rFonts w:hint="eastAsia" w:ascii="微软雅黑" w:hAnsi="微软雅黑" w:eastAsia="微软雅黑" w:cs="微软雅黑"/>
          <w:kern w:val="0"/>
          <w:sz w:val="22"/>
          <w:szCs w:val="22"/>
          <w:highlight w:val="none"/>
        </w:rPr>
        <w:t>采购人或采购代理机构可以对已发出的招标文件进行必要的澄清或者修改,但不得改变采购标的和资格条件</w:t>
      </w:r>
      <w:r>
        <w:rPr>
          <w:rFonts w:hint="eastAsia" w:ascii="微软雅黑" w:hAnsi="微软雅黑" w:eastAsia="微软雅黑" w:cs="微软雅黑"/>
          <w:kern w:val="0"/>
          <w:sz w:val="22"/>
          <w:szCs w:val="22"/>
          <w:highlight w:val="none"/>
          <w:lang w:eastAsia="zh-CN"/>
        </w:rPr>
        <w:t>，</w:t>
      </w:r>
      <w:r>
        <w:rPr>
          <w:rFonts w:hint="eastAsia" w:ascii="微软雅黑" w:hAnsi="微软雅黑" w:eastAsia="微软雅黑" w:cs="微软雅黑"/>
          <w:kern w:val="0"/>
          <w:sz w:val="22"/>
          <w:szCs w:val="22"/>
          <w:highlight w:val="none"/>
        </w:rPr>
        <w:t>澄清或者修改应当在原公告发布媒体上发布澄清公告</w:t>
      </w:r>
      <w:r>
        <w:rPr>
          <w:rFonts w:hint="eastAsia" w:ascii="微软雅黑" w:hAnsi="微软雅黑" w:eastAsia="微软雅黑" w:cs="微软雅黑"/>
          <w:kern w:val="0"/>
          <w:sz w:val="22"/>
          <w:szCs w:val="22"/>
          <w:highlight w:val="none"/>
          <w:lang w:eastAsia="zh-CN"/>
        </w:rPr>
        <w:t>，</w:t>
      </w:r>
      <w:r>
        <w:rPr>
          <w:rFonts w:hint="eastAsia" w:ascii="微软雅黑" w:hAnsi="微软雅黑" w:eastAsia="微软雅黑" w:cs="微软雅黑"/>
          <w:kern w:val="0"/>
          <w:sz w:val="22"/>
          <w:szCs w:val="22"/>
          <w:highlight w:val="none"/>
        </w:rPr>
        <w:t>澄清或者修改的内容为招标文件的组成部分。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2</w:t>
      </w:r>
      <w:r>
        <w:rPr>
          <w:rFonts w:hint="eastAsia" w:ascii="微软雅黑" w:hAnsi="微软雅黑" w:eastAsia="微软雅黑" w:cs="微软雅黑"/>
          <w:kern w:val="0"/>
          <w:sz w:val="22"/>
          <w:szCs w:val="22"/>
          <w:highlight w:val="none"/>
          <w:lang w:val="en-US" w:eastAsia="zh-CN"/>
        </w:rPr>
        <w:t>.</w:t>
      </w:r>
      <w:r>
        <w:rPr>
          <w:rFonts w:hint="eastAsia" w:ascii="微软雅黑" w:hAnsi="微软雅黑" w:eastAsia="微软雅黑" w:cs="微软雅黑"/>
          <w:kern w:val="0"/>
          <w:sz w:val="22"/>
          <w:szCs w:val="22"/>
          <w:highlight w:val="none"/>
        </w:rPr>
        <w:t xml:space="preserve">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 </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3</w:t>
      </w:r>
      <w:r>
        <w:rPr>
          <w:rFonts w:hint="eastAsia" w:ascii="微软雅黑" w:hAnsi="微软雅黑" w:eastAsia="微软雅黑" w:cs="微软雅黑"/>
          <w:kern w:val="0"/>
          <w:sz w:val="22"/>
          <w:szCs w:val="22"/>
          <w:highlight w:val="none"/>
          <w:lang w:val="en-US" w:eastAsia="zh-CN"/>
        </w:rPr>
        <w:t>.</w:t>
      </w:r>
      <w:r>
        <w:rPr>
          <w:rFonts w:hint="eastAsia" w:ascii="微软雅黑" w:hAnsi="微软雅黑" w:eastAsia="微软雅黑" w:cs="微软雅黑"/>
          <w:kern w:val="0"/>
          <w:sz w:val="22"/>
          <w:szCs w:val="22"/>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p>
    <w:p>
      <w:pPr>
        <w:keepNext w:val="0"/>
        <w:keepLines w:val="0"/>
        <w:pageBreakBefore w:val="0"/>
        <w:tabs>
          <w:tab w:val="left" w:pos="1418"/>
        </w:tabs>
        <w:kinsoku/>
        <w:wordWrap/>
        <w:overflowPunct/>
        <w:topLinePunct w:val="0"/>
        <w:autoSpaceDE w:val="0"/>
        <w:autoSpaceDN w:val="0"/>
        <w:bidi w:val="0"/>
        <w:adjustRightInd w:val="0"/>
        <w:spacing w:line="400" w:lineRule="exact"/>
        <w:jc w:val="center"/>
        <w:textAlignment w:val="auto"/>
        <w:rPr>
          <w:rFonts w:hint="eastAsia" w:ascii="微软雅黑" w:hAnsi="微软雅黑" w:eastAsia="微软雅黑" w:cs="微软雅黑"/>
          <w:b/>
          <w:bCs/>
          <w:sz w:val="28"/>
          <w:szCs w:val="28"/>
          <w:highlight w:val="none"/>
        </w:rPr>
      </w:pPr>
    </w:p>
    <w:p>
      <w:pPr>
        <w:keepNext w:val="0"/>
        <w:keepLines w:val="0"/>
        <w:pageBreakBefore w:val="0"/>
        <w:tabs>
          <w:tab w:val="left" w:pos="1418"/>
        </w:tabs>
        <w:kinsoku/>
        <w:wordWrap/>
        <w:overflowPunct/>
        <w:topLinePunct w:val="0"/>
        <w:autoSpaceDE w:val="0"/>
        <w:autoSpaceDN w:val="0"/>
        <w:bidi w:val="0"/>
        <w:adjustRightInd w:val="0"/>
        <w:spacing w:line="400" w:lineRule="exact"/>
        <w:jc w:val="center"/>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三、投标文件</w:t>
      </w:r>
    </w:p>
    <w:p>
      <w:pPr>
        <w:keepNext w:val="0"/>
        <w:keepLines w:val="0"/>
        <w:pageBreakBefore w:val="0"/>
        <w:kinsoku/>
        <w:wordWrap/>
        <w:overflowPunct/>
        <w:topLinePunct w:val="0"/>
        <w:autoSpaceDE w:val="0"/>
        <w:autoSpaceDN w:val="0"/>
        <w:bidi w:val="0"/>
        <w:adjustRightInd w:val="0"/>
        <w:spacing w:line="400" w:lineRule="exact"/>
        <w:ind w:firstLine="440" w:firstLineChars="20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b/>
          <w:bCs/>
          <w:sz w:val="22"/>
          <w:szCs w:val="22"/>
          <w:highlight w:val="none"/>
          <w:lang w:val="zh-CN"/>
        </w:rPr>
        <w:t>（一）</w:t>
      </w:r>
      <w:r>
        <w:rPr>
          <w:rFonts w:hint="eastAsia" w:ascii="微软雅黑" w:hAnsi="微软雅黑" w:eastAsia="微软雅黑" w:cs="微软雅黑"/>
          <w:b/>
          <w:bCs/>
          <w:kern w:val="0"/>
          <w:sz w:val="22"/>
          <w:szCs w:val="22"/>
          <w:highlight w:val="none"/>
        </w:rPr>
        <w:t>投标文件的组成</w:t>
      </w:r>
    </w:p>
    <w:p>
      <w:pPr>
        <w:keepNext w:val="0"/>
        <w:keepLines w:val="0"/>
        <w:pageBreakBefore w:val="0"/>
        <w:kinsoku/>
        <w:wordWrap/>
        <w:overflowPunct/>
        <w:topLinePunct w:val="0"/>
        <w:bidi w:val="0"/>
        <w:snapToGrid w:val="0"/>
        <w:spacing w:line="400" w:lineRule="exact"/>
        <w:ind w:firstLine="440" w:firstLineChars="200"/>
        <w:textAlignment w:val="auto"/>
        <w:rPr>
          <w:rFonts w:hint="eastAsia" w:ascii="微软雅黑" w:hAnsi="微软雅黑" w:eastAsia="微软雅黑" w:cs="微软雅黑"/>
          <w:sz w:val="22"/>
          <w:szCs w:val="22"/>
          <w:highlight w:val="none"/>
          <w:lang w:val="zh-CN"/>
        </w:rPr>
      </w:pPr>
      <w:r>
        <w:rPr>
          <w:rFonts w:hint="eastAsia" w:ascii="微软雅黑" w:hAnsi="微软雅黑" w:eastAsia="微软雅黑" w:cs="微软雅黑"/>
          <w:kern w:val="0"/>
          <w:sz w:val="22"/>
          <w:szCs w:val="22"/>
          <w:highlight w:val="none"/>
        </w:rPr>
        <w:t>投标人获取招标文件后，按照招标文件的要求提供：资格证明文件、商务技术文件和报价文件。</w:t>
      </w:r>
    </w:p>
    <w:p>
      <w:pPr>
        <w:keepNext w:val="0"/>
        <w:keepLines w:val="0"/>
        <w:pageBreakBefore w:val="0"/>
        <w:widowControl/>
        <w:kinsoku/>
        <w:wordWrap/>
        <w:overflowPunct/>
        <w:topLinePunct w:val="0"/>
        <w:bidi w:val="0"/>
        <w:spacing w:line="400" w:lineRule="exact"/>
        <w:jc w:val="left"/>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 xml:space="preserve">1、资格证明文件的组成： </w:t>
      </w:r>
    </w:p>
    <w:tbl>
      <w:tblPr>
        <w:tblStyle w:val="23"/>
        <w:tblW w:w="999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6400"/>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序号</w:t>
            </w:r>
          </w:p>
        </w:tc>
        <w:tc>
          <w:tcPr>
            <w:tcW w:w="6400"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内容</w:t>
            </w:r>
          </w:p>
        </w:tc>
        <w:tc>
          <w:tcPr>
            <w:tcW w:w="2716"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1</w:t>
            </w:r>
          </w:p>
        </w:tc>
        <w:tc>
          <w:tcPr>
            <w:tcW w:w="6400" w:type="dxa"/>
            <w:noWrap w:val="0"/>
            <w:vAlign w:val="center"/>
          </w:tcPr>
          <w:p>
            <w:pPr>
              <w:widowControl/>
              <w:snapToGrid w:val="0"/>
              <w:spacing w:line="340" w:lineRule="exact"/>
              <w:rPr>
                <w:rFonts w:hint="eastAsia" w:ascii="微软雅黑" w:hAnsi="微软雅黑" w:eastAsia="微软雅黑" w:cs="微软雅黑"/>
                <w:highlight w:val="none"/>
              </w:rPr>
            </w:pPr>
            <w:r>
              <w:rPr>
                <w:rFonts w:hint="eastAsia" w:ascii="微软雅黑" w:hAnsi="微软雅黑" w:eastAsia="微软雅黑" w:cs="微软雅黑"/>
                <w:highlight w:val="none"/>
              </w:rPr>
              <w:t>封面</w:t>
            </w:r>
          </w:p>
        </w:tc>
        <w:tc>
          <w:tcPr>
            <w:tcW w:w="2716" w:type="dxa"/>
            <w:noWrap w:val="0"/>
            <w:vAlign w:val="center"/>
          </w:tcPr>
          <w:p>
            <w:pPr>
              <w:widowControl/>
              <w:snapToGrid w:val="0"/>
              <w:spacing w:line="340" w:lineRule="exact"/>
              <w:rPr>
                <w:rFonts w:hint="eastAsia" w:ascii="微软雅黑" w:hAnsi="微软雅黑" w:eastAsia="微软雅黑" w:cs="微软雅黑"/>
                <w:highlight w:val="none"/>
              </w:rPr>
            </w:pPr>
            <w:r>
              <w:rPr>
                <w:rFonts w:hint="eastAsia" w:ascii="微软雅黑" w:hAnsi="微软雅黑" w:eastAsia="微软雅黑" w:cs="微软雅黑"/>
                <w:kern w:val="0"/>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2</w:t>
            </w:r>
          </w:p>
        </w:tc>
        <w:tc>
          <w:tcPr>
            <w:tcW w:w="6400" w:type="dxa"/>
            <w:noWrap w:val="0"/>
            <w:vAlign w:val="center"/>
          </w:tcPr>
          <w:p>
            <w:pPr>
              <w:widowControl/>
              <w:snapToGrid w:val="0"/>
              <w:spacing w:line="340" w:lineRule="exact"/>
              <w:rPr>
                <w:rFonts w:hint="eastAsia" w:ascii="微软雅黑" w:hAnsi="微软雅黑" w:eastAsia="微软雅黑" w:cs="微软雅黑"/>
                <w:highlight w:val="none"/>
              </w:rPr>
            </w:pPr>
            <w:r>
              <w:rPr>
                <w:rFonts w:hint="eastAsia" w:ascii="微软雅黑" w:hAnsi="微软雅黑" w:eastAsia="微软雅黑" w:cs="微软雅黑"/>
                <w:highlight w:val="none"/>
              </w:rPr>
              <w:t>目录</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b/>
                <w:bCs/>
                <w:highlight w:val="none"/>
              </w:rPr>
              <w:t>▲</w:t>
            </w:r>
            <w:r>
              <w:rPr>
                <w:rFonts w:hint="eastAsia" w:ascii="微软雅黑" w:hAnsi="微软雅黑" w:eastAsia="微软雅黑" w:cs="微软雅黑"/>
                <w:highlight w:val="none"/>
              </w:rPr>
              <w:t>3</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投标声明书</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b/>
                <w:bCs/>
                <w:highlight w:val="none"/>
              </w:rPr>
              <w:t>▲</w:t>
            </w:r>
            <w:r>
              <w:rPr>
                <w:rFonts w:hint="eastAsia" w:ascii="微软雅黑" w:hAnsi="微软雅黑" w:eastAsia="微软雅黑" w:cs="微软雅黑"/>
                <w:highlight w:val="none"/>
              </w:rPr>
              <w:t>4</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授权委托书</w:t>
            </w:r>
          </w:p>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（附上法定代表人及代理人的身份证正反面复印件）</w:t>
            </w:r>
          </w:p>
        </w:tc>
        <w:tc>
          <w:tcPr>
            <w:tcW w:w="2716" w:type="dxa"/>
            <w:noWrap w:val="0"/>
            <w:vAlign w:val="center"/>
          </w:tcPr>
          <w:p>
            <w:pPr>
              <w:widowControl/>
              <w:snapToGrid w:val="0"/>
              <w:spacing w:line="340" w:lineRule="exact"/>
              <w:rPr>
                <w:rFonts w:hint="eastAsia" w:ascii="微软雅黑" w:hAnsi="微软雅黑" w:eastAsia="微软雅黑" w:cs="微软雅黑"/>
                <w:highlight w:val="none"/>
              </w:rPr>
            </w:pPr>
            <w:r>
              <w:rPr>
                <w:rFonts w:hint="eastAsia" w:ascii="微软雅黑" w:hAnsi="微软雅黑" w:eastAsia="微软雅黑" w:cs="微软雅黑"/>
                <w:kern w:val="0"/>
                <w:highlight w:val="none"/>
              </w:rPr>
              <w:t>如授权委托代理人的则需提供该项，格式附后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b/>
                <w:bCs/>
                <w:highlight w:val="none"/>
              </w:rPr>
              <w:t>▲</w:t>
            </w:r>
            <w:r>
              <w:rPr>
                <w:rFonts w:hint="eastAsia" w:ascii="微软雅黑" w:hAnsi="微软雅黑" w:eastAsia="微软雅黑" w:cs="微软雅黑"/>
                <w:highlight w:val="none"/>
              </w:rPr>
              <w:t>5</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投标人营业执照</w:t>
            </w:r>
          </w:p>
        </w:tc>
        <w:tc>
          <w:tcPr>
            <w:tcW w:w="2716" w:type="dxa"/>
            <w:noWrap w:val="0"/>
            <w:vAlign w:val="center"/>
          </w:tcPr>
          <w:p>
            <w:pPr>
              <w:widowControl/>
              <w:snapToGrid w:val="0"/>
              <w:spacing w:line="340" w:lineRule="exact"/>
              <w:rPr>
                <w:rFonts w:hint="eastAsia" w:ascii="微软雅黑" w:hAnsi="微软雅黑" w:eastAsia="微软雅黑" w:cs="微软雅黑"/>
                <w:highlight w:val="none"/>
              </w:rPr>
            </w:pPr>
            <w:r>
              <w:rPr>
                <w:rFonts w:hint="eastAsia" w:ascii="微软雅黑" w:hAnsi="微软雅黑" w:eastAsia="微软雅黑" w:cs="微软雅黑"/>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highlight w:val="none"/>
              </w:rPr>
            </w:pPr>
            <w:r>
              <w:rPr>
                <w:rFonts w:hint="eastAsia" w:ascii="微软雅黑" w:hAnsi="微软雅黑" w:eastAsia="微软雅黑" w:cs="微软雅黑"/>
                <w:b/>
                <w:bCs/>
                <w:highlight w:val="none"/>
              </w:rPr>
              <w:t>▲</w:t>
            </w:r>
            <w:r>
              <w:rPr>
                <w:rFonts w:hint="eastAsia" w:ascii="微软雅黑" w:hAnsi="微软雅黑" w:eastAsia="微软雅黑" w:cs="微软雅黑"/>
                <w:highlight w:val="none"/>
              </w:rPr>
              <w:t>6</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财务状况报告的相关材料</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w:t>
            </w:r>
            <w:r>
              <w:rPr>
                <w:rFonts w:hint="eastAsia" w:ascii="微软雅黑" w:hAnsi="微软雅黑" w:eastAsia="微软雅黑" w:cs="微软雅黑"/>
                <w:sz w:val="24"/>
                <w:szCs w:val="24"/>
                <w:highlight w:val="none"/>
              </w:rPr>
              <w:t>7</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依法缴纳税收的相关材料</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w:t>
            </w:r>
            <w:r>
              <w:rPr>
                <w:rFonts w:hint="eastAsia" w:ascii="微软雅黑" w:hAnsi="微软雅黑" w:eastAsia="微软雅黑" w:cs="微软雅黑"/>
                <w:sz w:val="24"/>
                <w:szCs w:val="24"/>
                <w:highlight w:val="none"/>
              </w:rPr>
              <w:t>8</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依法缴纳社会保障资金的相关材料</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rPr>
              <w:t>▲</w:t>
            </w:r>
            <w:r>
              <w:rPr>
                <w:rFonts w:hint="eastAsia" w:ascii="微软雅黑" w:hAnsi="微软雅黑" w:eastAsia="微软雅黑" w:cs="微软雅黑"/>
                <w:sz w:val="24"/>
                <w:szCs w:val="24"/>
                <w:highlight w:val="none"/>
              </w:rPr>
              <w:t>9</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具备履行合同所必需的设备和专业技术能力的证明材料(根据项目性质提供，该项内容不得写“无”)</w:t>
            </w:r>
          </w:p>
        </w:tc>
        <w:tc>
          <w:tcPr>
            <w:tcW w:w="2716"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83" w:type="dxa"/>
            <w:noWrap w:val="0"/>
            <w:vAlign w:val="center"/>
          </w:tcPr>
          <w:p>
            <w:pPr>
              <w:widowControl/>
              <w:snapToGrid w:val="0"/>
              <w:spacing w:line="340" w:lineRule="exact"/>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10</w:t>
            </w:r>
          </w:p>
        </w:tc>
        <w:tc>
          <w:tcPr>
            <w:tcW w:w="6400" w:type="dxa"/>
            <w:noWrap w:val="0"/>
            <w:vAlign w:val="center"/>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投标人认为需要提供的其它文件和资料</w:t>
            </w:r>
          </w:p>
        </w:tc>
        <w:tc>
          <w:tcPr>
            <w:tcW w:w="2716" w:type="dxa"/>
            <w:noWrap w:val="0"/>
            <w:vAlign w:val="top"/>
          </w:tcPr>
          <w:p>
            <w:pPr>
              <w:widowControl/>
              <w:snapToGrid w:val="0"/>
              <w:spacing w:line="340" w:lineRule="exact"/>
              <w:rPr>
                <w:rFonts w:hint="eastAsia" w:ascii="微软雅黑" w:hAnsi="微软雅黑" w:eastAsia="微软雅黑" w:cs="微软雅黑"/>
                <w:kern w:val="0"/>
                <w:highlight w:val="none"/>
              </w:rPr>
            </w:pPr>
            <w:r>
              <w:rPr>
                <w:rFonts w:hint="eastAsia" w:ascii="微软雅黑" w:hAnsi="微软雅黑" w:eastAsia="微软雅黑" w:cs="微软雅黑"/>
                <w:kern w:val="0"/>
                <w:highlight w:val="none"/>
              </w:rPr>
              <w:t>内容自拟（可选择性提供）</w:t>
            </w:r>
          </w:p>
        </w:tc>
      </w:tr>
    </w:tbl>
    <w:p>
      <w:pPr>
        <w:snapToGrid w:val="0"/>
        <w:spacing w:line="440" w:lineRule="exact"/>
        <w:rPr>
          <w:rFonts w:hint="eastAsia" w:ascii="微软雅黑" w:hAnsi="微软雅黑" w:eastAsia="微软雅黑" w:cs="微软雅黑"/>
          <w:b/>
          <w:bCs/>
          <w:sz w:val="22"/>
          <w:szCs w:val="22"/>
          <w:highlight w:val="none"/>
        </w:rPr>
      </w:pPr>
    </w:p>
    <w:p>
      <w:pPr>
        <w:snapToGrid w:val="0"/>
        <w:spacing w:line="400" w:lineRule="exact"/>
        <w:ind w:firstLine="480" w:firstLineChars="200"/>
        <w:rPr>
          <w:rFonts w:hint="eastAsia" w:ascii="微软雅黑" w:hAnsi="微软雅黑" w:eastAsia="微软雅黑" w:cs="微软雅黑"/>
          <w:b/>
          <w:bCs/>
          <w:kern w:val="0"/>
          <w:sz w:val="24"/>
          <w:szCs w:val="24"/>
          <w:highlight w:val="none"/>
        </w:rPr>
      </w:pPr>
      <w:r>
        <w:rPr>
          <w:rFonts w:hint="eastAsia" w:ascii="微软雅黑" w:hAnsi="微软雅黑" w:eastAsia="微软雅黑" w:cs="微软雅黑"/>
          <w:b/>
          <w:bCs/>
          <w:kern w:val="0"/>
          <w:sz w:val="24"/>
          <w:szCs w:val="24"/>
          <w:highlight w:val="none"/>
        </w:rPr>
        <w:t>2、商务技术文件的组成：</w:t>
      </w:r>
    </w:p>
    <w:tbl>
      <w:tblPr>
        <w:tblStyle w:val="23"/>
        <w:tblW w:w="10019"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6161"/>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序号</w:t>
            </w:r>
          </w:p>
        </w:tc>
        <w:tc>
          <w:tcPr>
            <w:tcW w:w="6161"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内容</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封面</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目录</w:t>
            </w:r>
          </w:p>
        </w:tc>
        <w:tc>
          <w:tcPr>
            <w:tcW w:w="3006" w:type="dxa"/>
            <w:noWrap w:val="0"/>
            <w:vAlign w:val="top"/>
          </w:tcPr>
          <w:p>
            <w:pPr>
              <w:widowControl/>
              <w:snapToGrid w:val="0"/>
              <w:spacing w:line="340" w:lineRule="exact"/>
              <w:jc w:val="both"/>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rPr>
              <w:t>3</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供应商自评表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4</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rPr>
              <w:t>投标人基本情况</w:t>
            </w:r>
            <w:r>
              <w:rPr>
                <w:rFonts w:hint="eastAsia" w:ascii="微软雅黑" w:hAnsi="微软雅黑" w:eastAsia="微软雅黑" w:cs="微软雅黑"/>
                <w:kern w:val="0"/>
                <w:sz w:val="21"/>
                <w:szCs w:val="21"/>
                <w:highlight w:val="none"/>
                <w:lang w:val="en-US" w:eastAsia="zh-CN"/>
              </w:rPr>
              <w:t>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6</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项目负责人资格情况表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7</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技术、商务偏离表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8</w:t>
            </w:r>
          </w:p>
        </w:tc>
        <w:tc>
          <w:tcPr>
            <w:tcW w:w="61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证书一览表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9</w:t>
            </w:r>
          </w:p>
        </w:tc>
        <w:tc>
          <w:tcPr>
            <w:tcW w:w="61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投标人类似项目实施情况一览表</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10</w:t>
            </w:r>
          </w:p>
        </w:tc>
        <w:tc>
          <w:tcPr>
            <w:tcW w:w="61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根据评分标准编制</w:t>
            </w:r>
          </w:p>
        </w:tc>
        <w:tc>
          <w:tcPr>
            <w:tcW w:w="3006" w:type="dxa"/>
            <w:noWrap w:val="0"/>
            <w:vAlign w:val="top"/>
          </w:tcPr>
          <w:p>
            <w:pPr>
              <w:widowControl/>
              <w:snapToGrid w:val="0"/>
              <w:spacing w:line="340" w:lineRule="exact"/>
              <w:jc w:val="both"/>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52" w:type="dxa"/>
            <w:noWrap w:val="0"/>
            <w:vAlign w:val="center"/>
          </w:tcPr>
          <w:p>
            <w:pPr>
              <w:widowControl/>
              <w:snapToGrid w:val="0"/>
              <w:spacing w:line="340" w:lineRule="exact"/>
              <w:jc w:val="center"/>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11</w:t>
            </w:r>
          </w:p>
        </w:tc>
        <w:tc>
          <w:tcPr>
            <w:tcW w:w="6161" w:type="dxa"/>
            <w:noWrap w:val="0"/>
            <w:vAlign w:val="center"/>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投标人认为需要提供的其它文件和资料，包括可能影响投标人商务技术文件评分的各类证明材料</w:t>
            </w:r>
          </w:p>
        </w:tc>
        <w:tc>
          <w:tcPr>
            <w:tcW w:w="3006" w:type="dxa"/>
            <w:noWrap w:val="0"/>
            <w:vAlign w:val="center"/>
          </w:tcPr>
          <w:p>
            <w:pPr>
              <w:widowControl/>
              <w:snapToGrid w:val="0"/>
              <w:spacing w:line="340" w:lineRule="exact"/>
              <w:jc w:val="left"/>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lang w:val="en-US" w:eastAsia="zh-CN"/>
              </w:rPr>
              <w:t>内容自拟（可选择性提供）</w:t>
            </w:r>
          </w:p>
        </w:tc>
      </w:tr>
    </w:tbl>
    <w:p>
      <w:pPr>
        <w:snapToGrid w:val="0"/>
        <w:spacing w:line="440" w:lineRule="exact"/>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3、报价文件的组成</w:t>
      </w:r>
    </w:p>
    <w:tbl>
      <w:tblPr>
        <w:tblStyle w:val="23"/>
        <w:tblW w:w="9937"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862"/>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50" w:type="dxa"/>
            <w:vAlign w:val="center"/>
          </w:tcPr>
          <w:p>
            <w:pPr>
              <w:widowControl/>
              <w:snapToGrid w:val="0"/>
              <w:spacing w:line="34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序号</w:t>
            </w:r>
          </w:p>
        </w:tc>
        <w:tc>
          <w:tcPr>
            <w:tcW w:w="3862" w:type="dxa"/>
            <w:vAlign w:val="center"/>
          </w:tcPr>
          <w:p>
            <w:pPr>
              <w:widowControl/>
              <w:snapToGrid w:val="0"/>
              <w:spacing w:line="34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内容</w:t>
            </w:r>
          </w:p>
        </w:tc>
        <w:tc>
          <w:tcPr>
            <w:tcW w:w="5325" w:type="dxa"/>
            <w:vAlign w:val="center"/>
          </w:tcPr>
          <w:p>
            <w:pPr>
              <w:widowControl/>
              <w:snapToGrid w:val="0"/>
              <w:spacing w:line="34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50" w:type="dxa"/>
            <w:vAlign w:val="center"/>
          </w:tcPr>
          <w:p>
            <w:pPr>
              <w:widowControl/>
              <w:snapToGrid w:val="0"/>
              <w:spacing w:line="340" w:lineRule="exact"/>
              <w:jc w:val="center"/>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1</w:t>
            </w:r>
          </w:p>
        </w:tc>
        <w:tc>
          <w:tcPr>
            <w:tcW w:w="3862"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封面</w:t>
            </w:r>
          </w:p>
        </w:tc>
        <w:tc>
          <w:tcPr>
            <w:tcW w:w="5325"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50" w:type="dxa"/>
            <w:vAlign w:val="center"/>
          </w:tcPr>
          <w:p>
            <w:pPr>
              <w:widowControl/>
              <w:snapToGrid w:val="0"/>
              <w:spacing w:line="340" w:lineRule="exact"/>
              <w:jc w:val="center"/>
              <w:rPr>
                <w:rFonts w:hint="eastAsia" w:ascii="微软雅黑" w:hAnsi="微软雅黑" w:eastAsia="微软雅黑" w:cs="微软雅黑"/>
                <w:sz w:val="21"/>
                <w:szCs w:val="21"/>
                <w:highlight w:val="none"/>
                <w:lang w:val="en-US" w:eastAsia="zh-CN"/>
              </w:rPr>
            </w:pPr>
            <w:r>
              <w:rPr>
                <w:rFonts w:hint="eastAsia" w:ascii="微软雅黑" w:hAnsi="微软雅黑" w:eastAsia="微软雅黑" w:cs="微软雅黑"/>
                <w:sz w:val="21"/>
                <w:szCs w:val="21"/>
                <w:highlight w:val="none"/>
                <w:lang w:val="en-US" w:eastAsia="zh-CN"/>
              </w:rPr>
              <w:t>2</w:t>
            </w:r>
          </w:p>
        </w:tc>
        <w:tc>
          <w:tcPr>
            <w:tcW w:w="3862"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目录</w:t>
            </w:r>
          </w:p>
        </w:tc>
        <w:tc>
          <w:tcPr>
            <w:tcW w:w="5325"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50" w:type="dxa"/>
            <w:vAlign w:val="top"/>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rPr>
              <w:t>3</w:t>
            </w:r>
          </w:p>
        </w:tc>
        <w:tc>
          <w:tcPr>
            <w:tcW w:w="3862" w:type="dxa"/>
            <w:vAlign w:val="center"/>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开标一览表</w:t>
            </w:r>
          </w:p>
        </w:tc>
        <w:tc>
          <w:tcPr>
            <w:tcW w:w="5325" w:type="dxa"/>
            <w:vAlign w:val="center"/>
          </w:tcPr>
          <w:p>
            <w:pPr>
              <w:widowControl/>
              <w:snapToGrid w:val="0"/>
              <w:spacing w:line="340" w:lineRule="exact"/>
              <w:rPr>
                <w:rFonts w:hint="eastAsia" w:ascii="微软雅黑" w:hAnsi="微软雅黑" w:eastAsia="微软雅黑" w:cs="微软雅黑"/>
                <w:kern w:val="0"/>
                <w:sz w:val="21"/>
                <w:szCs w:val="21"/>
                <w:highlight w:val="none"/>
              </w:rPr>
            </w:pPr>
            <w:r>
              <w:rPr>
                <w:rFonts w:hint="eastAsia" w:ascii="微软雅黑" w:hAnsi="微软雅黑" w:eastAsia="微软雅黑" w:cs="微软雅黑"/>
                <w:kern w:val="0"/>
                <w:sz w:val="21"/>
                <w:szCs w:val="21"/>
                <w:highlight w:val="none"/>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50" w:type="dxa"/>
            <w:vAlign w:val="top"/>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4</w:t>
            </w:r>
          </w:p>
        </w:tc>
        <w:tc>
          <w:tcPr>
            <w:tcW w:w="3862"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color w:val="auto"/>
                <w:kern w:val="0"/>
                <w:highlight w:val="none"/>
                <w:lang w:val="en-US" w:eastAsia="zh-CN"/>
              </w:rPr>
              <w:t>中小</w:t>
            </w:r>
            <w:r>
              <w:rPr>
                <w:rFonts w:hint="eastAsia" w:ascii="微软雅黑" w:hAnsi="微软雅黑" w:eastAsia="微软雅黑" w:cs="微软雅黑"/>
                <w:color w:val="auto"/>
                <w:kern w:val="0"/>
                <w:highlight w:val="none"/>
              </w:rPr>
              <w:t>企</w:t>
            </w:r>
            <w:r>
              <w:rPr>
                <w:rFonts w:hint="eastAsia" w:ascii="微软雅黑" w:hAnsi="微软雅黑" w:eastAsia="微软雅黑" w:cs="微软雅黑"/>
                <w:color w:val="auto"/>
                <w:kern w:val="0"/>
                <w:highlight w:val="none"/>
                <w:lang w:val="zh-CN"/>
              </w:rPr>
              <w:t>业声明函</w:t>
            </w:r>
          </w:p>
        </w:tc>
        <w:tc>
          <w:tcPr>
            <w:tcW w:w="5325"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color w:val="auto"/>
                <w:kern w:val="0"/>
                <w:highlight w:val="none"/>
              </w:rPr>
              <w:t>投标人若参与小微企业评审的，格式附后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750" w:type="dxa"/>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5</w:t>
            </w:r>
          </w:p>
        </w:tc>
        <w:tc>
          <w:tcPr>
            <w:tcW w:w="3862"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kern w:val="0"/>
                <w:sz w:val="21"/>
                <w:szCs w:val="21"/>
                <w:highlight w:val="none"/>
              </w:rPr>
              <w:t>残疾人福利性单位声明函</w:t>
            </w:r>
          </w:p>
        </w:tc>
        <w:tc>
          <w:tcPr>
            <w:tcW w:w="5325"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kern w:val="0"/>
                <w:sz w:val="21"/>
                <w:szCs w:val="21"/>
                <w:highlight w:val="none"/>
              </w:rPr>
              <w:t>投标人若参与残疾人福利性单位评审的，根据《关于促进残疾人就业政府采购政策的通知》（财库【2017】141号）的规定, 提供残疾人福利性单位声明函，格式附后（可选择性提供）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750" w:type="dxa"/>
            <w:vAlign w:val="center"/>
          </w:tcPr>
          <w:p>
            <w:pPr>
              <w:widowControl/>
              <w:snapToGrid w:val="0"/>
              <w:spacing w:line="340" w:lineRule="exact"/>
              <w:jc w:val="center"/>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6</w:t>
            </w:r>
          </w:p>
        </w:tc>
        <w:tc>
          <w:tcPr>
            <w:tcW w:w="3862"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kern w:val="0"/>
                <w:sz w:val="21"/>
                <w:szCs w:val="21"/>
                <w:highlight w:val="none"/>
              </w:rPr>
              <w:t>省级以上监狱管理局、戒毒管理局（含新疆生产建设兵团）开具的属于监狱企业的证明文件</w:t>
            </w:r>
          </w:p>
        </w:tc>
        <w:tc>
          <w:tcPr>
            <w:tcW w:w="5325" w:type="dxa"/>
            <w:vAlign w:val="center"/>
          </w:tcPr>
          <w:p>
            <w:pPr>
              <w:widowControl/>
              <w:snapToGrid w:val="0"/>
              <w:spacing w:line="34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kern w:val="0"/>
                <w:sz w:val="21"/>
                <w:szCs w:val="21"/>
                <w:highlight w:val="none"/>
              </w:rPr>
              <w:t>投标人若参与监狱企业评审的，根据《财政部司法部关于政府采购支持监狱企业发展有关问题的通知》（财库【2014】68号）的规定,格式自拟（可选择性提供）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50" w:type="dxa"/>
            <w:vAlign w:val="center"/>
          </w:tcPr>
          <w:p>
            <w:pPr>
              <w:widowControl/>
              <w:snapToGrid w:val="0"/>
              <w:spacing w:line="340" w:lineRule="exact"/>
              <w:jc w:val="center"/>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lang w:val="en-US" w:eastAsia="zh-CN"/>
              </w:rPr>
              <w:t>7</w:t>
            </w:r>
          </w:p>
        </w:tc>
        <w:tc>
          <w:tcPr>
            <w:tcW w:w="3862"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投标人认为需要提供的其它文件和资料</w:t>
            </w:r>
          </w:p>
        </w:tc>
        <w:tc>
          <w:tcPr>
            <w:tcW w:w="5325" w:type="dxa"/>
            <w:vAlign w:val="top"/>
          </w:tcPr>
          <w:p>
            <w:pPr>
              <w:widowControl/>
              <w:snapToGrid w:val="0"/>
              <w:spacing w:line="340" w:lineRule="exact"/>
              <w:jc w:val="both"/>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rPr>
              <w:t>内容自拟（可选择性提供）</w:t>
            </w:r>
          </w:p>
        </w:tc>
      </w:tr>
    </w:tbl>
    <w:p>
      <w:pPr>
        <w:keepNext w:val="0"/>
        <w:keepLines w:val="0"/>
        <w:pageBreakBefore w:val="0"/>
        <w:widowControl w:val="0"/>
        <w:kinsoku/>
        <w:wordWrap/>
        <w:overflowPunct/>
        <w:topLinePunct w:val="0"/>
        <w:bidi w:val="0"/>
        <w:spacing w:line="360" w:lineRule="exact"/>
        <w:ind w:left="0" w:leftChars="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b/>
          <w:bCs/>
          <w:kern w:val="0"/>
          <w:sz w:val="22"/>
          <w:szCs w:val="22"/>
          <w:highlight w:val="none"/>
        </w:rPr>
        <w:t>（二）投标文件的制作、封装及递交要求</w:t>
      </w:r>
    </w:p>
    <w:p>
      <w:pPr>
        <w:keepNext w:val="0"/>
        <w:keepLines w:val="0"/>
        <w:pageBreakBefore w:val="0"/>
        <w:widowControl w:val="0"/>
        <w:kinsoku/>
        <w:wordWrap/>
        <w:overflowPunct/>
        <w:topLinePunct w:val="0"/>
        <w:autoSpaceDE w:val="0"/>
        <w:autoSpaceDN w:val="0"/>
        <w:bidi w:val="0"/>
        <w:adjustRightInd w:val="0"/>
        <w:spacing w:line="360" w:lineRule="exact"/>
        <w:ind w:left="0" w:leftChars="0"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1、投标文件的制作要求</w:t>
      </w:r>
    </w:p>
    <w:p>
      <w:pPr>
        <w:keepNext w:val="0"/>
        <w:keepLines w:val="0"/>
        <w:pageBreakBefore w:val="0"/>
        <w:widowControl w:val="0"/>
        <w:kinsoku/>
        <w:wordWrap/>
        <w:overflowPunct/>
        <w:topLinePunct w:val="0"/>
        <w:autoSpaceDE w:val="0"/>
        <w:autoSpaceDN w:val="0"/>
        <w:bidi w:val="0"/>
        <w:adjustRightInd w:val="0"/>
        <w:spacing w:line="360" w:lineRule="exact"/>
        <w:ind w:left="0" w:leftChars="0"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sz w:val="22"/>
          <w:szCs w:val="22"/>
          <w:highlight w:val="none"/>
        </w:rPr>
        <w:t>（1）投标人应按照投标文件组成内容及项目招标需求制作投标文件，</w:t>
      </w:r>
      <w:r>
        <w:rPr>
          <w:rFonts w:hint="eastAsia" w:ascii="微软雅黑" w:hAnsi="微软雅黑" w:eastAsia="微软雅黑" w:cs="微软雅黑"/>
          <w:kern w:val="0"/>
          <w:sz w:val="22"/>
          <w:szCs w:val="22"/>
          <w:highlight w:val="none"/>
        </w:rPr>
        <w:t>不按招标文件要求制作投标文件的将视情处理，责任由投标人自行承担。</w:t>
      </w:r>
    </w:p>
    <w:p>
      <w:pPr>
        <w:keepNext w:val="0"/>
        <w:keepLines w:val="0"/>
        <w:pageBreakBefore w:val="0"/>
        <w:widowControl w:val="0"/>
        <w:kinsoku/>
        <w:wordWrap/>
        <w:overflowPunct/>
        <w:topLinePunct w:val="0"/>
        <w:autoSpaceDE w:val="0"/>
        <w:autoSpaceDN w:val="0"/>
        <w:bidi w:val="0"/>
        <w:adjustRightInd w:val="0"/>
        <w:spacing w:line="360" w:lineRule="exact"/>
        <w:ind w:left="0" w:leftChars="0" w:firstLine="440" w:firstLineChars="200"/>
        <w:textAlignment w:val="auto"/>
        <w:rPr>
          <w:rFonts w:hint="eastAsia" w:ascii="微软雅黑" w:hAnsi="微软雅黑" w:eastAsia="微软雅黑" w:cs="微软雅黑"/>
          <w:kern w:val="0"/>
          <w:sz w:val="22"/>
          <w:szCs w:val="22"/>
          <w:highlight w:val="none"/>
          <w:lang w:val="zh-CN"/>
        </w:rPr>
      </w:pPr>
      <w:r>
        <w:rPr>
          <w:rFonts w:hint="eastAsia" w:ascii="微软雅黑" w:hAnsi="微软雅黑" w:eastAsia="微软雅黑" w:cs="微软雅黑"/>
          <w:sz w:val="22"/>
          <w:szCs w:val="22"/>
          <w:highlight w:val="none"/>
        </w:rPr>
        <w:t>（2）投标人应对所提供的全部资料的真实性承担法律责任，</w:t>
      </w:r>
      <w:r>
        <w:rPr>
          <w:rFonts w:hint="eastAsia" w:ascii="微软雅黑" w:hAnsi="微软雅黑" w:eastAsia="微软雅黑" w:cs="微软雅黑"/>
          <w:kern w:val="0"/>
          <w:sz w:val="22"/>
          <w:szCs w:val="22"/>
          <w:highlight w:val="none"/>
          <w:lang w:val="zh-CN"/>
        </w:rPr>
        <w:t>投标文件内容中有要求盖章或签字的地方，必须加盖投标人的公章以及法定代表人或授权代理人的签字或盖章。</w:t>
      </w:r>
    </w:p>
    <w:p>
      <w:pPr>
        <w:keepNext w:val="0"/>
        <w:keepLines w:val="0"/>
        <w:pageBreakBefore w:val="0"/>
        <w:widowControl w:val="0"/>
        <w:kinsoku/>
        <w:wordWrap/>
        <w:overflowPunct/>
        <w:topLinePunct w:val="0"/>
        <w:bidi w:val="0"/>
        <w:snapToGrid w:val="0"/>
        <w:spacing w:line="360" w:lineRule="exact"/>
        <w:ind w:left="0" w:leftChars="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kern w:val="0"/>
          <w:sz w:val="22"/>
          <w:szCs w:val="22"/>
          <w:highlight w:val="none"/>
          <w:lang w:val="zh-CN"/>
        </w:rPr>
        <w:t>（</w:t>
      </w:r>
      <w:r>
        <w:rPr>
          <w:rFonts w:hint="eastAsia" w:ascii="微软雅黑" w:hAnsi="微软雅黑" w:eastAsia="微软雅黑" w:cs="微软雅黑"/>
          <w:kern w:val="0"/>
          <w:sz w:val="22"/>
          <w:szCs w:val="22"/>
          <w:highlight w:val="none"/>
        </w:rPr>
        <w:t>3</w:t>
      </w:r>
      <w:r>
        <w:rPr>
          <w:rFonts w:hint="eastAsia" w:ascii="微软雅黑" w:hAnsi="微软雅黑" w:eastAsia="微软雅黑" w:cs="微软雅黑"/>
          <w:kern w:val="0"/>
          <w:sz w:val="22"/>
          <w:szCs w:val="22"/>
          <w:highlight w:val="none"/>
          <w:lang w:val="zh-CN"/>
        </w:rPr>
        <w:t>）</w:t>
      </w:r>
      <w:r>
        <w:rPr>
          <w:rFonts w:hint="eastAsia" w:ascii="微软雅黑" w:hAnsi="微软雅黑" w:eastAsia="微软雅黑" w:cs="微软雅黑"/>
          <w:sz w:val="22"/>
          <w:szCs w:val="22"/>
          <w:highlight w:val="none"/>
        </w:rPr>
        <w:t>投标文件以及投标人与采购代理机构就有关投标事宜的所有来往函电，均应以中文汉语书写</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除签字、盖章、专用名称等特殊情形外，以中文汉语以外的文字表述的投标文件视同未提供。</w:t>
      </w:r>
    </w:p>
    <w:p>
      <w:pPr>
        <w:keepNext w:val="0"/>
        <w:keepLines w:val="0"/>
        <w:pageBreakBefore w:val="0"/>
        <w:widowControl w:val="0"/>
        <w:kinsoku/>
        <w:wordWrap/>
        <w:overflowPunct/>
        <w:topLinePunct w:val="0"/>
        <w:bidi w:val="0"/>
        <w:snapToGrid w:val="0"/>
        <w:spacing w:line="360" w:lineRule="exact"/>
        <w:ind w:left="0" w:leftChars="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（4）投标计量单位，招标文件已有明确规定的，使用招标文件规定的计量单位；招标文件没有规定的，应采用中华人民共和国法定计量单位（货币单位：人民币元）。</w:t>
      </w:r>
    </w:p>
    <w:p>
      <w:pPr>
        <w:keepNext w:val="0"/>
        <w:keepLines w:val="0"/>
        <w:pageBreakBefore w:val="0"/>
        <w:widowControl w:val="0"/>
        <w:kinsoku/>
        <w:wordWrap/>
        <w:overflowPunct/>
        <w:topLinePunct w:val="0"/>
        <w:autoSpaceDE w:val="0"/>
        <w:autoSpaceDN w:val="0"/>
        <w:bidi w:val="0"/>
        <w:adjustRightInd w:val="0"/>
        <w:spacing w:line="360" w:lineRule="exact"/>
        <w:ind w:left="0" w:leftChars="0"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（5）若投标人不按招标文件的要求提供资格审查材料，其责任由投标人自行承担。</w:t>
      </w:r>
    </w:p>
    <w:p>
      <w:pPr>
        <w:pStyle w:val="11"/>
        <w:keepNext w:val="0"/>
        <w:keepLines w:val="0"/>
        <w:pageBreakBefore w:val="0"/>
        <w:widowControl w:val="0"/>
        <w:kinsoku/>
        <w:wordWrap/>
        <w:overflowPunct/>
        <w:topLinePunct w:val="0"/>
        <w:bidi w:val="0"/>
        <w:snapToGrid w:val="0"/>
        <w:spacing w:after="0" w:line="360" w:lineRule="exact"/>
        <w:ind w:left="0" w:leftChars="0"/>
        <w:textAlignment w:val="auto"/>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2、投标文件的式样</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1</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 xml:space="preserve"> 投标人通过“政采云”平台制作电子投标文件，投标文件制作详见“供应商-政府采购项目电子交易操作指南”。</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lang w:eastAsia="zh-CN"/>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2</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 xml:space="preserve"> </w:t>
      </w:r>
      <w:r>
        <w:rPr>
          <w:rFonts w:hint="eastAsia" w:ascii="微软雅黑" w:hAnsi="微软雅黑" w:eastAsia="微软雅黑" w:cs="微软雅黑"/>
          <w:snapToGrid w:val="0"/>
          <w:kern w:val="0"/>
          <w:sz w:val="22"/>
          <w:szCs w:val="22"/>
          <w:highlight w:val="none"/>
          <w:lang w:val="en-US" w:eastAsia="zh-CN"/>
        </w:rPr>
        <w:t>投标文件是</w:t>
      </w:r>
      <w:r>
        <w:rPr>
          <w:rFonts w:hint="eastAsia" w:ascii="微软雅黑" w:hAnsi="微软雅黑" w:eastAsia="微软雅黑" w:cs="微软雅黑"/>
          <w:snapToGrid w:val="0"/>
          <w:kern w:val="0"/>
          <w:sz w:val="22"/>
          <w:szCs w:val="22"/>
          <w:highlight w:val="none"/>
        </w:rPr>
        <w:t>电子投标文件</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包括“电子加密投标文件”和“备份投标文件”，在投标文件编制完成后同时生成</w:t>
      </w:r>
      <w:r>
        <w:rPr>
          <w:rFonts w:hint="eastAsia" w:ascii="微软雅黑" w:hAnsi="微软雅黑" w:eastAsia="微软雅黑" w:cs="微软雅黑"/>
          <w:snapToGrid w:val="0"/>
          <w:kern w:val="0"/>
          <w:sz w:val="22"/>
          <w:szCs w:val="22"/>
          <w:highlight w:val="none"/>
          <w:lang w:eastAsia="zh-CN"/>
        </w:rPr>
        <w:t>。</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rPr>
        <w:t>1）“电子加密投标文件”是指通过“政采云电子交易客户端”完成投标文件编制后生成并加密的数据电文形式的投标文件。</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rPr>
        <w:t>2）“备份投标文件”是指与“电子加密投标文件”同时生成的数据电文形式的电子文件（备份标书，用于供应商标书解密异常时应急使用），其他方式编制的备份投标文件视为无效备份投标文件。</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lang w:eastAsia="zh-CN"/>
        </w:rPr>
      </w:pPr>
      <w:r>
        <w:rPr>
          <w:rFonts w:hint="eastAsia" w:ascii="微软雅黑" w:hAnsi="微软雅黑" w:eastAsia="微软雅黑" w:cs="微软雅黑"/>
          <w:snapToGrid w:val="0"/>
          <w:kern w:val="0"/>
          <w:sz w:val="22"/>
          <w:szCs w:val="22"/>
          <w:highlight w:val="none"/>
          <w:lang w:val="en-US" w:eastAsia="zh-CN"/>
        </w:rPr>
        <w:t>3</w:t>
      </w:r>
      <w:r>
        <w:rPr>
          <w:rFonts w:hint="eastAsia" w:ascii="微软雅黑" w:hAnsi="微软雅黑" w:eastAsia="微软雅黑" w:cs="微软雅黑"/>
          <w:snapToGrid w:val="0"/>
          <w:kern w:val="0"/>
          <w:sz w:val="22"/>
          <w:szCs w:val="22"/>
          <w:highlight w:val="none"/>
          <w:lang w:eastAsia="zh-CN"/>
        </w:rPr>
        <w:t>）一份电子加密标书（后缀格式为.jmbs），一份备份标书文件（后缀格式为.bfbs）</w:t>
      </w:r>
    </w:p>
    <w:p>
      <w:pPr>
        <w:keepNext w:val="0"/>
        <w:keepLines w:val="0"/>
        <w:pageBreakBefore w:val="0"/>
        <w:widowControl w:val="0"/>
        <w:kinsoku/>
        <w:wordWrap/>
        <w:overflowPunct/>
        <w:topLinePunct w:val="0"/>
        <w:bidi w:val="0"/>
        <w:adjustRightInd w:val="0"/>
        <w:snapToGrid w:val="0"/>
        <w:spacing w:line="360" w:lineRule="exact"/>
        <w:ind w:left="0" w:leftChars="0" w:firstLine="440" w:firstLineChars="200"/>
        <w:jc w:val="left"/>
        <w:textAlignment w:val="auto"/>
        <w:rPr>
          <w:rFonts w:hint="eastAsia" w:ascii="微软雅黑" w:hAnsi="微软雅黑" w:eastAsia="微软雅黑" w:cs="微软雅黑"/>
          <w:snapToGrid w:val="0"/>
          <w:kern w:val="0"/>
          <w:sz w:val="22"/>
          <w:szCs w:val="22"/>
          <w:highlight w:val="none"/>
          <w:lang w:eastAsia="zh-CN"/>
        </w:rPr>
      </w:pPr>
      <w:r>
        <w:rPr>
          <w:rFonts w:hint="eastAsia" w:ascii="微软雅黑" w:hAnsi="微软雅黑" w:eastAsia="微软雅黑" w:cs="微软雅黑"/>
          <w:snapToGrid w:val="0"/>
          <w:kern w:val="0"/>
          <w:sz w:val="22"/>
          <w:szCs w:val="22"/>
          <w:highlight w:val="none"/>
          <w:lang w:val="en-US" w:eastAsia="zh-CN"/>
        </w:rPr>
        <w:t>4</w:t>
      </w:r>
      <w:r>
        <w:rPr>
          <w:rFonts w:hint="eastAsia" w:ascii="微软雅黑" w:hAnsi="微软雅黑" w:eastAsia="微软雅黑" w:cs="微软雅黑"/>
          <w:snapToGrid w:val="0"/>
          <w:kern w:val="0"/>
          <w:sz w:val="22"/>
          <w:szCs w:val="22"/>
          <w:highlight w:val="none"/>
          <w:lang w:eastAsia="zh-CN"/>
        </w:rPr>
        <w:t>）每份电子投标文件应包括资格响应文件、商务技术响应文件、报价响应文件三部分内容。</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b w:val="0"/>
          <w:bCs w:val="0"/>
          <w:snapToGrid w:val="0"/>
          <w:kern w:val="0"/>
          <w:sz w:val="22"/>
          <w:szCs w:val="22"/>
          <w:highlight w:val="none"/>
        </w:rPr>
      </w:pPr>
      <w:r>
        <w:rPr>
          <w:rFonts w:hint="eastAsia" w:ascii="微软雅黑" w:hAnsi="微软雅黑" w:eastAsia="微软雅黑" w:cs="微软雅黑"/>
          <w:b w:val="0"/>
          <w:bCs w:val="0"/>
          <w:snapToGrid w:val="0"/>
          <w:kern w:val="0"/>
          <w:sz w:val="22"/>
          <w:szCs w:val="22"/>
          <w:highlight w:val="none"/>
          <w:lang w:eastAsia="zh-CN"/>
        </w:rPr>
        <w:t>（</w:t>
      </w:r>
      <w:r>
        <w:rPr>
          <w:rFonts w:hint="eastAsia" w:ascii="微软雅黑" w:hAnsi="微软雅黑" w:eastAsia="微软雅黑" w:cs="微软雅黑"/>
          <w:b w:val="0"/>
          <w:bCs w:val="0"/>
          <w:snapToGrid w:val="0"/>
          <w:kern w:val="0"/>
          <w:sz w:val="22"/>
          <w:szCs w:val="22"/>
          <w:highlight w:val="none"/>
          <w:lang w:val="en-US" w:eastAsia="zh-CN"/>
        </w:rPr>
        <w:t>3</w:t>
      </w:r>
      <w:r>
        <w:rPr>
          <w:rFonts w:hint="eastAsia" w:ascii="微软雅黑" w:hAnsi="微软雅黑" w:eastAsia="微软雅黑" w:cs="微软雅黑"/>
          <w:b w:val="0"/>
          <w:bCs w:val="0"/>
          <w:snapToGrid w:val="0"/>
          <w:kern w:val="0"/>
          <w:sz w:val="22"/>
          <w:szCs w:val="22"/>
          <w:highlight w:val="none"/>
          <w:lang w:eastAsia="zh-CN"/>
        </w:rPr>
        <w:t>）</w:t>
      </w:r>
      <w:r>
        <w:rPr>
          <w:rFonts w:hint="eastAsia" w:ascii="微软雅黑" w:hAnsi="微软雅黑" w:eastAsia="微软雅黑" w:cs="微软雅黑"/>
          <w:b w:val="0"/>
          <w:bCs w:val="0"/>
          <w:snapToGrid w:val="0"/>
          <w:kern w:val="0"/>
          <w:sz w:val="22"/>
          <w:szCs w:val="22"/>
          <w:highlight w:val="none"/>
          <w:lang w:val="en-US" w:eastAsia="zh-CN"/>
        </w:rPr>
        <w:t>投标文件中投标声明书、</w:t>
      </w:r>
      <w:r>
        <w:rPr>
          <w:rFonts w:hint="eastAsia" w:ascii="微软雅黑" w:hAnsi="微软雅黑" w:eastAsia="微软雅黑" w:cs="微软雅黑"/>
          <w:b w:val="0"/>
          <w:bCs w:val="0"/>
          <w:snapToGrid w:val="0"/>
          <w:kern w:val="0"/>
          <w:sz w:val="22"/>
          <w:szCs w:val="22"/>
          <w:highlight w:val="none"/>
        </w:rPr>
        <w:t>及授权委托函</w:t>
      </w:r>
      <w:r>
        <w:rPr>
          <w:rFonts w:hint="eastAsia" w:ascii="微软雅黑" w:hAnsi="微软雅黑" w:eastAsia="微软雅黑" w:cs="微软雅黑"/>
          <w:b w:val="0"/>
          <w:bCs w:val="0"/>
          <w:snapToGrid w:val="0"/>
          <w:kern w:val="0"/>
          <w:sz w:val="22"/>
          <w:szCs w:val="22"/>
          <w:highlight w:val="none"/>
          <w:lang w:val="en-US" w:eastAsia="zh-CN"/>
        </w:rPr>
        <w:t>的</w:t>
      </w:r>
      <w:r>
        <w:rPr>
          <w:rFonts w:hint="eastAsia" w:ascii="微软雅黑" w:hAnsi="微软雅黑" w:eastAsia="微软雅黑" w:cs="微软雅黑"/>
          <w:b w:val="0"/>
          <w:bCs w:val="0"/>
          <w:snapToGrid w:val="0"/>
          <w:kern w:val="0"/>
          <w:sz w:val="22"/>
          <w:szCs w:val="22"/>
          <w:highlight w:val="none"/>
        </w:rPr>
        <w:t>格式、签字、盖章及内容均应符合</w:t>
      </w:r>
      <w:r>
        <w:rPr>
          <w:rFonts w:hint="eastAsia" w:ascii="微软雅黑" w:hAnsi="微软雅黑" w:eastAsia="微软雅黑" w:cs="微软雅黑"/>
          <w:b w:val="0"/>
          <w:bCs w:val="0"/>
          <w:snapToGrid w:val="0"/>
          <w:kern w:val="0"/>
          <w:sz w:val="22"/>
          <w:szCs w:val="22"/>
          <w:highlight w:val="none"/>
          <w:lang w:val="en-US" w:eastAsia="zh-CN"/>
        </w:rPr>
        <w:t>采购文件格式</w:t>
      </w:r>
      <w:r>
        <w:rPr>
          <w:rFonts w:hint="eastAsia" w:ascii="微软雅黑" w:hAnsi="微软雅黑" w:eastAsia="微软雅黑" w:cs="微软雅黑"/>
          <w:b w:val="0"/>
          <w:bCs w:val="0"/>
          <w:snapToGrid w:val="0"/>
          <w:kern w:val="0"/>
          <w:sz w:val="22"/>
          <w:szCs w:val="22"/>
          <w:highlight w:val="none"/>
        </w:rPr>
        <w:t>要求。</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lang w:eastAsia="zh-CN"/>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4</w:t>
      </w:r>
      <w:r>
        <w:rPr>
          <w:rFonts w:hint="eastAsia" w:ascii="微软雅黑" w:hAnsi="微软雅黑" w:eastAsia="微软雅黑" w:cs="微软雅黑"/>
          <w:snapToGrid w:val="0"/>
          <w:kern w:val="0"/>
          <w:sz w:val="22"/>
          <w:szCs w:val="22"/>
          <w:highlight w:val="none"/>
          <w:lang w:eastAsia="zh-CN"/>
        </w:rPr>
        <w:t>）投标人应根据“政采云供应商项目采购-电子招投标操作指南”及本招标文件规定编制电子投标文件并进行关联定位，以便评标委员会在评标时，点击评分项，可直接定位到该评分项内容。</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lang w:eastAsia="zh-CN"/>
        </w:rPr>
      </w:pPr>
      <w:r>
        <w:rPr>
          <w:rFonts w:hint="eastAsia" w:ascii="微软雅黑" w:hAnsi="微软雅黑" w:eastAsia="微软雅黑" w:cs="微软雅黑"/>
          <w:snapToGrid w:val="0"/>
          <w:kern w:val="0"/>
          <w:sz w:val="22"/>
          <w:szCs w:val="22"/>
          <w:highlight w:val="none"/>
          <w:lang w:eastAsia="zh-CN"/>
        </w:rPr>
        <w:t>如对招标文件的某项要求，投标人的投标响应文件未能提供相应的内容与其对应，则评标委员会在评审时会提示投标人未对此项招标要求提供相应内容。由此产生的评分影响由投标人自行承担。</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kern w:val="0"/>
          <w:sz w:val="22"/>
          <w:szCs w:val="22"/>
          <w:highlight w:val="none"/>
          <w:lang w:val="zh-CN"/>
        </w:rPr>
      </w:pPr>
      <w:r>
        <w:rPr>
          <w:rFonts w:hint="eastAsia" w:ascii="微软雅黑" w:hAnsi="微软雅黑" w:eastAsia="微软雅黑" w:cs="微软雅黑"/>
          <w:snapToGrid w:val="0"/>
          <w:kern w:val="0"/>
          <w:sz w:val="22"/>
          <w:szCs w:val="22"/>
          <w:highlight w:val="none"/>
        </w:rPr>
        <w:t>投标文件内容不完整、编排混乱导致投标文件被误读、漏读，或者在按采购文件规定的部分查找不到相关内容的，是投标人的责任。</w:t>
      </w:r>
    </w:p>
    <w:p>
      <w:pPr>
        <w:keepNext w:val="0"/>
        <w:keepLines w:val="0"/>
        <w:pageBreakBefore w:val="0"/>
        <w:widowControl w:val="0"/>
        <w:kinsoku/>
        <w:wordWrap/>
        <w:overflowPunct/>
        <w:topLinePunct w:val="0"/>
        <w:autoSpaceDE w:val="0"/>
        <w:autoSpaceDN w:val="0"/>
        <w:bidi w:val="0"/>
        <w:adjustRightIn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3、投标文件的递交要求</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lang w:val="en-US" w:eastAsia="zh-CN"/>
        </w:rPr>
        <w:t>1</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电子加密投标文件：投标文件制作完成并生成加密标书，在投标截止时间前，</w:t>
      </w:r>
      <w:r>
        <w:rPr>
          <w:rFonts w:hint="eastAsia" w:ascii="微软雅黑" w:hAnsi="微软雅黑" w:eastAsia="微软雅黑" w:cs="微软雅黑"/>
          <w:sz w:val="22"/>
          <w:szCs w:val="22"/>
          <w:highlight w:val="none"/>
          <w:lang w:val="en-US" w:eastAsia="zh-CN"/>
        </w:rPr>
        <w:t>投标人</w:t>
      </w:r>
      <w:r>
        <w:rPr>
          <w:rFonts w:hint="eastAsia" w:ascii="微软雅黑" w:hAnsi="微软雅黑" w:eastAsia="微软雅黑" w:cs="微软雅黑"/>
          <w:sz w:val="22"/>
          <w:szCs w:val="22"/>
          <w:highlight w:val="none"/>
        </w:rPr>
        <w:t>需将加密的投标文件上传至政采云平台，到达开标时间后，解密投标文件。</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a.</w:t>
      </w:r>
      <w:r>
        <w:rPr>
          <w:rFonts w:hint="eastAsia" w:ascii="微软雅黑" w:hAnsi="微软雅黑" w:eastAsia="微软雅黑" w:cs="微软雅黑"/>
          <w:sz w:val="22"/>
          <w:szCs w:val="22"/>
          <w:highlight w:val="none"/>
          <w:lang w:val="en-US" w:eastAsia="zh-CN"/>
        </w:rPr>
        <w:t>投标人</w:t>
      </w:r>
      <w:r>
        <w:rPr>
          <w:rFonts w:hint="eastAsia" w:ascii="微软雅黑" w:hAnsi="微软雅黑" w:eastAsia="微软雅黑" w:cs="微软雅黑"/>
          <w:sz w:val="22"/>
          <w:szCs w:val="22"/>
          <w:highlight w:val="none"/>
        </w:rPr>
        <w:t>未能在投标截止时间前成功上传电子加密投标文件的投标无效。</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b.</w:t>
      </w:r>
      <w:r>
        <w:rPr>
          <w:rFonts w:hint="eastAsia" w:ascii="微软雅黑" w:hAnsi="微软雅黑" w:eastAsia="微软雅黑" w:cs="微软雅黑"/>
          <w:sz w:val="22"/>
          <w:szCs w:val="22"/>
          <w:highlight w:val="none"/>
          <w:lang w:val="en-US" w:eastAsia="zh-CN"/>
        </w:rPr>
        <w:t>投标人</w:t>
      </w:r>
      <w:r>
        <w:rPr>
          <w:rFonts w:hint="eastAsia" w:ascii="微软雅黑" w:hAnsi="微软雅黑" w:eastAsia="微软雅黑" w:cs="微软雅黑"/>
          <w:sz w:val="22"/>
          <w:szCs w:val="22"/>
          <w:highlight w:val="none"/>
        </w:rPr>
        <w:t>成功上传电子加密投标文件后，可自行打印投标文件接收回执。</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（2）备份投标文件：供应商确保在投标截止时间前，将备份投标文件通过快递形式寄达采购代理机构处，以便标书解密异常时应急使用。</w:t>
      </w:r>
    </w:p>
    <w:p>
      <w:pPr>
        <w:pStyle w:val="12"/>
        <w:keepNext w:val="0"/>
        <w:keepLines w:val="0"/>
        <w:pageBreakBefore w:val="0"/>
        <w:widowControl w:val="0"/>
        <w:numPr>
          <w:ilvl w:val="0"/>
          <w:numId w:val="7"/>
        </w:numPr>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pPr>
        <w:pStyle w:val="12"/>
        <w:keepNext w:val="0"/>
        <w:keepLines w:val="0"/>
        <w:pageBreakBefore w:val="0"/>
        <w:widowControl w:val="0"/>
        <w:numPr>
          <w:ilvl w:val="0"/>
          <w:numId w:val="7"/>
        </w:numPr>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kern w:val="0"/>
          <w:sz w:val="22"/>
          <w:szCs w:val="22"/>
          <w:highlight w:val="none"/>
        </w:rPr>
      </w:pPr>
      <w:r>
        <w:rPr>
          <w:rFonts w:hint="eastAsia" w:ascii="微软雅黑" w:hAnsi="微软雅黑" w:eastAsia="微软雅黑" w:cs="微软雅黑"/>
          <w:sz w:val="22"/>
          <w:szCs w:val="22"/>
          <w:highlight w:val="none"/>
          <w:lang w:val="en-US" w:eastAsia="zh-CN"/>
        </w:rPr>
        <w:t>投标人仅提交备份投标文件的，投标无效。</w:t>
      </w:r>
    </w:p>
    <w:p>
      <w:pPr>
        <w:keepNext w:val="0"/>
        <w:keepLines w:val="0"/>
        <w:pageBreakBefore w:val="0"/>
        <w:widowControl w:val="0"/>
        <w:tabs>
          <w:tab w:val="left" w:pos="1898"/>
        </w:tabs>
        <w:kinsoku/>
        <w:wordWrap/>
        <w:overflowPunct/>
        <w:topLinePunct w:val="0"/>
        <w:autoSpaceDE w:val="0"/>
        <w:autoSpaceDN w:val="0"/>
        <w:bidi w:val="0"/>
        <w:adjustRightIn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4、投标文件的补充、修改和撤回</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40" w:firstLineChars="200"/>
        <w:textAlignment w:val="auto"/>
        <w:outlineLvl w:val="9"/>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1</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投标人在递交投标文件后，在规定的投标截止时间前，</w:t>
      </w:r>
      <w:r>
        <w:rPr>
          <w:rFonts w:hint="eastAsia" w:ascii="微软雅黑" w:hAnsi="微软雅黑" w:eastAsia="微软雅黑" w:cs="微软雅黑"/>
          <w:sz w:val="22"/>
          <w:szCs w:val="22"/>
          <w:highlight w:val="none"/>
          <w:lang w:val="en-US" w:eastAsia="zh-CN"/>
        </w:rPr>
        <w:t>可以补充、修改或者撤回电子交易文件，补充或者修改电子交易文件的，应当先行撤回原文件，补充、修改后重新传输递交，投标截止时间前未完成传输的，视为投标文件撤回，投标无效。</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2</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在投标截止期之后，投标人不得对其投标作任何修改。</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lang w:val="en-US" w:eastAsia="zh-CN"/>
        </w:rPr>
        <w:t>3</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从投标截止期至投标人在投标函格式中确定的投标有效期期满这段时间内，投标人不得撤回其投标。</w:t>
      </w:r>
    </w:p>
    <w:p>
      <w:pPr>
        <w:keepNext w:val="0"/>
        <w:keepLines w:val="0"/>
        <w:pageBreakBefore w:val="0"/>
        <w:widowControl w:val="0"/>
        <w:tabs>
          <w:tab w:val="left" w:pos="0"/>
        </w:tabs>
        <w:kinsoku/>
        <w:wordWrap/>
        <w:overflowPunct/>
        <w:topLinePunct w:val="0"/>
        <w:autoSpaceDE w:val="0"/>
        <w:autoSpaceDN w:val="0"/>
        <w:bidi w:val="0"/>
        <w:adjustRightInd w:val="0"/>
        <w:spacing w:line="360" w:lineRule="exact"/>
        <w:ind w:firstLine="440" w:firstLineChars="20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b/>
          <w:bCs/>
          <w:kern w:val="0"/>
          <w:sz w:val="22"/>
          <w:szCs w:val="22"/>
          <w:highlight w:val="none"/>
        </w:rPr>
        <w:t>（三）投标文件的有效期</w:t>
      </w:r>
    </w:p>
    <w:p>
      <w:pPr>
        <w:pStyle w:val="6"/>
        <w:keepNext w:val="0"/>
        <w:keepLines w:val="0"/>
        <w:pageBreakBefore w:val="0"/>
        <w:widowControl w:val="0"/>
        <w:numPr>
          <w:ilvl w:val="0"/>
          <w:numId w:val="0"/>
        </w:numPr>
        <w:tabs>
          <w:tab w:val="left" w:pos="0"/>
          <w:tab w:val="clear" w:pos="1070"/>
        </w:tabs>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lang w:val="en-GB"/>
        </w:rPr>
      </w:pPr>
      <w:r>
        <w:rPr>
          <w:rFonts w:hint="eastAsia" w:ascii="微软雅黑" w:hAnsi="微软雅黑" w:eastAsia="微软雅黑" w:cs="微软雅黑"/>
          <w:sz w:val="22"/>
          <w:szCs w:val="22"/>
          <w:highlight w:val="none"/>
          <w:lang w:val="en-GB"/>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lang w:val="en-GB"/>
        </w:rPr>
        <w:t>自投标截止日起90天投标文件应保持有效</w:t>
      </w:r>
      <w:r>
        <w:rPr>
          <w:rFonts w:hint="eastAsia" w:ascii="微软雅黑" w:hAnsi="微软雅黑" w:eastAsia="微软雅黑" w:cs="微软雅黑"/>
          <w:sz w:val="22"/>
          <w:szCs w:val="22"/>
          <w:highlight w:val="none"/>
          <w:lang w:val="en-GB" w:eastAsia="zh-CN"/>
        </w:rPr>
        <w:t>，</w:t>
      </w:r>
      <w:r>
        <w:rPr>
          <w:rFonts w:hint="eastAsia" w:ascii="微软雅黑" w:hAnsi="微软雅黑" w:eastAsia="微软雅黑" w:cs="微软雅黑"/>
          <w:sz w:val="22"/>
          <w:szCs w:val="22"/>
          <w:highlight w:val="none"/>
          <w:lang w:val="en-GB"/>
        </w:rPr>
        <w:t>有效期不足的投标文件将被拒绝。</w:t>
      </w:r>
    </w:p>
    <w:p>
      <w:pPr>
        <w:pStyle w:val="6"/>
        <w:keepNext w:val="0"/>
        <w:keepLines w:val="0"/>
        <w:pageBreakBefore w:val="0"/>
        <w:widowControl w:val="0"/>
        <w:numPr>
          <w:ilvl w:val="0"/>
          <w:numId w:val="0"/>
        </w:numPr>
        <w:tabs>
          <w:tab w:val="left" w:pos="454"/>
          <w:tab w:val="left" w:pos="720"/>
          <w:tab w:val="left" w:pos="1200"/>
        </w:tabs>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lang w:val="en-GB"/>
        </w:rPr>
      </w:pPr>
      <w:r>
        <w:rPr>
          <w:rFonts w:hint="eastAsia" w:ascii="微软雅黑" w:hAnsi="微软雅黑" w:eastAsia="微软雅黑" w:cs="微软雅黑"/>
          <w:sz w:val="22"/>
          <w:szCs w:val="22"/>
          <w:highlight w:val="none"/>
          <w:lang w:val="en-GB"/>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lang w:val="en-GB"/>
        </w:rPr>
        <w:t>在特殊情况下，采购人可与投标人协商延长投标文件的有效期，这种要求和答复均以书面形式进行。</w:t>
      </w:r>
    </w:p>
    <w:p>
      <w:pPr>
        <w:keepNext w:val="0"/>
        <w:keepLines w:val="0"/>
        <w:pageBreakBefore w:val="0"/>
        <w:widowControl w:val="0"/>
        <w:kinsoku/>
        <w:wordWrap/>
        <w:overflowPunct/>
        <w:topLinePunct w:val="0"/>
        <w:bidi w:val="0"/>
        <w:snapToGrid w:val="0"/>
        <w:spacing w:line="360" w:lineRule="exact"/>
        <w:ind w:firstLine="440" w:firstLineChars="200"/>
        <w:jc w:val="left"/>
        <w:textAlignment w:val="auto"/>
        <w:outlineLvl w:val="0"/>
        <w:rPr>
          <w:rFonts w:hint="eastAsia" w:ascii="微软雅黑" w:hAnsi="微软雅黑" w:eastAsia="微软雅黑" w:cs="微软雅黑"/>
          <w:b/>
          <w:bCs/>
          <w:sz w:val="22"/>
          <w:szCs w:val="22"/>
          <w:highlight w:val="none"/>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中标人的投标文件自开标之日起至合同履行完毕均应保持有效。</w:t>
      </w:r>
    </w:p>
    <w:p>
      <w:pPr>
        <w:keepNext w:val="0"/>
        <w:keepLines w:val="0"/>
        <w:pageBreakBefore w:val="0"/>
        <w:kinsoku/>
        <w:wordWrap/>
        <w:overflowPunct/>
        <w:topLinePunct w:val="0"/>
        <w:bidi w:val="0"/>
        <w:snapToGrid w:val="0"/>
        <w:spacing w:line="400" w:lineRule="exact"/>
        <w:jc w:val="center"/>
        <w:textAlignment w:val="auto"/>
        <w:rPr>
          <w:rFonts w:hint="eastAsia" w:ascii="微软雅黑" w:hAnsi="微软雅黑" w:eastAsia="微软雅黑" w:cs="微软雅黑"/>
          <w:b/>
          <w:bCs/>
          <w:sz w:val="28"/>
          <w:szCs w:val="28"/>
          <w:highlight w:val="none"/>
        </w:rPr>
      </w:pPr>
    </w:p>
    <w:p>
      <w:pPr>
        <w:keepNext w:val="0"/>
        <w:keepLines w:val="0"/>
        <w:pageBreakBefore w:val="0"/>
        <w:kinsoku/>
        <w:wordWrap/>
        <w:overflowPunct/>
        <w:topLinePunct w:val="0"/>
        <w:bidi w:val="0"/>
        <w:snapToGrid w:val="0"/>
        <w:spacing w:line="400" w:lineRule="exact"/>
        <w:jc w:val="center"/>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四、开标</w:t>
      </w:r>
    </w:p>
    <w:p>
      <w:pPr>
        <w:keepNext w:val="0"/>
        <w:keepLines w:val="0"/>
        <w:pageBreakBefore w:val="0"/>
        <w:widowControl w:val="0"/>
        <w:kinsoku/>
        <w:wordWrap/>
        <w:overflowPunct/>
        <w:topLinePunct w:val="0"/>
        <w:autoSpaceDE w:val="0"/>
        <w:autoSpaceDN w:val="0"/>
        <w:bidi w:val="0"/>
        <w:adjustRightInd w:val="0"/>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b/>
          <w:bCs/>
          <w:kern w:val="0"/>
          <w:sz w:val="22"/>
          <w:szCs w:val="22"/>
          <w:highlight w:val="none"/>
        </w:rPr>
        <w:t>（一）开标事项</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lang w:val="en-US" w:eastAsia="zh-CN"/>
        </w:rPr>
        <w:t>1.</w:t>
      </w:r>
      <w:r>
        <w:rPr>
          <w:rFonts w:hint="eastAsia" w:ascii="微软雅黑" w:hAnsi="微软雅黑" w:eastAsia="微软雅黑" w:cs="微软雅黑"/>
          <w:snapToGrid w:val="0"/>
          <w:kern w:val="0"/>
          <w:sz w:val="22"/>
          <w:szCs w:val="22"/>
          <w:highlight w:val="none"/>
        </w:rPr>
        <w:t>采购人将于</w:t>
      </w:r>
      <w:r>
        <w:rPr>
          <w:rFonts w:hint="eastAsia" w:ascii="微软雅黑" w:hAnsi="微软雅黑" w:eastAsia="微软雅黑" w:cs="微软雅黑"/>
          <w:snapToGrid w:val="0"/>
          <w:kern w:val="0"/>
          <w:sz w:val="22"/>
          <w:szCs w:val="22"/>
          <w:highlight w:val="none"/>
          <w:lang w:val="en-US" w:eastAsia="zh-CN"/>
        </w:rPr>
        <w:t>招标文件</w:t>
      </w:r>
      <w:r>
        <w:rPr>
          <w:rFonts w:hint="eastAsia" w:ascii="微软雅黑" w:hAnsi="微软雅黑" w:eastAsia="微软雅黑" w:cs="微软雅黑"/>
          <w:snapToGrid w:val="0"/>
          <w:kern w:val="0"/>
          <w:sz w:val="22"/>
          <w:szCs w:val="22"/>
          <w:highlight w:val="none"/>
        </w:rPr>
        <w:t>规定的时间和地点公开开标</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若采购人通过修改采购文件更改了开标时间和地点的，</w:t>
      </w:r>
      <w:r>
        <w:rPr>
          <w:rFonts w:hint="eastAsia" w:ascii="微软雅黑" w:hAnsi="微软雅黑" w:eastAsia="微软雅黑" w:cs="微软雅黑"/>
          <w:snapToGrid w:val="0"/>
          <w:kern w:val="0"/>
          <w:sz w:val="22"/>
          <w:szCs w:val="22"/>
          <w:highlight w:val="none"/>
          <w:shd w:val="clear"/>
          <w:lang w:val="en-US" w:eastAsia="zh-CN"/>
        </w:rPr>
        <w:t>以更改后的版本为准</w:t>
      </w:r>
      <w:r>
        <w:rPr>
          <w:rFonts w:hint="eastAsia" w:ascii="微软雅黑" w:hAnsi="微软雅黑" w:eastAsia="微软雅黑" w:cs="微软雅黑"/>
          <w:snapToGrid w:val="0"/>
          <w:kern w:val="0"/>
          <w:sz w:val="22"/>
          <w:szCs w:val="22"/>
          <w:highlight w:val="none"/>
        </w:rPr>
        <w:t>。</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lang w:val="en-US" w:eastAsia="zh-CN"/>
        </w:rPr>
        <w:t>2.开评标期间，投标人代表应在线操作，并关注政采云有关信息公布、澄清等情况，</w:t>
      </w:r>
      <w:r>
        <w:rPr>
          <w:rFonts w:hint="eastAsia" w:ascii="微软雅黑" w:hAnsi="微软雅黑" w:eastAsia="微软雅黑" w:cs="微软雅黑"/>
          <w:snapToGrid w:val="0"/>
          <w:kern w:val="0"/>
          <w:sz w:val="22"/>
          <w:szCs w:val="22"/>
          <w:highlight w:val="none"/>
        </w:rPr>
        <w:t>投标人代表</w:t>
      </w:r>
      <w:r>
        <w:rPr>
          <w:rFonts w:hint="eastAsia" w:ascii="微软雅黑" w:hAnsi="微软雅黑" w:eastAsia="微软雅黑" w:cs="微软雅黑"/>
          <w:snapToGrid w:val="0"/>
          <w:kern w:val="0"/>
          <w:sz w:val="22"/>
          <w:szCs w:val="22"/>
          <w:highlight w:val="none"/>
          <w:lang w:val="en-US" w:eastAsia="zh-CN"/>
        </w:rPr>
        <w:t>不</w:t>
      </w:r>
      <w:r>
        <w:rPr>
          <w:rFonts w:hint="eastAsia" w:ascii="微软雅黑" w:hAnsi="微软雅黑" w:eastAsia="微软雅黑" w:cs="微软雅黑"/>
          <w:snapToGrid w:val="0"/>
          <w:kern w:val="0"/>
          <w:sz w:val="22"/>
          <w:szCs w:val="22"/>
          <w:highlight w:val="none"/>
        </w:rPr>
        <w:t>参加开标</w:t>
      </w:r>
      <w:r>
        <w:rPr>
          <w:rFonts w:hint="eastAsia" w:ascii="微软雅黑" w:hAnsi="微软雅黑" w:eastAsia="微软雅黑" w:cs="微软雅黑"/>
          <w:snapToGrid w:val="0"/>
          <w:kern w:val="0"/>
          <w:sz w:val="22"/>
          <w:szCs w:val="22"/>
          <w:highlight w:val="none"/>
          <w:lang w:val="en-US" w:eastAsia="zh-CN"/>
        </w:rPr>
        <w:t>程序</w:t>
      </w:r>
      <w:r>
        <w:rPr>
          <w:rFonts w:hint="eastAsia" w:ascii="微软雅黑" w:hAnsi="微软雅黑" w:eastAsia="微软雅黑" w:cs="微软雅黑"/>
          <w:snapToGrid w:val="0"/>
          <w:kern w:val="0"/>
          <w:sz w:val="22"/>
          <w:szCs w:val="22"/>
          <w:highlight w:val="none"/>
        </w:rPr>
        <w:t>的，事后不得对采购相关人员、开标过程和开标结果提出异议。</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napToGrid w:val="0"/>
          <w:kern w:val="0"/>
          <w:sz w:val="22"/>
          <w:szCs w:val="22"/>
          <w:highlight w:val="none"/>
        </w:rPr>
      </w:pPr>
      <w:r>
        <w:rPr>
          <w:rFonts w:hint="eastAsia" w:ascii="微软雅黑" w:hAnsi="微软雅黑" w:eastAsia="微软雅黑" w:cs="微软雅黑"/>
          <w:snapToGrid w:val="0"/>
          <w:kern w:val="0"/>
          <w:sz w:val="22"/>
          <w:szCs w:val="22"/>
          <w:highlight w:val="none"/>
          <w:lang w:val="en-US" w:eastAsia="zh-CN"/>
        </w:rPr>
        <w:t>3.</w:t>
      </w:r>
      <w:r>
        <w:rPr>
          <w:rFonts w:hint="eastAsia" w:ascii="微软雅黑" w:hAnsi="微软雅黑" w:eastAsia="微软雅黑" w:cs="微软雅黑"/>
          <w:snapToGrid w:val="0"/>
          <w:kern w:val="0"/>
          <w:sz w:val="22"/>
          <w:szCs w:val="22"/>
          <w:highlight w:val="none"/>
        </w:rPr>
        <w:t>开标程序</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lang w:val="en-US" w:eastAsia="zh-CN"/>
        </w:rPr>
        <w:t>3.1</w:t>
      </w:r>
      <w:r>
        <w:rPr>
          <w:rFonts w:hint="eastAsia" w:ascii="微软雅黑" w:hAnsi="微软雅黑" w:eastAsia="微软雅黑" w:cs="微软雅黑"/>
          <w:b/>
          <w:bCs/>
          <w:sz w:val="22"/>
          <w:szCs w:val="22"/>
          <w:highlight w:val="none"/>
        </w:rPr>
        <w:t>开标第一阶段</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（1）向各投标</w:t>
      </w:r>
      <w:r>
        <w:rPr>
          <w:rFonts w:hint="eastAsia" w:ascii="微软雅黑" w:hAnsi="微软雅黑" w:eastAsia="微软雅黑" w:cs="微软雅黑"/>
          <w:sz w:val="22"/>
          <w:szCs w:val="22"/>
          <w:highlight w:val="none"/>
          <w:lang w:val="en-US" w:eastAsia="zh-CN"/>
        </w:rPr>
        <w:t>人</w:t>
      </w:r>
      <w:r>
        <w:rPr>
          <w:rFonts w:hint="eastAsia" w:ascii="微软雅黑" w:hAnsi="微软雅黑" w:eastAsia="微软雅黑" w:cs="微软雅黑"/>
          <w:sz w:val="22"/>
          <w:szCs w:val="22"/>
          <w:highlight w:val="none"/>
        </w:rPr>
        <w:t>发出电子加密投标文件【开始解密】通知，由</w:t>
      </w:r>
      <w:r>
        <w:rPr>
          <w:rFonts w:hint="eastAsia" w:ascii="微软雅黑" w:hAnsi="微软雅黑" w:eastAsia="微软雅黑" w:cs="微软雅黑"/>
          <w:sz w:val="22"/>
          <w:szCs w:val="22"/>
          <w:highlight w:val="none"/>
          <w:lang w:val="en-US" w:eastAsia="zh-CN"/>
        </w:rPr>
        <w:t>投标人</w:t>
      </w:r>
      <w:r>
        <w:rPr>
          <w:rFonts w:hint="eastAsia" w:ascii="微软雅黑" w:hAnsi="微软雅黑" w:eastAsia="微软雅黑" w:cs="微软雅黑"/>
          <w:sz w:val="22"/>
          <w:szCs w:val="22"/>
          <w:highlight w:val="none"/>
        </w:rPr>
        <w:t>按招标文件规定的时间内自行进行投标文件解密</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投标</w:t>
      </w:r>
      <w:r>
        <w:rPr>
          <w:rFonts w:hint="eastAsia" w:ascii="微软雅黑" w:hAnsi="微软雅黑" w:eastAsia="微软雅黑" w:cs="微软雅黑"/>
          <w:sz w:val="22"/>
          <w:szCs w:val="22"/>
          <w:highlight w:val="none"/>
          <w:lang w:val="en-US" w:eastAsia="zh-CN"/>
        </w:rPr>
        <w:t>人</w:t>
      </w:r>
      <w:r>
        <w:rPr>
          <w:rFonts w:hint="eastAsia" w:ascii="微软雅黑" w:hAnsi="微软雅黑" w:eastAsia="微软雅黑" w:cs="微软雅黑"/>
          <w:sz w:val="22"/>
          <w:szCs w:val="22"/>
          <w:highlight w:val="none"/>
        </w:rPr>
        <w:t>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rPr>
        <w:t>（2）投标文件解密结束，通过邮件形式发送各投标人组织签署《政府采购活动现场确认声明书》；</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（3）开启投标文件，进入资格审查；</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（4）开启资格审查通过的投标供应商的商务技术文件进入符合性审查、商务技术评审；</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（5）第一阶段开标结束。</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备注：开标</w:t>
      </w:r>
      <w:r>
        <w:rPr>
          <w:rFonts w:hint="eastAsia" w:ascii="微软雅黑" w:hAnsi="微软雅黑" w:eastAsia="微软雅黑" w:cs="微软雅黑"/>
          <w:sz w:val="22"/>
          <w:szCs w:val="22"/>
          <w:highlight w:val="none"/>
          <w:lang w:val="en-US" w:eastAsia="zh-CN"/>
        </w:rPr>
        <w:t>程序</w:t>
      </w:r>
      <w:r>
        <w:rPr>
          <w:rFonts w:hint="eastAsia" w:ascii="微软雅黑" w:hAnsi="微软雅黑" w:eastAsia="微软雅黑" w:cs="微软雅黑"/>
          <w:sz w:val="22"/>
          <w:szCs w:val="22"/>
          <w:highlight w:val="none"/>
        </w:rPr>
        <w:t>的第一阶段结束后，采购人或采购代理机构将对依法对投标供应商的资格进行审查，资格审查结束后进入符合性审查和商务技术的评审工作。</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b/>
          <w:bCs/>
          <w:sz w:val="22"/>
          <w:szCs w:val="22"/>
          <w:highlight w:val="none"/>
          <w:lang w:val="en-US" w:eastAsia="zh-CN"/>
        </w:rPr>
        <w:t>3.2</w:t>
      </w:r>
      <w:r>
        <w:rPr>
          <w:rFonts w:hint="eastAsia" w:ascii="微软雅黑" w:hAnsi="微软雅黑" w:eastAsia="微软雅黑" w:cs="微软雅黑"/>
          <w:b/>
          <w:bCs/>
          <w:sz w:val="22"/>
          <w:szCs w:val="22"/>
          <w:highlight w:val="none"/>
        </w:rPr>
        <w:t>开标第二阶段</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（1）符合性审查、商务技术评审结束后，举行开标</w:t>
      </w:r>
      <w:r>
        <w:rPr>
          <w:rFonts w:hint="eastAsia" w:ascii="微软雅黑" w:hAnsi="微软雅黑" w:eastAsia="微软雅黑" w:cs="微软雅黑"/>
          <w:sz w:val="22"/>
          <w:szCs w:val="22"/>
          <w:highlight w:val="none"/>
          <w:lang w:val="en-US" w:eastAsia="zh-CN"/>
        </w:rPr>
        <w:t>程序</w:t>
      </w:r>
      <w:r>
        <w:rPr>
          <w:rFonts w:hint="eastAsia" w:ascii="微软雅黑" w:hAnsi="微软雅黑" w:eastAsia="微软雅黑" w:cs="微软雅黑"/>
          <w:sz w:val="22"/>
          <w:szCs w:val="22"/>
          <w:highlight w:val="none"/>
        </w:rPr>
        <w:t>第二阶段会议</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首先通过发送邮件形式公布符合性审查、商务技术评审无效供应商名称及理由；公布经商务技术评审后有效投标</w:t>
      </w:r>
      <w:r>
        <w:rPr>
          <w:rFonts w:hint="eastAsia" w:ascii="微软雅黑" w:hAnsi="微软雅黑" w:eastAsia="微软雅黑" w:cs="微软雅黑"/>
          <w:sz w:val="22"/>
          <w:szCs w:val="22"/>
          <w:highlight w:val="none"/>
          <w:lang w:val="en-US" w:eastAsia="zh-CN"/>
        </w:rPr>
        <w:t>人</w:t>
      </w:r>
      <w:r>
        <w:rPr>
          <w:rFonts w:hint="eastAsia" w:ascii="微软雅黑" w:hAnsi="微软雅黑" w:eastAsia="微软雅黑" w:cs="微软雅黑"/>
          <w:sz w:val="22"/>
          <w:szCs w:val="22"/>
          <w:highlight w:val="none"/>
        </w:rPr>
        <w:t>的名单，同时公布其商务技术部分得分情况。</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（2）开启符合性审查、商务技术评审有效投标</w:t>
      </w:r>
      <w:r>
        <w:rPr>
          <w:rFonts w:hint="eastAsia" w:ascii="微软雅黑" w:hAnsi="微软雅黑" w:eastAsia="微软雅黑" w:cs="微软雅黑"/>
          <w:sz w:val="22"/>
          <w:szCs w:val="22"/>
          <w:highlight w:val="none"/>
          <w:lang w:val="en-US" w:eastAsia="zh-CN"/>
        </w:rPr>
        <w:t>人</w:t>
      </w:r>
      <w:r>
        <w:rPr>
          <w:rFonts w:hint="eastAsia" w:ascii="微软雅黑" w:hAnsi="微软雅黑" w:eastAsia="微软雅黑" w:cs="微软雅黑"/>
          <w:sz w:val="22"/>
          <w:szCs w:val="22"/>
          <w:highlight w:val="none"/>
        </w:rPr>
        <w:t>的《</w:t>
      </w:r>
      <w:r>
        <w:rPr>
          <w:rFonts w:hint="eastAsia" w:ascii="微软雅黑" w:hAnsi="微软雅黑" w:eastAsia="微软雅黑" w:cs="微软雅黑"/>
          <w:sz w:val="22"/>
          <w:szCs w:val="22"/>
          <w:highlight w:val="none"/>
          <w:lang w:eastAsia="zh-CN"/>
        </w:rPr>
        <w:t>报价响应文件</w:t>
      </w:r>
      <w:r>
        <w:rPr>
          <w:rFonts w:hint="eastAsia" w:ascii="微软雅黑" w:hAnsi="微软雅黑" w:eastAsia="微软雅黑" w:cs="微软雅黑"/>
          <w:sz w:val="22"/>
          <w:szCs w:val="22"/>
          <w:highlight w:val="none"/>
        </w:rPr>
        <w:t>》，通过发送邮件形式公布开标一览表有关内容，同时当场制作开标记录表，供应商通过发送邮件形式签字确认（不予确认的应说明理由，否则视为无异议）。</w:t>
      </w:r>
      <w:r>
        <w:rPr>
          <w:rFonts w:hint="eastAsia" w:ascii="微软雅黑" w:hAnsi="微软雅黑" w:eastAsia="微软雅黑" w:cs="微软雅黑"/>
          <w:sz w:val="22"/>
          <w:szCs w:val="22"/>
          <w:highlight w:val="none"/>
          <w:lang w:val="en-US" w:eastAsia="zh-CN"/>
        </w:rPr>
        <w:t>报价响应文件开标</w:t>
      </w:r>
      <w:r>
        <w:rPr>
          <w:rFonts w:hint="eastAsia" w:ascii="微软雅黑" w:hAnsi="微软雅黑" w:eastAsia="微软雅黑" w:cs="微软雅黑"/>
          <w:sz w:val="22"/>
          <w:szCs w:val="22"/>
          <w:highlight w:val="none"/>
        </w:rPr>
        <w:t>结束后，由评标委员会对报价的合理性、准确性等进行审查核实。</w:t>
      </w:r>
    </w:p>
    <w:p>
      <w:pPr>
        <w:keepNext w:val="0"/>
        <w:keepLines w:val="0"/>
        <w:pageBreakBefore w:val="0"/>
        <w:widowControl w:val="0"/>
        <w:kinsoku/>
        <w:wordWrap/>
        <w:overflowPunct/>
        <w:topLinePunct w:val="0"/>
        <w:bidi w:val="0"/>
        <w:adjustRightInd w:val="0"/>
        <w:snapToGrid w:val="0"/>
        <w:spacing w:line="360" w:lineRule="exact"/>
        <w:ind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（3）评审结束后，通过发送邮件形式公布中标（成交）候选供应商名单，及采购人最终确定中标或成交供应商名单的时间和公告方式等。</w:t>
      </w:r>
    </w:p>
    <w:p>
      <w:pPr>
        <w:keepNext w:val="0"/>
        <w:keepLines w:val="0"/>
        <w:pageBreakBefore w:val="0"/>
        <w:widowControl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lang w:val="en-US" w:eastAsia="zh-CN"/>
        </w:rPr>
        <w:t>4.</w:t>
      </w:r>
      <w:r>
        <w:rPr>
          <w:rFonts w:hint="eastAsia" w:ascii="微软雅黑" w:hAnsi="微软雅黑" w:eastAsia="微软雅黑" w:cs="微软雅黑"/>
          <w:sz w:val="22"/>
          <w:szCs w:val="22"/>
          <w:highlight w:val="none"/>
        </w:rPr>
        <w:t>如遇“政府采购云平台”电子化开标或评审程序调整的，</w:t>
      </w:r>
      <w:r>
        <w:rPr>
          <w:rFonts w:hint="eastAsia" w:ascii="微软雅黑" w:hAnsi="微软雅黑" w:eastAsia="微软雅黑" w:cs="微软雅黑"/>
          <w:sz w:val="22"/>
          <w:szCs w:val="22"/>
          <w:highlight w:val="none"/>
          <w:lang w:val="en-US" w:eastAsia="zh-CN"/>
        </w:rPr>
        <w:t>或者政采云系统提供数据电文交互功能的，按其规定</w:t>
      </w:r>
      <w:r>
        <w:rPr>
          <w:rFonts w:hint="eastAsia" w:ascii="微软雅黑" w:hAnsi="微软雅黑" w:eastAsia="微软雅黑" w:cs="微软雅黑"/>
          <w:sz w:val="22"/>
          <w:szCs w:val="22"/>
          <w:highlight w:val="none"/>
        </w:rPr>
        <w:t>执行。</w:t>
      </w:r>
    </w:p>
    <w:p>
      <w:pPr>
        <w:pStyle w:val="12"/>
        <w:keepNext w:val="0"/>
        <w:keepLines w:val="0"/>
        <w:pageBreakBefore w:val="0"/>
        <w:kinsoku/>
        <w:wordWrap/>
        <w:overflowPunct/>
        <w:topLinePunct w:val="0"/>
        <w:bidi w:val="0"/>
        <w:snapToGrid w:val="0"/>
        <w:spacing w:line="400" w:lineRule="exact"/>
        <w:jc w:val="center"/>
        <w:textAlignment w:val="auto"/>
        <w:outlineLvl w:val="1"/>
        <w:rPr>
          <w:rFonts w:hint="eastAsia" w:ascii="微软雅黑" w:hAnsi="微软雅黑" w:eastAsia="微软雅黑" w:cs="微软雅黑"/>
          <w:b/>
          <w:bCs/>
          <w:sz w:val="28"/>
          <w:szCs w:val="28"/>
          <w:highlight w:val="none"/>
        </w:rPr>
      </w:pPr>
    </w:p>
    <w:p>
      <w:pPr>
        <w:pStyle w:val="12"/>
        <w:keepNext w:val="0"/>
        <w:keepLines w:val="0"/>
        <w:pageBreakBefore w:val="0"/>
        <w:kinsoku/>
        <w:wordWrap/>
        <w:overflowPunct/>
        <w:topLinePunct w:val="0"/>
        <w:bidi w:val="0"/>
        <w:snapToGrid w:val="0"/>
        <w:spacing w:line="400" w:lineRule="exact"/>
        <w:jc w:val="center"/>
        <w:textAlignment w:val="auto"/>
        <w:outlineLvl w:val="1"/>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五、评标</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（一）组建评标委员会</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评标委员会由采购人依法组建。</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（二）评标程序</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投标文件初审</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初审分为资格性</w:t>
      </w:r>
      <w:r>
        <w:rPr>
          <w:rFonts w:hint="eastAsia" w:ascii="微软雅黑" w:hAnsi="微软雅黑" w:eastAsia="微软雅黑" w:cs="微软雅黑"/>
          <w:sz w:val="22"/>
          <w:szCs w:val="22"/>
          <w:highlight w:val="none"/>
          <w:lang w:val="en-US" w:eastAsia="zh-CN"/>
        </w:rPr>
        <w:t>审查</w:t>
      </w:r>
      <w:r>
        <w:rPr>
          <w:rFonts w:hint="eastAsia" w:ascii="微软雅黑" w:hAnsi="微软雅黑" w:eastAsia="微软雅黑" w:cs="微软雅黑"/>
          <w:sz w:val="22"/>
          <w:szCs w:val="22"/>
          <w:highlight w:val="none"/>
        </w:rPr>
        <w:t>和符合性</w:t>
      </w:r>
      <w:r>
        <w:rPr>
          <w:rFonts w:hint="eastAsia" w:ascii="微软雅黑" w:hAnsi="微软雅黑" w:eastAsia="微软雅黑" w:cs="微软雅黑"/>
          <w:sz w:val="22"/>
          <w:szCs w:val="22"/>
          <w:highlight w:val="none"/>
          <w:lang w:val="en-US" w:eastAsia="zh-CN"/>
        </w:rPr>
        <w:t>审查</w:t>
      </w:r>
      <w:r>
        <w:rPr>
          <w:rFonts w:hint="eastAsia" w:ascii="微软雅黑" w:hAnsi="微软雅黑" w:eastAsia="微软雅黑" w:cs="微软雅黑"/>
          <w:sz w:val="22"/>
          <w:szCs w:val="22"/>
          <w:highlight w:val="none"/>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资格性</w:t>
      </w:r>
      <w:r>
        <w:rPr>
          <w:rFonts w:hint="eastAsia" w:ascii="微软雅黑" w:hAnsi="微软雅黑" w:eastAsia="微软雅黑" w:cs="微软雅黑"/>
          <w:sz w:val="22"/>
          <w:szCs w:val="22"/>
          <w:highlight w:val="none"/>
          <w:lang w:val="en-US" w:eastAsia="zh-CN"/>
        </w:rPr>
        <w:t>审查</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napToGrid w:val="0"/>
          <w:kern w:val="0"/>
          <w:sz w:val="22"/>
          <w:szCs w:val="22"/>
          <w:highlight w:val="none"/>
        </w:rPr>
        <w:t>开标后，采购人或采购代理机构将对投标人的基本资格条件、特定资格条件进行审查</w:t>
      </w:r>
      <w:r>
        <w:rPr>
          <w:rFonts w:hint="eastAsia" w:ascii="微软雅黑" w:hAnsi="微软雅黑" w:eastAsia="微软雅黑" w:cs="微软雅黑"/>
          <w:snapToGrid w:val="0"/>
          <w:kern w:val="0"/>
          <w:sz w:val="22"/>
          <w:szCs w:val="22"/>
          <w:highlight w:val="none"/>
          <w:lang w:eastAsia="zh-CN"/>
        </w:rPr>
        <w:t>；</w:t>
      </w:r>
      <w:r>
        <w:rPr>
          <w:rFonts w:hint="eastAsia" w:ascii="微软雅黑" w:hAnsi="微软雅黑" w:eastAsia="微软雅黑" w:cs="微软雅黑"/>
          <w:snapToGrid w:val="0"/>
          <w:kern w:val="0"/>
          <w:sz w:val="22"/>
          <w:szCs w:val="22"/>
          <w:highlight w:val="none"/>
        </w:rPr>
        <w:t>投标人未按照采购文件要求提供与基本资格条件、特定资格条件相应的有效资格证明材料的，视为投标人不具备采购文件中规定的资格要求，其资格审查不通过。</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符合性</w:t>
      </w:r>
      <w:r>
        <w:rPr>
          <w:rFonts w:hint="eastAsia" w:ascii="微软雅黑" w:hAnsi="微软雅黑" w:eastAsia="微软雅黑" w:cs="微软雅黑"/>
          <w:sz w:val="22"/>
          <w:szCs w:val="22"/>
          <w:highlight w:val="none"/>
          <w:lang w:val="en-US" w:eastAsia="zh-CN"/>
        </w:rPr>
        <w:t>审查</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依据采购文件的规定，从投标文件的有效性、完整性和对采购文件的响应程度进行审查，以确定是否对采购文件的实质性要求作出响应</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评标委员会决定投标文件的响应性只根据投标文件本身的内容，而不寻求外部证据</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如果投标文件没有实质上响应采购文件的要求，评标委员会将判定无效，投标人不得通过修改或撤销不合要求的偏离或保留而使其投标成为实质性响应的投标。</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澄清有关问题</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在评标期间，对投标文件中含义不明确、同类问题表述不一致或者有明显文字和计算错误的内容，评标委员会可以书面形式</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lang w:val="en-US" w:eastAsia="zh-CN"/>
        </w:rPr>
        <w:t>或有效电子数据电文</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要求投标人作出必要的澄清、说明或者纠正</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投标人的澄清、说明或者补正不得超出投标文件的范围或者改变投标文件的实质性内容</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投标供应商的澄清、说明或者补正应当由法定代表人或其授权的代表签字</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lang w:val="en-US" w:eastAsia="zh-CN"/>
        </w:rPr>
        <w:t>或加盖公章</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lang w:val="en-US" w:eastAsia="zh-CN"/>
        </w:rPr>
        <w:t>后扫描上传提交。</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授权代表对澄清、说明或者补正内容未签字确认的，将自行承担由此可能导致的对其不利的评审结果，评标委员会按少数服从多数原则对相关内容进行评判。</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除邮件交互外，如政采云平台提供信息发布、澄清说明、数据交换等操作方式的，或者政采云系统平台有新的操作流程的，按其规定。</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lang w:val="en-US" w:eastAsia="zh-CN"/>
        </w:rPr>
        <w:t>3.</w:t>
      </w:r>
      <w:r>
        <w:rPr>
          <w:rFonts w:hint="eastAsia" w:ascii="微软雅黑" w:hAnsi="微软雅黑" w:eastAsia="微软雅黑" w:cs="微软雅黑"/>
          <w:sz w:val="22"/>
          <w:szCs w:val="22"/>
          <w:highlight w:val="none"/>
        </w:rPr>
        <w:t>修正原则</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投标文件报价出现前后不一致的，按照下列规定修正：</w:t>
      </w:r>
    </w:p>
    <w:p>
      <w:pPr>
        <w:keepNext w:val="0"/>
        <w:keepLines w:val="0"/>
        <w:pageBreakBefore w:val="0"/>
        <w:widowControl w:val="0"/>
        <w:numPr>
          <w:ilvl w:val="0"/>
          <w:numId w:val="9"/>
        </w:numPr>
        <w:tabs>
          <w:tab w:val="left" w:pos="630"/>
          <w:tab w:val="left" w:pos="840"/>
          <w:tab w:val="left" w:pos="1050"/>
        </w:tabs>
        <w:kinsoku/>
        <w:wordWrap/>
        <w:overflowPunct/>
        <w:topLinePunct w:val="0"/>
        <w:autoSpaceDE/>
        <w:autoSpaceDN/>
        <w:bidi w:val="0"/>
        <w:adjustRightInd w:val="0"/>
        <w:snapToGrid w:val="0"/>
        <w:spacing w:line="360" w:lineRule="exact"/>
        <w:ind w:left="0" w:firstLine="635"/>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投标文件中开标一览表(报价表)内容与投标文件中相应内容不一致的，以开标一览表(报价表)为准；</w:t>
      </w:r>
    </w:p>
    <w:p>
      <w:pPr>
        <w:keepNext w:val="0"/>
        <w:keepLines w:val="0"/>
        <w:pageBreakBefore w:val="0"/>
        <w:widowControl w:val="0"/>
        <w:numPr>
          <w:ilvl w:val="0"/>
          <w:numId w:val="9"/>
        </w:numPr>
        <w:tabs>
          <w:tab w:val="left" w:pos="630"/>
          <w:tab w:val="left" w:pos="840"/>
          <w:tab w:val="left" w:pos="1050"/>
        </w:tabs>
        <w:kinsoku/>
        <w:wordWrap/>
        <w:overflowPunct/>
        <w:topLinePunct w:val="0"/>
        <w:autoSpaceDE/>
        <w:autoSpaceDN/>
        <w:bidi w:val="0"/>
        <w:adjustRightInd w:val="0"/>
        <w:snapToGrid w:val="0"/>
        <w:spacing w:line="360" w:lineRule="exact"/>
        <w:ind w:left="0" w:firstLine="635"/>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大写金额和小写金额不一致的，以大写金额为准；</w:t>
      </w:r>
    </w:p>
    <w:p>
      <w:pPr>
        <w:keepNext w:val="0"/>
        <w:keepLines w:val="0"/>
        <w:pageBreakBefore w:val="0"/>
        <w:widowControl w:val="0"/>
        <w:numPr>
          <w:ilvl w:val="0"/>
          <w:numId w:val="9"/>
        </w:numPr>
        <w:tabs>
          <w:tab w:val="left" w:pos="630"/>
          <w:tab w:val="left" w:pos="840"/>
          <w:tab w:val="left" w:pos="1050"/>
        </w:tabs>
        <w:kinsoku/>
        <w:wordWrap/>
        <w:overflowPunct/>
        <w:topLinePunct w:val="0"/>
        <w:autoSpaceDE/>
        <w:autoSpaceDN/>
        <w:bidi w:val="0"/>
        <w:adjustRightInd w:val="0"/>
        <w:snapToGrid w:val="0"/>
        <w:spacing w:line="360" w:lineRule="exact"/>
        <w:ind w:left="0" w:firstLine="635"/>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单价金额小数点或者百分比有明显错位的，以开标一览表的总价为准，并修改单价；</w:t>
      </w:r>
    </w:p>
    <w:p>
      <w:pPr>
        <w:keepNext w:val="0"/>
        <w:keepLines w:val="0"/>
        <w:pageBreakBefore w:val="0"/>
        <w:widowControl w:val="0"/>
        <w:numPr>
          <w:ilvl w:val="0"/>
          <w:numId w:val="9"/>
        </w:numPr>
        <w:tabs>
          <w:tab w:val="left" w:pos="630"/>
          <w:tab w:val="left" w:pos="840"/>
          <w:tab w:val="left" w:pos="1050"/>
        </w:tabs>
        <w:kinsoku/>
        <w:wordWrap/>
        <w:overflowPunct/>
        <w:topLinePunct w:val="0"/>
        <w:autoSpaceDE/>
        <w:autoSpaceDN/>
        <w:bidi w:val="0"/>
        <w:adjustRightInd w:val="0"/>
        <w:snapToGrid w:val="0"/>
        <w:spacing w:line="360" w:lineRule="exact"/>
        <w:ind w:left="0" w:firstLine="635"/>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同时出现两种以上不一致的，按照前款规定的顺序修正</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修正后的报价按照财政部公布第87号令 《政府采购货物和服务招标投标管理办法》第五十一条第二款的规定经投标人确认后产生约束力，投标人不确认的，其投标无效。</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lang w:val="en-US" w:eastAsia="zh-CN"/>
        </w:rPr>
        <w:t>4.</w:t>
      </w:r>
      <w:r>
        <w:rPr>
          <w:rFonts w:hint="eastAsia" w:ascii="微软雅黑" w:hAnsi="微软雅黑" w:eastAsia="微软雅黑" w:cs="微软雅黑"/>
          <w:sz w:val="22"/>
          <w:szCs w:val="22"/>
          <w:highlight w:val="none"/>
        </w:rPr>
        <w:t>比较与评价</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按采购文件中规定的评标方法和标准，对资格性检查和符合性检查合格的投标文件进行商务和技术评估，综合比较与评价</w:t>
      </w:r>
      <w:r>
        <w:rPr>
          <w:rFonts w:hint="eastAsia" w:ascii="微软雅黑" w:hAnsi="微软雅黑" w:eastAsia="微软雅黑" w:cs="微软雅黑"/>
          <w:sz w:val="22"/>
          <w:szCs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lang w:val="en-US" w:eastAsia="zh-CN"/>
        </w:rPr>
        <w:t>5.</w:t>
      </w:r>
      <w:r>
        <w:rPr>
          <w:rFonts w:hint="eastAsia" w:ascii="微软雅黑" w:hAnsi="微软雅黑" w:eastAsia="微软雅黑" w:cs="微软雅黑"/>
          <w:sz w:val="22"/>
          <w:szCs w:val="22"/>
          <w:highlight w:val="none"/>
        </w:rPr>
        <w:t>按采购文件中规定的评标方法和标准</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lang w:val="en-US" w:eastAsia="zh-CN"/>
        </w:rPr>
        <w:t>对投标人进行排序，并</w:t>
      </w:r>
      <w:r>
        <w:rPr>
          <w:rFonts w:hint="eastAsia" w:ascii="微软雅黑" w:hAnsi="微软雅黑" w:eastAsia="微软雅黑" w:cs="微软雅黑"/>
          <w:sz w:val="22"/>
          <w:szCs w:val="22"/>
          <w:highlight w:val="none"/>
        </w:rPr>
        <w:t>推荐中标候选人。</w:t>
      </w:r>
    </w:p>
    <w:p>
      <w:pPr>
        <w:keepNext w:val="0"/>
        <w:keepLines w:val="0"/>
        <w:pageBreakBefore w:val="0"/>
        <w:widowControl w:val="0"/>
        <w:kinsoku/>
        <w:wordWrap/>
        <w:overflowPunct/>
        <w:topLinePunct w:val="0"/>
        <w:autoSpaceDE/>
        <w:autoSpaceDN/>
        <w:bidi w:val="0"/>
        <w:snapToGrid w:val="0"/>
        <w:spacing w:line="360" w:lineRule="exact"/>
        <w:ind w:left="0"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sz w:val="22"/>
          <w:szCs w:val="22"/>
          <w:highlight w:val="none"/>
          <w:lang w:val="en-US" w:eastAsia="zh-CN"/>
        </w:rPr>
        <w:t>6.</w:t>
      </w:r>
      <w:r>
        <w:rPr>
          <w:rFonts w:hint="eastAsia" w:ascii="微软雅黑" w:hAnsi="微软雅黑" w:eastAsia="微软雅黑" w:cs="微软雅黑"/>
          <w:sz w:val="22"/>
          <w:szCs w:val="22"/>
          <w:highlight w:val="none"/>
        </w:rPr>
        <w:t>编写评标报告</w:t>
      </w:r>
      <w:r>
        <w:rPr>
          <w:rFonts w:hint="eastAsia" w:ascii="微软雅黑" w:hAnsi="微软雅黑" w:eastAsia="微软雅黑" w:cs="微软雅黑"/>
          <w:b/>
          <w:sz w:val="22"/>
          <w:szCs w:val="22"/>
          <w:highlight w:val="none"/>
        </w:rPr>
        <w:t>。</w:t>
      </w:r>
    </w:p>
    <w:p>
      <w:pPr>
        <w:keepNext w:val="0"/>
        <w:keepLines w:val="0"/>
        <w:pageBreakBefore w:val="0"/>
        <w:numPr>
          <w:ilvl w:val="255"/>
          <w:numId w:val="0"/>
        </w:numPr>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b/>
          <w:bCs/>
          <w:kern w:val="0"/>
          <w:sz w:val="22"/>
          <w:szCs w:val="22"/>
          <w:highlight w:val="none"/>
          <w:lang w:val="en-US" w:eastAsia="zh-CN"/>
        </w:rPr>
        <w:t>7.</w:t>
      </w:r>
      <w:r>
        <w:rPr>
          <w:rFonts w:hint="eastAsia" w:ascii="微软雅黑" w:hAnsi="微软雅黑" w:eastAsia="微软雅黑" w:cs="微软雅黑"/>
          <w:b/>
          <w:bCs/>
          <w:kern w:val="0"/>
          <w:sz w:val="22"/>
          <w:szCs w:val="22"/>
          <w:highlight w:val="none"/>
        </w:rPr>
        <w:t>评价</w:t>
      </w:r>
    </w:p>
    <w:p>
      <w:pPr>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sz w:val="22"/>
          <w:szCs w:val="22"/>
          <w:highlight w:val="none"/>
        </w:rPr>
        <w:t>采购代理机构对评标委员会评审专家进行评价。</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w:t>
      </w:r>
      <w:r>
        <w:rPr>
          <w:rFonts w:hint="eastAsia" w:ascii="微软雅黑" w:hAnsi="微软雅黑" w:eastAsia="微软雅黑" w:cs="微软雅黑"/>
          <w:b/>
          <w:bCs/>
          <w:sz w:val="22"/>
          <w:szCs w:val="22"/>
          <w:highlight w:val="none"/>
          <w:lang w:val="en-US" w:eastAsia="zh-CN"/>
        </w:rPr>
        <w:t>三</w:t>
      </w:r>
      <w:r>
        <w:rPr>
          <w:rFonts w:hint="eastAsia" w:ascii="微软雅黑" w:hAnsi="微软雅黑" w:eastAsia="微软雅黑" w:cs="微软雅黑"/>
          <w:b/>
          <w:bCs/>
          <w:sz w:val="22"/>
          <w:szCs w:val="22"/>
          <w:highlight w:val="none"/>
        </w:rPr>
        <w:t>）投标人存在下列情况之一的，投标无效</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1</w:t>
      </w:r>
      <w:r>
        <w:rPr>
          <w:rFonts w:hint="eastAsia" w:ascii="微软雅黑" w:hAnsi="微软雅黑" w:eastAsia="微软雅黑" w:cs="微软雅黑"/>
          <w:color w:val="auto"/>
          <w:highlight w:val="none"/>
          <w:lang w:val="en-US" w:eastAsia="zh-CN"/>
        </w:rPr>
        <w:t xml:space="preserve">. </w:t>
      </w:r>
      <w:r>
        <w:rPr>
          <w:rFonts w:hint="eastAsia" w:ascii="微软雅黑" w:hAnsi="微软雅黑" w:eastAsia="微软雅黑" w:cs="微软雅黑"/>
          <w:color w:val="auto"/>
          <w:highlight w:val="none"/>
          <w:lang w:eastAsia="zh-CN"/>
        </w:rPr>
        <w:t>未按时上传电子投标文件</w:t>
      </w:r>
      <w:r>
        <w:rPr>
          <w:rFonts w:hint="eastAsia" w:ascii="微软雅黑" w:hAnsi="微软雅黑" w:eastAsia="微软雅黑" w:cs="微软雅黑"/>
          <w:color w:val="auto"/>
          <w:highlight w:val="none"/>
          <w:lang w:val="en-US" w:eastAsia="zh-CN"/>
        </w:rPr>
        <w:t>的；</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2. </w:t>
      </w:r>
      <w:r>
        <w:rPr>
          <w:rFonts w:hint="eastAsia" w:ascii="微软雅黑" w:hAnsi="微软雅黑" w:eastAsia="微软雅黑" w:cs="微软雅黑"/>
          <w:color w:val="auto"/>
          <w:highlight w:val="none"/>
          <w:lang w:eastAsia="zh-CN"/>
        </w:rPr>
        <w:t>未按时解密电子投标文件的</w:t>
      </w:r>
      <w:r>
        <w:rPr>
          <w:rFonts w:hint="eastAsia" w:ascii="微软雅黑" w:hAnsi="微软雅黑" w:eastAsia="微软雅黑" w:cs="微软雅黑"/>
          <w:color w:val="auto"/>
          <w:highlight w:val="none"/>
          <w:lang w:val="en-US" w:eastAsia="zh-CN"/>
        </w:rPr>
        <w:t>且未提供备份投标文件或</w:t>
      </w:r>
      <w:r>
        <w:rPr>
          <w:rFonts w:hint="eastAsia" w:ascii="微软雅黑" w:hAnsi="微软雅黑" w:eastAsia="微软雅黑" w:cs="微软雅黑"/>
          <w:color w:val="auto"/>
          <w:highlight w:val="none"/>
          <w:lang w:eastAsia="zh-CN"/>
        </w:rPr>
        <w:t>未按时解密电子投标文件的</w:t>
      </w:r>
      <w:r>
        <w:rPr>
          <w:rFonts w:hint="eastAsia" w:ascii="微软雅黑" w:hAnsi="微软雅黑" w:eastAsia="微软雅黑" w:cs="微软雅黑"/>
          <w:color w:val="auto"/>
          <w:highlight w:val="none"/>
          <w:lang w:val="en-US" w:eastAsia="zh-CN"/>
        </w:rPr>
        <w:t>且提供的备份投标文件无法打开的</w:t>
      </w:r>
      <w:r>
        <w:rPr>
          <w:rFonts w:hint="eastAsia" w:ascii="微软雅黑" w:hAnsi="微软雅黑" w:eastAsia="微软雅黑" w:cs="微软雅黑"/>
          <w:color w:val="auto"/>
          <w:highlight w:val="none"/>
        </w:rPr>
        <w:t>；</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3. </w:t>
      </w:r>
      <w:r>
        <w:rPr>
          <w:rFonts w:hint="eastAsia" w:ascii="微软雅黑" w:hAnsi="微软雅黑" w:eastAsia="微软雅黑" w:cs="微软雅黑"/>
          <w:color w:val="auto"/>
          <w:highlight w:val="none"/>
        </w:rPr>
        <w:t>在资格证明文件或商务技术文件中出现投标报价的；</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4. </w:t>
      </w:r>
      <w:r>
        <w:rPr>
          <w:rFonts w:hint="eastAsia" w:ascii="微软雅黑" w:hAnsi="微软雅黑" w:eastAsia="微软雅黑" w:cs="微软雅黑"/>
          <w:color w:val="auto"/>
          <w:highlight w:val="none"/>
        </w:rPr>
        <w:t>报价文件中报价的货物跟商务技术文件中的投标货物出现重大偏差的；</w:t>
      </w:r>
    </w:p>
    <w:p>
      <w:pPr>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lang w:val="en-US" w:eastAsia="zh-CN"/>
        </w:rPr>
        <w:t xml:space="preserve">5. </w:t>
      </w:r>
      <w:r>
        <w:rPr>
          <w:rFonts w:hint="eastAsia" w:ascii="微软雅黑" w:hAnsi="微软雅黑" w:eastAsia="微软雅黑" w:cs="微软雅黑"/>
          <w:color w:val="auto"/>
          <w:kern w:val="0"/>
          <w:sz w:val="24"/>
          <w:szCs w:val="24"/>
          <w:highlight w:val="none"/>
        </w:rPr>
        <w:t>不具备招标文件中规定的资格要求的</w:t>
      </w:r>
      <w:r>
        <w:rPr>
          <w:rFonts w:hint="eastAsia" w:ascii="微软雅黑" w:hAnsi="微软雅黑" w:eastAsia="微软雅黑" w:cs="微软雅黑"/>
          <w:color w:val="auto"/>
          <w:kern w:val="0"/>
          <w:sz w:val="24"/>
          <w:szCs w:val="24"/>
          <w:highlight w:val="none"/>
          <w:lang w:val="en-US" w:eastAsia="zh-CN"/>
        </w:rPr>
        <w:t>或资格证明文件提供不齐全的</w:t>
      </w:r>
      <w:r>
        <w:rPr>
          <w:rFonts w:hint="eastAsia" w:ascii="微软雅黑" w:hAnsi="微软雅黑" w:eastAsia="微软雅黑" w:cs="微软雅黑"/>
          <w:color w:val="auto"/>
          <w:kern w:val="0"/>
          <w:sz w:val="24"/>
          <w:szCs w:val="24"/>
          <w:highlight w:val="none"/>
        </w:rPr>
        <w:t>；</w:t>
      </w:r>
    </w:p>
    <w:p>
      <w:pPr>
        <w:pStyle w:val="19"/>
        <w:tabs>
          <w:tab w:val="left" w:pos="7380"/>
        </w:tabs>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kern w:val="0"/>
          <w:sz w:val="24"/>
          <w:szCs w:val="24"/>
          <w:highlight w:val="none"/>
          <w:lang w:val="en-US" w:eastAsia="zh-CN"/>
        </w:rPr>
      </w:pPr>
      <w:r>
        <w:rPr>
          <w:rFonts w:hint="eastAsia" w:ascii="微软雅黑" w:hAnsi="微软雅黑" w:eastAsia="微软雅黑" w:cs="微软雅黑"/>
          <w:color w:val="auto"/>
          <w:kern w:val="0"/>
          <w:sz w:val="24"/>
          <w:szCs w:val="24"/>
          <w:highlight w:val="none"/>
          <w:lang w:val="en-US" w:eastAsia="zh-CN"/>
        </w:rPr>
        <w:t xml:space="preserve">6. </w:t>
      </w:r>
      <w:r>
        <w:rPr>
          <w:rFonts w:hint="eastAsia" w:ascii="微软雅黑" w:hAnsi="微软雅黑" w:eastAsia="微软雅黑" w:cs="微软雅黑"/>
          <w:color w:val="auto"/>
          <w:kern w:val="0"/>
          <w:sz w:val="24"/>
          <w:highlight w:val="none"/>
          <w:lang w:bidi="ar"/>
        </w:rPr>
        <w:t>投标文件未按招标文件规定的要求提交资料或签署、盖章的</w:t>
      </w:r>
      <w:r>
        <w:rPr>
          <w:rFonts w:hint="eastAsia" w:ascii="微软雅黑" w:hAnsi="微软雅黑" w:eastAsia="微软雅黑" w:cs="微软雅黑"/>
          <w:color w:val="auto"/>
          <w:kern w:val="0"/>
          <w:sz w:val="24"/>
          <w:highlight w:val="none"/>
          <w:lang w:eastAsia="zh-CN" w:bidi="ar"/>
        </w:rPr>
        <w:t>；</w:t>
      </w:r>
    </w:p>
    <w:p>
      <w:pPr>
        <w:pStyle w:val="19"/>
        <w:tabs>
          <w:tab w:val="left" w:pos="7380"/>
        </w:tabs>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7. </w:t>
      </w:r>
      <w:r>
        <w:rPr>
          <w:rFonts w:hint="eastAsia" w:ascii="微软雅黑" w:hAnsi="微软雅黑" w:eastAsia="微软雅黑" w:cs="微软雅黑"/>
          <w:color w:val="auto"/>
          <w:highlight w:val="none"/>
        </w:rPr>
        <w:t>投标文件含有采购人不能接受的附加条件的；</w:t>
      </w:r>
      <w:r>
        <w:rPr>
          <w:rFonts w:hint="eastAsia" w:ascii="微软雅黑" w:hAnsi="微软雅黑" w:eastAsia="微软雅黑" w:cs="微软雅黑"/>
          <w:color w:val="auto"/>
          <w:highlight w:val="none"/>
        </w:rPr>
        <w:tab/>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lang w:val="en-US" w:eastAsia="zh-CN"/>
        </w:rPr>
        <w:t>8</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kern w:val="0"/>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9. </w:t>
      </w:r>
      <w:r>
        <w:rPr>
          <w:rFonts w:hint="eastAsia" w:ascii="微软雅黑" w:hAnsi="微软雅黑" w:eastAsia="微软雅黑" w:cs="微软雅黑"/>
          <w:color w:val="auto"/>
          <w:highlight w:val="none"/>
        </w:rPr>
        <w:t>报价超过招标文件中规定的预算金额或最高限价；</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lang w:val="en-US" w:eastAsia="zh-CN"/>
        </w:rPr>
        <w:t xml:space="preserve">10. </w:t>
      </w:r>
      <w:r>
        <w:rPr>
          <w:rFonts w:hint="eastAsia" w:ascii="微软雅黑" w:hAnsi="微软雅黑" w:eastAsia="微软雅黑" w:cs="微软雅黑"/>
          <w:snapToGrid w:val="0"/>
          <w:color w:val="auto"/>
          <w:kern w:val="0"/>
          <w:sz w:val="24"/>
          <w:highlight w:val="none"/>
          <w:lang w:bidi="ar"/>
        </w:rPr>
        <w:t>未实质性响应招标文件要求或者投标文件有采购人不能接受的附加条件的</w:t>
      </w:r>
      <w:r>
        <w:rPr>
          <w:rFonts w:hint="eastAsia" w:ascii="微软雅黑" w:hAnsi="微软雅黑" w:eastAsia="微软雅黑" w:cs="微软雅黑"/>
          <w:snapToGrid w:val="0"/>
          <w:color w:val="auto"/>
          <w:kern w:val="0"/>
          <w:sz w:val="24"/>
          <w:highlight w:val="none"/>
          <w:lang w:val="en-US" w:eastAsia="zh-CN" w:bidi="ar"/>
        </w:rPr>
        <w:t>或者</w:t>
      </w:r>
      <w:r>
        <w:rPr>
          <w:rFonts w:hint="eastAsia" w:ascii="微软雅黑" w:hAnsi="微软雅黑" w:eastAsia="微软雅黑" w:cs="微软雅黑"/>
          <w:color w:val="auto"/>
          <w:kern w:val="0"/>
          <w:sz w:val="24"/>
          <w:highlight w:val="none"/>
          <w:lang w:bidi="ar"/>
        </w:rPr>
        <w:t>明显不符合招标文件要求的技术参数、质量标准，或者与招标文件中的技术指标、主要功能项目发生实质性偏离的</w:t>
      </w:r>
      <w:r>
        <w:rPr>
          <w:rFonts w:hint="eastAsia" w:ascii="微软雅黑" w:hAnsi="微软雅黑" w:eastAsia="微软雅黑" w:cs="微软雅黑"/>
          <w:color w:val="auto"/>
          <w:highlight w:val="none"/>
        </w:rPr>
        <w:t>；</w:t>
      </w:r>
    </w:p>
    <w:p>
      <w:pPr>
        <w:pStyle w:val="19"/>
        <w:adjustRightInd w:val="0"/>
        <w:snapToGrid w:val="0"/>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1</w:t>
      </w:r>
      <w:r>
        <w:rPr>
          <w:rFonts w:hint="eastAsia" w:ascii="微软雅黑" w:hAnsi="微软雅黑" w:eastAsia="微软雅黑" w:cs="微软雅黑"/>
          <w:color w:val="auto"/>
          <w:highlight w:val="none"/>
          <w:lang w:val="en-US" w:eastAsia="zh-CN"/>
        </w:rPr>
        <w:t xml:space="preserve">1. </w:t>
      </w:r>
      <w:r>
        <w:rPr>
          <w:rFonts w:hint="eastAsia" w:ascii="微软雅黑" w:hAnsi="微软雅黑" w:eastAsia="微软雅黑" w:cs="微软雅黑"/>
          <w:color w:val="auto"/>
          <w:highlight w:val="none"/>
        </w:rPr>
        <w:t>投标文件提供虚假材料的；</w:t>
      </w:r>
    </w:p>
    <w:p>
      <w:pPr>
        <w:tabs>
          <w:tab w:val="left" w:pos="1898"/>
        </w:tabs>
        <w:autoSpaceDE w:val="0"/>
        <w:autoSpaceDN w:val="0"/>
        <w:adjustRightInd w:val="0"/>
        <w:snapToGrid w:val="0"/>
        <w:spacing w:line="440" w:lineRule="exact"/>
        <w:ind w:firstLine="480" w:firstLineChars="200"/>
        <w:rPr>
          <w:rFonts w:hint="eastAsia"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1</w:t>
      </w:r>
      <w:r>
        <w:rPr>
          <w:rFonts w:hint="eastAsia" w:ascii="微软雅黑" w:hAnsi="微软雅黑" w:eastAsia="微软雅黑" w:cs="微软雅黑"/>
          <w:color w:val="auto"/>
          <w:kern w:val="0"/>
          <w:sz w:val="24"/>
          <w:szCs w:val="24"/>
          <w:highlight w:val="none"/>
          <w:lang w:val="en-US" w:eastAsia="zh-CN"/>
        </w:rPr>
        <w:t xml:space="preserve">2. </w:t>
      </w:r>
      <w:r>
        <w:rPr>
          <w:rFonts w:hint="eastAsia" w:ascii="微软雅黑" w:hAnsi="微软雅黑" w:eastAsia="微软雅黑" w:cs="微软雅黑"/>
          <w:color w:val="auto"/>
          <w:kern w:val="0"/>
          <w:sz w:val="24"/>
          <w:szCs w:val="24"/>
          <w:highlight w:val="none"/>
        </w:rPr>
        <w:t>符合中华人民共和国财政部令第87号《政府采购货物和服务招标投标管理办法》第三十七条情形之一的，视为投标人串通投标，其投标无效，并移送采购监管部门：</w:t>
      </w:r>
    </w:p>
    <w:p>
      <w:pPr>
        <w:pStyle w:val="19"/>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（1）不同投标人的投标文件由同一单位或者个人编制；</w:t>
      </w:r>
    </w:p>
    <w:p>
      <w:pPr>
        <w:pStyle w:val="19"/>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（2）不同投标人委托同一单位或者个人办理投标事宜；</w:t>
      </w:r>
    </w:p>
    <w:p>
      <w:pPr>
        <w:pStyle w:val="19"/>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（3）不同投标人的投标文件载明的项目管理成员或者联系人员为同一人；</w:t>
      </w:r>
    </w:p>
    <w:p>
      <w:pPr>
        <w:pStyle w:val="19"/>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（4）不同投标人的投标文件异常一致或者投标报价呈规律性差异；</w:t>
      </w:r>
    </w:p>
    <w:p>
      <w:pPr>
        <w:pStyle w:val="19"/>
        <w:spacing w:before="0" w:beforeAutospacing="0" w:after="0" w:afterAutospacing="0" w:line="440" w:lineRule="exact"/>
        <w:ind w:firstLine="480" w:firstLineChars="200"/>
        <w:jc w:val="both"/>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（5）不同投标人的投标文件相互混装；</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color w:val="auto"/>
          <w:kern w:val="0"/>
          <w:sz w:val="24"/>
          <w:szCs w:val="24"/>
          <w:highlight w:val="none"/>
        </w:rPr>
        <w:t>1</w:t>
      </w:r>
      <w:r>
        <w:rPr>
          <w:rFonts w:hint="eastAsia" w:ascii="微软雅黑" w:hAnsi="微软雅黑" w:eastAsia="微软雅黑" w:cs="微软雅黑"/>
          <w:color w:val="auto"/>
          <w:kern w:val="0"/>
          <w:sz w:val="24"/>
          <w:szCs w:val="24"/>
          <w:highlight w:val="none"/>
          <w:lang w:val="en-US" w:eastAsia="zh-CN"/>
        </w:rPr>
        <w:t xml:space="preserve">3. </w:t>
      </w:r>
      <w:r>
        <w:rPr>
          <w:rFonts w:hint="eastAsia" w:ascii="微软雅黑" w:hAnsi="微软雅黑" w:eastAsia="微软雅黑" w:cs="微软雅黑"/>
          <w:color w:val="auto"/>
          <w:kern w:val="0"/>
          <w:sz w:val="24"/>
          <w:szCs w:val="24"/>
          <w:highlight w:val="none"/>
        </w:rPr>
        <w:t>不符合法律、法规和招标文件中规定的其他实质性要求的（招标文件中打“▲”内容及被拒绝的条款）</w:t>
      </w:r>
      <w:r>
        <w:rPr>
          <w:rFonts w:hint="eastAsia" w:ascii="微软雅黑" w:hAnsi="微软雅黑" w:eastAsia="微软雅黑" w:cs="微软雅黑"/>
          <w:kern w:val="0"/>
          <w:sz w:val="22"/>
          <w:szCs w:val="22"/>
          <w:highlight w:val="none"/>
        </w:rPr>
        <w:t>。</w:t>
      </w:r>
    </w:p>
    <w:p>
      <w:pPr>
        <w:keepNext w:val="0"/>
        <w:keepLines w:val="0"/>
        <w:pageBreakBefore w:val="0"/>
        <w:kinsoku/>
        <w:wordWrap/>
        <w:overflowPunct/>
        <w:topLinePunct w:val="0"/>
        <w:autoSpaceDE w:val="0"/>
        <w:autoSpaceDN w:val="0"/>
        <w:bidi w:val="0"/>
        <w:adjustRightInd w:val="0"/>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b/>
          <w:bCs/>
          <w:kern w:val="0"/>
          <w:sz w:val="22"/>
          <w:szCs w:val="22"/>
          <w:highlight w:val="none"/>
        </w:rPr>
        <w:t>（</w:t>
      </w:r>
      <w:r>
        <w:rPr>
          <w:rFonts w:hint="eastAsia" w:ascii="微软雅黑" w:hAnsi="微软雅黑" w:eastAsia="微软雅黑" w:cs="微软雅黑"/>
          <w:b/>
          <w:bCs/>
          <w:kern w:val="0"/>
          <w:sz w:val="22"/>
          <w:szCs w:val="22"/>
          <w:highlight w:val="none"/>
          <w:lang w:val="en-US" w:eastAsia="zh-CN"/>
        </w:rPr>
        <w:t>四</w:t>
      </w:r>
      <w:r>
        <w:rPr>
          <w:rFonts w:hint="eastAsia" w:ascii="微软雅黑" w:hAnsi="微软雅黑" w:eastAsia="微软雅黑" w:cs="微软雅黑"/>
          <w:b/>
          <w:bCs/>
          <w:kern w:val="0"/>
          <w:sz w:val="22"/>
          <w:szCs w:val="22"/>
          <w:highlight w:val="none"/>
        </w:rPr>
        <w:t>）有下列情况之一的，本次招标作为废标处理</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符合专业条件的供应商或者对招标文件作实质响应的供应商不足三家的；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出现影响采购公正的违法、违规行为的；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因重大变故，采购任务取消的；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4</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法律、法规和招标文件规定的其他导致评标结果无效的。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b/>
          <w:bCs/>
          <w:kern w:val="0"/>
          <w:sz w:val="22"/>
          <w:szCs w:val="22"/>
          <w:highlight w:val="none"/>
        </w:rPr>
        <w:t>（</w:t>
      </w:r>
      <w:r>
        <w:rPr>
          <w:rFonts w:hint="eastAsia" w:ascii="微软雅黑" w:hAnsi="微软雅黑" w:eastAsia="微软雅黑" w:cs="微软雅黑"/>
          <w:b/>
          <w:bCs/>
          <w:kern w:val="0"/>
          <w:sz w:val="22"/>
          <w:szCs w:val="22"/>
          <w:highlight w:val="none"/>
          <w:lang w:val="en-US" w:eastAsia="zh-CN"/>
        </w:rPr>
        <w:t>五</w:t>
      </w:r>
      <w:r>
        <w:rPr>
          <w:rFonts w:hint="eastAsia" w:ascii="微软雅黑" w:hAnsi="微软雅黑" w:eastAsia="微软雅黑" w:cs="微软雅黑"/>
          <w:b/>
          <w:bCs/>
          <w:kern w:val="0"/>
          <w:sz w:val="22"/>
          <w:szCs w:val="22"/>
          <w:highlight w:val="none"/>
        </w:rPr>
        <w:t>）</w:t>
      </w:r>
      <w:r>
        <w:rPr>
          <w:rFonts w:hint="eastAsia" w:ascii="微软雅黑" w:hAnsi="微软雅黑" w:eastAsia="微软雅黑" w:cs="微软雅黑"/>
          <w:sz w:val="22"/>
          <w:szCs w:val="22"/>
          <w:highlight w:val="none"/>
          <w:lang w:val="en-US" w:eastAsia="zh-CN"/>
        </w:rPr>
        <w:t>采购过程中出现以下情形，导致电子交易平台无法正常运行，或者无法保证电子交易的公平、公正和安全时，采购组织机构可中止电子交易活动：</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 xml:space="preserve">（1）电子交易平台发生故障而无法登录访问的； </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（2）电子交易平台应用或数据库出现错误，不能进行正常操作的；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（3）电子交易平台发现严重安全漏洞，有潜在泄密危险的；</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 xml:space="preserve">（4）病毒发作导致不能进行正常操作的； </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（5）其他无法保证电子交易的公平、公正和安全的情况。</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lang w:val="en-US" w:eastAsia="zh-CN"/>
        </w:rPr>
      </w:pPr>
      <w:r>
        <w:rPr>
          <w:rFonts w:hint="eastAsia" w:ascii="微软雅黑" w:hAnsi="微软雅黑" w:eastAsia="微软雅黑" w:cs="微软雅黑"/>
          <w:sz w:val="22"/>
          <w:szCs w:val="22"/>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废标后，采购人应当将废标理由通知所有投标人并重新组织招标；或者经主管部门批准，采取其他方式组织采购。</w:t>
      </w:r>
    </w:p>
    <w:p>
      <w:pPr>
        <w:pStyle w:val="12"/>
        <w:keepNext w:val="0"/>
        <w:keepLines w:val="0"/>
        <w:pageBreakBefore w:val="0"/>
        <w:tabs>
          <w:tab w:val="left" w:pos="630"/>
        </w:tabs>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w:t>
      </w:r>
      <w:r>
        <w:rPr>
          <w:rFonts w:hint="eastAsia" w:ascii="微软雅黑" w:hAnsi="微软雅黑" w:eastAsia="微软雅黑" w:cs="微软雅黑"/>
          <w:b/>
          <w:bCs/>
          <w:sz w:val="22"/>
          <w:szCs w:val="22"/>
          <w:highlight w:val="none"/>
          <w:lang w:val="en-US" w:eastAsia="zh-CN"/>
        </w:rPr>
        <w:t>六</w:t>
      </w:r>
      <w:r>
        <w:rPr>
          <w:rFonts w:hint="eastAsia" w:ascii="微软雅黑" w:hAnsi="微软雅黑" w:eastAsia="微软雅黑" w:cs="微软雅黑"/>
          <w:b/>
          <w:bCs/>
          <w:sz w:val="22"/>
          <w:szCs w:val="22"/>
          <w:highlight w:val="none"/>
        </w:rPr>
        <w:t>）评标原则和评标办法</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评标原则</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评标委员会发现招标文件存在歧义、重大缺陷导致评标工作无法进行，或者招标文件内容违反国家有关强制性规定的，应当停止评标工作，与采购人或者采购代理机构沟通并作书面记录</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采购人或者采购代理机构确认后，应当修改招标文件，重新组织采购活动。</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评标办法</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具体评标内容及评分标准等详见《评标方法及评分标准》。</w:t>
      </w:r>
    </w:p>
    <w:p>
      <w:pPr>
        <w:pStyle w:val="12"/>
        <w:keepNext w:val="0"/>
        <w:keepLines w:val="0"/>
        <w:pageBreakBefore w:val="0"/>
        <w:kinsoku/>
        <w:wordWrap/>
        <w:overflowPunct/>
        <w:topLinePunct w:val="0"/>
        <w:bidi w:val="0"/>
        <w:snapToGrid w:val="0"/>
        <w:spacing w:line="360" w:lineRule="exact"/>
        <w:ind w:firstLine="440" w:firstLineChars="200"/>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w:t>
      </w:r>
      <w:r>
        <w:rPr>
          <w:rFonts w:hint="eastAsia" w:ascii="微软雅黑" w:hAnsi="微软雅黑" w:eastAsia="微软雅黑" w:cs="微软雅黑"/>
          <w:b/>
          <w:bCs/>
          <w:sz w:val="22"/>
          <w:szCs w:val="22"/>
          <w:highlight w:val="none"/>
          <w:lang w:val="en-US" w:eastAsia="zh-CN"/>
        </w:rPr>
        <w:t>七</w:t>
      </w:r>
      <w:r>
        <w:rPr>
          <w:rFonts w:hint="eastAsia" w:ascii="微软雅黑" w:hAnsi="微软雅黑" w:eastAsia="微软雅黑" w:cs="微软雅黑"/>
          <w:b/>
          <w:bCs/>
          <w:sz w:val="22"/>
          <w:szCs w:val="22"/>
          <w:highlight w:val="none"/>
        </w:rPr>
        <w:t>）评标过程的监控</w:t>
      </w:r>
    </w:p>
    <w:p>
      <w:pPr>
        <w:pStyle w:val="19"/>
        <w:keepNext w:val="0"/>
        <w:keepLines w:val="0"/>
        <w:pageBreakBefore w:val="0"/>
        <w:kinsoku/>
        <w:wordWrap/>
        <w:overflowPunct/>
        <w:topLinePunct w:val="0"/>
        <w:bidi w:val="0"/>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本项目评标过程实行全程录音、录像监控，政府采购监管部门视情进行现场监督，投标人在评标过程中所进行的试图影响评标结果的不公正活动，可能导致其投标被拒绝。</w:t>
      </w:r>
    </w:p>
    <w:p>
      <w:pPr>
        <w:keepNext w:val="0"/>
        <w:keepLines w:val="0"/>
        <w:pageBreakBefore w:val="0"/>
        <w:kinsoku/>
        <w:wordWrap/>
        <w:overflowPunct/>
        <w:topLinePunct w:val="0"/>
        <w:bidi w:val="0"/>
        <w:snapToGrid w:val="0"/>
        <w:spacing w:line="400" w:lineRule="exact"/>
        <w:jc w:val="center"/>
        <w:textAlignment w:val="auto"/>
        <w:rPr>
          <w:rFonts w:hint="eastAsia" w:ascii="微软雅黑" w:hAnsi="微软雅黑" w:eastAsia="微软雅黑" w:cs="微软雅黑"/>
          <w:b/>
          <w:bCs/>
          <w:sz w:val="28"/>
          <w:szCs w:val="28"/>
          <w:highlight w:val="none"/>
        </w:rPr>
      </w:pPr>
    </w:p>
    <w:p>
      <w:pPr>
        <w:keepNext w:val="0"/>
        <w:keepLines w:val="0"/>
        <w:pageBreakBefore w:val="0"/>
        <w:kinsoku/>
        <w:wordWrap/>
        <w:overflowPunct/>
        <w:topLinePunct w:val="0"/>
        <w:bidi w:val="0"/>
        <w:snapToGrid w:val="0"/>
        <w:spacing w:line="400" w:lineRule="exact"/>
        <w:jc w:val="center"/>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六、定标</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40" w:firstLineChars="20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确定中标供应商</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评标委员会根据采购单位的《授权意见确认书》，推荐中标候选人或确定中标人。其中推荐中标候选人的，采购代理机构在评审结束后2个工作日内将评标报告送采购人，采购人自收到评审报告之日起5个工作日内在评审报告推荐的中标候选人中按顺序确定中标人。</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kern w:val="0"/>
          <w:sz w:val="22"/>
          <w:szCs w:val="22"/>
          <w:highlight w:val="none"/>
        </w:rPr>
        <w:t>发布</w:t>
      </w:r>
      <w:r>
        <w:rPr>
          <w:rFonts w:hint="eastAsia" w:ascii="微软雅黑" w:hAnsi="微软雅黑" w:eastAsia="微软雅黑" w:cs="微软雅黑"/>
          <w:sz w:val="22"/>
          <w:szCs w:val="22"/>
          <w:highlight w:val="none"/>
        </w:rPr>
        <w:t>中标</w:t>
      </w:r>
      <w:r>
        <w:rPr>
          <w:rFonts w:hint="eastAsia" w:ascii="微软雅黑" w:hAnsi="微软雅黑" w:eastAsia="微软雅黑" w:cs="微软雅黑"/>
          <w:kern w:val="0"/>
          <w:sz w:val="22"/>
          <w:szCs w:val="22"/>
          <w:highlight w:val="none"/>
        </w:rPr>
        <w:t>结果公告</w:t>
      </w:r>
      <w:r>
        <w:rPr>
          <w:rFonts w:hint="eastAsia" w:ascii="微软雅黑" w:hAnsi="微软雅黑" w:eastAsia="微软雅黑" w:cs="微软雅黑"/>
          <w:kern w:val="0"/>
          <w:sz w:val="22"/>
          <w:szCs w:val="22"/>
          <w:highlight w:val="none"/>
          <w:lang w:eastAsia="zh-CN"/>
        </w:rPr>
        <w:t>：</w:t>
      </w:r>
      <w:r>
        <w:rPr>
          <w:rFonts w:hint="eastAsia" w:ascii="微软雅黑" w:hAnsi="微软雅黑" w:eastAsia="微软雅黑" w:cs="微软雅黑"/>
          <w:kern w:val="0"/>
          <w:sz w:val="22"/>
          <w:szCs w:val="22"/>
          <w:highlight w:val="none"/>
        </w:rPr>
        <w:t>采购代理机构应当自中标人确定之日起2个工作日内，在省级以上财政部门指定的媒体及相关网站上公告中标结果。</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hint="eastAsia" w:ascii="微软雅黑" w:hAnsi="微软雅黑" w:eastAsia="微软雅黑" w:cs="微软雅黑"/>
          <w:kern w:val="0"/>
          <w:sz w:val="22"/>
          <w:szCs w:val="22"/>
          <w:highlight w:val="none"/>
        </w:rPr>
      </w:pPr>
      <w:r>
        <w:rPr>
          <w:rFonts w:hint="eastAsia" w:ascii="微软雅黑" w:hAnsi="微软雅黑" w:eastAsia="微软雅黑" w:cs="微软雅黑"/>
          <w:kern w:val="0"/>
          <w:sz w:val="22"/>
          <w:szCs w:val="22"/>
          <w:highlight w:val="none"/>
        </w:rPr>
        <w:t>3</w:t>
      </w:r>
      <w:r>
        <w:rPr>
          <w:rFonts w:hint="eastAsia" w:ascii="微软雅黑" w:hAnsi="微软雅黑" w:eastAsia="微软雅黑" w:cs="微软雅黑"/>
          <w:kern w:val="0"/>
          <w:sz w:val="22"/>
          <w:szCs w:val="22"/>
          <w:highlight w:val="none"/>
          <w:lang w:val="en-US" w:eastAsia="zh-CN"/>
        </w:rPr>
        <w:t>.</w:t>
      </w:r>
      <w:r>
        <w:rPr>
          <w:rFonts w:hint="eastAsia" w:ascii="微软雅黑" w:hAnsi="微软雅黑" w:eastAsia="微软雅黑" w:cs="微软雅黑"/>
          <w:kern w:val="0"/>
          <w:sz w:val="22"/>
          <w:szCs w:val="22"/>
          <w:highlight w:val="none"/>
        </w:rPr>
        <w:t>发出中标通知书</w:t>
      </w:r>
      <w:r>
        <w:rPr>
          <w:rFonts w:hint="eastAsia" w:ascii="微软雅黑" w:hAnsi="微软雅黑" w:eastAsia="微软雅黑" w:cs="微软雅黑"/>
          <w:kern w:val="0"/>
          <w:sz w:val="22"/>
          <w:szCs w:val="22"/>
          <w:highlight w:val="none"/>
          <w:lang w:eastAsia="zh-CN"/>
        </w:rPr>
        <w:t>：</w:t>
      </w:r>
      <w:r>
        <w:rPr>
          <w:rFonts w:hint="eastAsia" w:ascii="微软雅黑" w:hAnsi="微软雅黑" w:eastAsia="微软雅黑" w:cs="微软雅黑"/>
          <w:kern w:val="0"/>
          <w:sz w:val="22"/>
          <w:szCs w:val="22"/>
          <w:highlight w:val="none"/>
        </w:rPr>
        <w:t>采购代理机构在发布中标结果的同时，向中标人发出中标通知书。</w:t>
      </w:r>
    </w:p>
    <w:p>
      <w:pPr>
        <w:keepNext w:val="0"/>
        <w:keepLines w:val="0"/>
        <w:pageBreakBefore w:val="0"/>
        <w:kinsoku/>
        <w:wordWrap/>
        <w:overflowPunct/>
        <w:topLinePunct w:val="0"/>
        <w:bidi w:val="0"/>
        <w:spacing w:line="400" w:lineRule="exact"/>
        <w:jc w:val="center"/>
        <w:textAlignment w:val="auto"/>
        <w:rPr>
          <w:rFonts w:hint="eastAsia" w:ascii="微软雅黑" w:hAnsi="微软雅黑" w:eastAsia="微软雅黑" w:cs="微软雅黑"/>
          <w:b/>
          <w:bCs/>
          <w:sz w:val="28"/>
          <w:szCs w:val="28"/>
          <w:highlight w:val="none"/>
        </w:rPr>
      </w:pPr>
    </w:p>
    <w:p>
      <w:pPr>
        <w:keepNext w:val="0"/>
        <w:keepLines w:val="0"/>
        <w:pageBreakBefore w:val="0"/>
        <w:kinsoku/>
        <w:wordWrap/>
        <w:overflowPunct/>
        <w:topLinePunct w:val="0"/>
        <w:bidi w:val="0"/>
        <w:spacing w:line="400" w:lineRule="exact"/>
        <w:jc w:val="center"/>
        <w:textAlignment w:val="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七、合同签订及公告</w:t>
      </w:r>
    </w:p>
    <w:p>
      <w:pPr>
        <w:keepNext w:val="0"/>
        <w:keepLines w:val="0"/>
        <w:pageBreakBefore w:val="0"/>
        <w:kinsoku/>
        <w:wordWrap/>
        <w:overflowPunct/>
        <w:topLinePunct w:val="0"/>
        <w:autoSpaceDE/>
        <w:autoSpaceDN/>
        <w:bidi w:val="0"/>
        <w:adjustRightInd/>
        <w:snapToGrid/>
        <w:spacing w:line="360" w:lineRule="exact"/>
        <w:ind w:firstLine="440" w:firstLineChars="200"/>
        <w:textAlignment w:val="auto"/>
        <w:rPr>
          <w:rFonts w:hint="eastAsia" w:ascii="微软雅黑" w:hAnsi="微软雅黑" w:eastAsia="微软雅黑" w:cs="微软雅黑"/>
          <w:b/>
          <w:bCs/>
          <w:kern w:val="0"/>
          <w:sz w:val="22"/>
          <w:szCs w:val="22"/>
          <w:highlight w:val="none"/>
        </w:rPr>
      </w:pPr>
      <w:r>
        <w:rPr>
          <w:rFonts w:hint="eastAsia" w:ascii="微软雅黑" w:hAnsi="微软雅黑" w:eastAsia="微软雅黑" w:cs="微软雅黑"/>
          <w:b/>
          <w:bCs/>
          <w:sz w:val="22"/>
          <w:szCs w:val="22"/>
          <w:highlight w:val="none"/>
        </w:rPr>
        <w:t>（一）签订合同</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lang w:eastAsia="zh-CN"/>
        </w:rPr>
      </w:pPr>
      <w:r>
        <w:rPr>
          <w:rFonts w:hint="eastAsia" w:ascii="微软雅黑" w:hAnsi="微软雅黑" w:eastAsia="微软雅黑" w:cs="微软雅黑"/>
          <w:sz w:val="22"/>
          <w:szCs w:val="22"/>
          <w:highlight w:val="none"/>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采购人应当自中标通知书发出之日起30日内，按照招标文件和中标人投标文件的规定，与中标人签订书面合同</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所签订的合同不得对招标文件确定的事项和中标人投标文件作实质性修改</w:t>
      </w:r>
      <w:r>
        <w:rPr>
          <w:rFonts w:hint="eastAsia" w:ascii="微软雅黑" w:hAnsi="微软雅黑" w:eastAsia="微软雅黑" w:cs="微软雅黑"/>
          <w:sz w:val="22"/>
          <w:szCs w:val="22"/>
          <w:highlight w:val="none"/>
          <w:lang w:eastAsia="zh-CN"/>
        </w:rPr>
        <w:t>；</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lang w:eastAsia="zh-CN"/>
        </w:rPr>
      </w:pPr>
      <w:r>
        <w:rPr>
          <w:rFonts w:hint="eastAsia" w:ascii="微软雅黑" w:hAnsi="微软雅黑" w:eastAsia="微软雅黑" w:cs="微软雅黑"/>
          <w:sz w:val="22"/>
          <w:szCs w:val="22"/>
          <w:highlight w:val="none"/>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采购人不得向中标人提出任何不合理的要求作为签订合同的条件</w:t>
      </w:r>
      <w:r>
        <w:rPr>
          <w:rFonts w:hint="eastAsia" w:ascii="微软雅黑" w:hAnsi="微软雅黑" w:eastAsia="微软雅黑" w:cs="微软雅黑"/>
          <w:sz w:val="22"/>
          <w:szCs w:val="22"/>
          <w:highlight w:val="none"/>
          <w:lang w:eastAsia="zh-CN"/>
        </w:rPr>
        <w:t>；</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lang w:eastAsia="zh-CN"/>
        </w:rPr>
      </w:pPr>
      <w:r>
        <w:rPr>
          <w:rFonts w:hint="eastAsia" w:ascii="微软雅黑" w:hAnsi="微软雅黑" w:eastAsia="微软雅黑" w:cs="微软雅黑"/>
          <w:sz w:val="22"/>
          <w:szCs w:val="22"/>
          <w:highlight w:val="none"/>
        </w:rPr>
        <w:t>3</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中标供应商无正当理由拖延、拒签合同的,按《政府采购法》及等有关规定进行处理处罚</w:t>
      </w:r>
      <w:r>
        <w:rPr>
          <w:rFonts w:hint="eastAsia" w:ascii="微软雅黑" w:hAnsi="微软雅黑" w:eastAsia="微软雅黑" w:cs="微软雅黑"/>
          <w:sz w:val="22"/>
          <w:szCs w:val="22"/>
          <w:highlight w:val="none"/>
          <w:lang w:eastAsia="zh-CN"/>
        </w:rPr>
        <w:t>；</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4</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中标供应商拒绝与采购人签订合同的，采购人可以按照评审报告推荐的中标候选人名单排序，确定下一候选人为中标供应商，也可以重新开展政府采购活动</w:t>
      </w:r>
      <w:r>
        <w:rPr>
          <w:rFonts w:hint="eastAsia" w:ascii="微软雅黑" w:hAnsi="微软雅黑" w:eastAsia="微软雅黑" w:cs="微软雅黑"/>
          <w:sz w:val="22"/>
          <w:szCs w:val="22"/>
          <w:highlight w:val="none"/>
          <w:lang w:eastAsia="zh-CN"/>
        </w:rPr>
        <w:t>；</w:t>
      </w:r>
      <w:r>
        <w:rPr>
          <w:rFonts w:hint="eastAsia" w:ascii="微软雅黑" w:hAnsi="微软雅黑" w:eastAsia="微软雅黑" w:cs="微软雅黑"/>
          <w:sz w:val="22"/>
          <w:szCs w:val="22"/>
          <w:highlight w:val="none"/>
        </w:rPr>
        <w:t>同时，拒绝与采购人签订合同的供应商，由同级财政部门依法作出处理。</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rPr>
      </w:pPr>
      <w:r>
        <w:rPr>
          <w:rFonts w:hint="eastAsia" w:ascii="微软雅黑" w:hAnsi="微软雅黑" w:eastAsia="微软雅黑" w:cs="微软雅黑"/>
          <w:sz w:val="22"/>
          <w:szCs w:val="22"/>
          <w:highlight w:val="none"/>
        </w:rPr>
        <w:t>5</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rPr>
        <w:t>询问或者质疑事项可能影响中标结果的，采购人应当暂停签订合同，已经签订合同的，应当中止履行合同（中标结果的质疑期为中标结果公告期限届满之日起七个工作日）。</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387" w:firstLineChars="176"/>
        <w:textAlignment w:val="auto"/>
        <w:rPr>
          <w:rFonts w:hint="eastAsia" w:ascii="微软雅黑" w:hAnsi="微软雅黑" w:eastAsia="微软雅黑" w:cs="微软雅黑"/>
          <w:b/>
          <w:bCs/>
          <w:sz w:val="22"/>
          <w:szCs w:val="22"/>
          <w:highlight w:val="none"/>
        </w:rPr>
      </w:pPr>
      <w:r>
        <w:rPr>
          <w:rFonts w:hint="eastAsia" w:ascii="微软雅黑" w:hAnsi="微软雅黑" w:eastAsia="微软雅黑" w:cs="微软雅黑"/>
          <w:b/>
          <w:bCs/>
          <w:sz w:val="22"/>
          <w:szCs w:val="22"/>
          <w:highlight w:val="none"/>
        </w:rPr>
        <w:t>（二）合同公告及备案</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lang w:eastAsia="zh-CN"/>
        </w:rPr>
      </w:pPr>
      <w:r>
        <w:rPr>
          <w:rFonts w:hint="eastAsia" w:ascii="微软雅黑" w:hAnsi="微软雅黑" w:eastAsia="微软雅黑" w:cs="微软雅黑"/>
          <w:sz w:val="22"/>
          <w:szCs w:val="22"/>
          <w:highlight w:val="none"/>
          <w:lang w:eastAsia="zh-CN"/>
        </w:rPr>
        <w:t>1</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lang w:eastAsia="zh-CN"/>
        </w:rPr>
        <w:t>采购人应当自政府采购合同签订之日起2个工作日内，在省级以上财政部门指定的政府采购信息发布媒体及相关网站上公告。</w:t>
      </w:r>
    </w:p>
    <w:p>
      <w:pPr>
        <w:pStyle w:val="19"/>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50" w:firstLineChars="250"/>
        <w:jc w:val="both"/>
        <w:textAlignment w:val="auto"/>
        <w:rPr>
          <w:rFonts w:hint="eastAsia" w:ascii="微软雅黑" w:hAnsi="微软雅黑" w:eastAsia="微软雅黑" w:cs="微软雅黑"/>
          <w:sz w:val="22"/>
          <w:szCs w:val="22"/>
          <w:highlight w:val="none"/>
          <w:lang w:eastAsia="zh-CN"/>
        </w:rPr>
      </w:pPr>
      <w:r>
        <w:rPr>
          <w:rFonts w:hint="eastAsia" w:ascii="微软雅黑" w:hAnsi="微软雅黑" w:eastAsia="微软雅黑" w:cs="微软雅黑"/>
          <w:sz w:val="22"/>
          <w:szCs w:val="22"/>
          <w:highlight w:val="none"/>
          <w:lang w:eastAsia="zh-CN"/>
        </w:rPr>
        <w:t>2</w:t>
      </w:r>
      <w:r>
        <w:rPr>
          <w:rFonts w:hint="eastAsia" w:ascii="微软雅黑" w:hAnsi="微软雅黑" w:eastAsia="微软雅黑" w:cs="微软雅黑"/>
          <w:sz w:val="22"/>
          <w:szCs w:val="22"/>
          <w:highlight w:val="none"/>
          <w:lang w:val="en-US" w:eastAsia="zh-CN"/>
        </w:rPr>
        <w:t>.</w:t>
      </w:r>
      <w:r>
        <w:rPr>
          <w:rFonts w:hint="eastAsia" w:ascii="微软雅黑" w:hAnsi="微软雅黑" w:eastAsia="微软雅黑" w:cs="微软雅黑"/>
          <w:sz w:val="22"/>
          <w:szCs w:val="22"/>
          <w:highlight w:val="none"/>
          <w:lang w:eastAsia="zh-CN"/>
        </w:rPr>
        <w:t>采购人应当自政府采购合同签订之日起7个工作日内，将政府采购合同副本报同级人民政府财政部门备案以及采购代理机构存档。</w:t>
      </w:r>
    </w:p>
    <w:p>
      <w:pPr>
        <w:widowControl/>
        <w:spacing w:line="240" w:lineRule="auto"/>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sz w:val="36"/>
          <w:szCs w:val="36"/>
          <w:highlight w:val="none"/>
        </w:rPr>
        <w:br w:type="page"/>
      </w:r>
      <w:r>
        <w:rPr>
          <w:rFonts w:hint="eastAsia" w:ascii="微软雅黑" w:hAnsi="微软雅黑" w:eastAsia="微软雅黑" w:cs="微软雅黑"/>
          <w:b/>
          <w:bCs/>
          <w:sz w:val="36"/>
          <w:szCs w:val="36"/>
          <w:highlight w:val="none"/>
        </w:rPr>
        <w:t>第三章</w:t>
      </w:r>
      <w:r>
        <w:rPr>
          <w:rFonts w:hint="eastAsia" w:ascii="微软雅黑" w:hAnsi="微软雅黑" w:eastAsia="微软雅黑" w:cs="微软雅黑"/>
          <w:b/>
          <w:bCs/>
          <w:sz w:val="36"/>
          <w:szCs w:val="36"/>
          <w:highlight w:val="none"/>
          <w:lang w:val="en-US" w:eastAsia="zh-CN"/>
        </w:rPr>
        <w:t xml:space="preserve"> </w:t>
      </w:r>
      <w:r>
        <w:rPr>
          <w:rFonts w:hint="eastAsia" w:ascii="微软雅黑" w:hAnsi="微软雅黑" w:eastAsia="微软雅黑" w:cs="微软雅黑"/>
          <w:b/>
          <w:bCs/>
          <w:sz w:val="36"/>
          <w:szCs w:val="36"/>
          <w:highlight w:val="none"/>
        </w:rPr>
        <w:t xml:space="preserve"> 评标办法及评分标准</w:t>
      </w:r>
    </w:p>
    <w:p>
      <w:pPr>
        <w:autoSpaceDE w:val="0"/>
        <w:autoSpaceDN w:val="0"/>
        <w:adjustRightInd w:val="0"/>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bCs/>
          <w:sz w:val="28"/>
          <w:szCs w:val="28"/>
          <w:highlight w:val="none"/>
        </w:rPr>
        <w:t>（综合评分法）</w:t>
      </w:r>
    </w:p>
    <w:p>
      <w:pPr>
        <w:snapToGrid w:val="0"/>
        <w:spacing w:line="360" w:lineRule="exact"/>
        <w:ind w:firstLine="480" w:firstLineChars="200"/>
        <w:rPr>
          <w:rStyle w:val="62"/>
          <w:rFonts w:ascii="微软雅黑" w:hAnsi="微软雅黑" w:eastAsia="微软雅黑"/>
          <w:color w:val="000000"/>
          <w:szCs w:val="24"/>
          <w:highlight w:val="none"/>
        </w:rPr>
      </w:pPr>
      <w:r>
        <w:rPr>
          <w:rStyle w:val="62"/>
          <w:rFonts w:ascii="微软雅黑" w:hAnsi="微软雅黑" w:eastAsia="微软雅黑"/>
          <w:color w:val="000000"/>
          <w:szCs w:val="24"/>
          <w:highlight w:val="none"/>
        </w:rPr>
        <w:t>一、采购代理机构将组织评标委员会，对投标人提供的投标文件进行综合评审。</w:t>
      </w:r>
    </w:p>
    <w:p>
      <w:pPr>
        <w:snapToGrid w:val="0"/>
        <w:spacing w:line="360" w:lineRule="exact"/>
        <w:ind w:firstLine="480" w:firstLineChars="200"/>
        <w:rPr>
          <w:rStyle w:val="62"/>
          <w:rFonts w:ascii="微软雅黑" w:hAnsi="微软雅黑" w:eastAsia="微软雅黑"/>
          <w:color w:val="000000"/>
          <w:szCs w:val="24"/>
          <w:highlight w:val="none"/>
        </w:rPr>
      </w:pPr>
      <w:r>
        <w:rPr>
          <w:rStyle w:val="62"/>
          <w:rFonts w:ascii="微软雅黑" w:hAnsi="微软雅黑" w:eastAsia="微软雅黑"/>
          <w:color w:val="000000"/>
          <w:szCs w:val="24"/>
          <w:highlight w:val="none"/>
        </w:rPr>
        <w:t>二、本项目的评标方法为综合评分法，总计100分，其中商务技术</w:t>
      </w:r>
      <w:r>
        <w:rPr>
          <w:rStyle w:val="62"/>
          <w:rFonts w:hint="eastAsia" w:ascii="微软雅黑" w:hAnsi="微软雅黑" w:eastAsia="微软雅黑"/>
          <w:color w:val="000000"/>
          <w:szCs w:val="24"/>
          <w:highlight w:val="none"/>
        </w:rPr>
        <w:t>80</w:t>
      </w:r>
      <w:r>
        <w:rPr>
          <w:rStyle w:val="62"/>
          <w:rFonts w:ascii="微软雅黑" w:hAnsi="微软雅黑" w:eastAsia="微软雅黑"/>
          <w:color w:val="000000"/>
          <w:szCs w:val="24"/>
          <w:highlight w:val="none"/>
        </w:rPr>
        <w:t>分，报价</w:t>
      </w:r>
      <w:r>
        <w:rPr>
          <w:rStyle w:val="62"/>
          <w:rFonts w:hint="eastAsia" w:ascii="微软雅黑" w:hAnsi="微软雅黑" w:eastAsia="微软雅黑"/>
          <w:color w:val="000000"/>
          <w:szCs w:val="24"/>
          <w:highlight w:val="none"/>
        </w:rPr>
        <w:t>20</w:t>
      </w:r>
      <w:r>
        <w:rPr>
          <w:rStyle w:val="62"/>
          <w:rFonts w:ascii="微软雅黑" w:hAnsi="微软雅黑" w:eastAsia="微软雅黑"/>
          <w:color w:val="000000"/>
          <w:szCs w:val="24"/>
          <w:highlight w:val="none"/>
        </w:rPr>
        <w:t>分。</w:t>
      </w:r>
    </w:p>
    <w:p>
      <w:pPr>
        <w:snapToGrid w:val="0"/>
        <w:spacing w:line="360" w:lineRule="exact"/>
        <w:ind w:firstLine="480" w:firstLineChars="200"/>
        <w:rPr>
          <w:rStyle w:val="62"/>
          <w:rFonts w:ascii="微软雅黑" w:hAnsi="微软雅黑" w:eastAsia="微软雅黑"/>
          <w:color w:val="000000"/>
          <w:szCs w:val="24"/>
          <w:highlight w:val="none"/>
          <w:lang w:val="zh-CN"/>
        </w:rPr>
      </w:pPr>
      <w:r>
        <w:rPr>
          <w:rStyle w:val="62"/>
          <w:rFonts w:ascii="微软雅黑" w:hAnsi="微软雅黑" w:eastAsia="微软雅黑"/>
          <w:color w:val="000000"/>
          <w:szCs w:val="24"/>
          <w:highlight w:val="none"/>
          <w:lang w:val="zh-CN"/>
        </w:rPr>
        <w:t>（一）商务技术文件由评标委员会讨论后统一打分；其余在规定的分值内单独评定打分。</w:t>
      </w:r>
    </w:p>
    <w:p>
      <w:pPr>
        <w:snapToGrid w:val="0"/>
        <w:spacing w:line="360" w:lineRule="exact"/>
        <w:ind w:firstLine="480" w:firstLineChars="200"/>
        <w:rPr>
          <w:rStyle w:val="62"/>
          <w:rFonts w:ascii="微软雅黑" w:hAnsi="微软雅黑" w:eastAsia="微软雅黑"/>
          <w:color w:val="000000"/>
          <w:szCs w:val="24"/>
          <w:highlight w:val="none"/>
          <w:lang w:val="zh-CN"/>
        </w:rPr>
      </w:pPr>
      <w:r>
        <w:rPr>
          <w:rStyle w:val="62"/>
          <w:rFonts w:ascii="微软雅黑" w:hAnsi="微软雅黑" w:eastAsia="微软雅黑"/>
          <w:color w:val="000000"/>
          <w:szCs w:val="24"/>
          <w:highlight w:val="none"/>
          <w:lang w:val="zh-CN"/>
        </w:rPr>
        <w:t>（二）各投标人商务技术文件得分按照评委的独立评分结果汇总后的算术平均分计算，计算公式为：</w:t>
      </w:r>
    </w:p>
    <w:p>
      <w:pPr>
        <w:snapToGrid w:val="0"/>
        <w:spacing w:line="360" w:lineRule="exact"/>
        <w:ind w:firstLine="480" w:firstLineChars="200"/>
        <w:rPr>
          <w:rStyle w:val="62"/>
          <w:rFonts w:ascii="微软雅黑" w:hAnsi="微软雅黑" w:eastAsia="微软雅黑"/>
          <w:color w:val="000000"/>
          <w:szCs w:val="24"/>
          <w:highlight w:val="none"/>
          <w:lang w:val="zh-CN"/>
        </w:rPr>
      </w:pPr>
      <w:r>
        <w:rPr>
          <w:rStyle w:val="62"/>
          <w:rFonts w:ascii="微软雅黑" w:hAnsi="微软雅黑" w:eastAsia="微软雅黑"/>
          <w:color w:val="000000"/>
          <w:szCs w:val="24"/>
          <w:highlight w:val="none"/>
        </w:rPr>
        <w:t>商务技术文件得分</w:t>
      </w:r>
      <w:r>
        <w:rPr>
          <w:rStyle w:val="62"/>
          <w:rFonts w:ascii="微软雅黑" w:hAnsi="微软雅黑" w:eastAsia="微软雅黑"/>
          <w:color w:val="000000"/>
          <w:szCs w:val="24"/>
          <w:highlight w:val="none"/>
          <w:lang w:val="zh-CN"/>
        </w:rPr>
        <w:t>=评标委员会所有成员评分合计数/评标委员会组成人员数。</w:t>
      </w:r>
    </w:p>
    <w:p>
      <w:pPr>
        <w:snapToGrid w:val="0"/>
        <w:spacing w:line="360" w:lineRule="exact"/>
        <w:ind w:firstLine="480" w:firstLineChars="200"/>
        <w:rPr>
          <w:rStyle w:val="62"/>
          <w:rFonts w:ascii="微软雅黑" w:hAnsi="微软雅黑" w:eastAsia="微软雅黑"/>
          <w:color w:val="000000"/>
          <w:szCs w:val="24"/>
          <w:highlight w:val="none"/>
          <w:lang w:val="zh-CN"/>
        </w:rPr>
      </w:pPr>
      <w:r>
        <w:rPr>
          <w:rStyle w:val="62"/>
          <w:rFonts w:ascii="微软雅黑" w:hAnsi="微软雅黑" w:eastAsia="微软雅黑"/>
          <w:color w:val="000000"/>
          <w:szCs w:val="24"/>
          <w:highlight w:val="none"/>
          <w:lang w:val="zh-CN"/>
        </w:rPr>
        <w:t>（三）投标报价得分采用低价优先法计算，即满足招标文件要求且投标价格最低的投标报价为评标基准价，其报价得满分。其他投标人的投标报价得分按下列公式计算：</w:t>
      </w:r>
    </w:p>
    <w:p>
      <w:pPr>
        <w:snapToGrid w:val="0"/>
        <w:spacing w:line="360" w:lineRule="exact"/>
        <w:ind w:firstLine="480" w:firstLineChars="200"/>
        <w:rPr>
          <w:rStyle w:val="62"/>
          <w:rFonts w:ascii="微软雅黑" w:hAnsi="微软雅黑" w:eastAsia="微软雅黑" w:cs="微软雅黑"/>
          <w:b/>
          <w:bCs/>
          <w:color w:val="000000"/>
          <w:szCs w:val="24"/>
          <w:highlight w:val="none"/>
        </w:rPr>
      </w:pPr>
      <w:r>
        <w:rPr>
          <w:rStyle w:val="62"/>
          <w:rFonts w:ascii="微软雅黑" w:hAnsi="微软雅黑" w:eastAsia="微软雅黑" w:cs="微软雅黑"/>
          <w:b/>
          <w:bCs/>
          <w:color w:val="000000"/>
          <w:szCs w:val="24"/>
          <w:highlight w:val="none"/>
        </w:rPr>
        <w:t>投标报价得分=(评标基准价／投标报价)×</w:t>
      </w:r>
      <w:r>
        <w:rPr>
          <w:rStyle w:val="62"/>
          <w:rFonts w:hint="eastAsia" w:ascii="微软雅黑" w:hAnsi="微软雅黑" w:eastAsia="微软雅黑" w:cs="微软雅黑"/>
          <w:b/>
          <w:bCs/>
          <w:color w:val="000000"/>
          <w:szCs w:val="24"/>
          <w:highlight w:val="none"/>
        </w:rPr>
        <w:t>20</w:t>
      </w:r>
      <w:r>
        <w:rPr>
          <w:rStyle w:val="62"/>
          <w:rFonts w:ascii="微软雅黑" w:hAnsi="微软雅黑" w:eastAsia="微软雅黑" w:cs="微软雅黑"/>
          <w:b/>
          <w:bCs/>
          <w:color w:val="000000"/>
          <w:szCs w:val="24"/>
          <w:highlight w:val="none"/>
        </w:rPr>
        <w:t>%×100 。</w:t>
      </w:r>
    </w:p>
    <w:p>
      <w:pPr>
        <w:numPr>
          <w:ilvl w:val="0"/>
          <w:numId w:val="10"/>
        </w:numPr>
        <w:snapToGrid w:val="0"/>
        <w:spacing w:line="360" w:lineRule="exact"/>
        <w:ind w:firstLine="240" w:firstLineChars="1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政府采购政策及优惠：</w:t>
      </w:r>
    </w:p>
    <w:p>
      <w:pPr>
        <w:snapToGrid w:val="0"/>
        <w:spacing w:line="400" w:lineRule="exact"/>
        <w:ind w:firstLine="468" w:firstLineChars="195"/>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w:t>
      </w:r>
      <w:r>
        <w:rPr>
          <w:rStyle w:val="62"/>
          <w:rFonts w:ascii="微软雅黑" w:hAnsi="微软雅黑" w:eastAsia="微软雅黑"/>
          <w:color w:val="000000"/>
          <w:kern w:val="2"/>
          <w:szCs w:val="24"/>
          <w:highlight w:val="none"/>
        </w:rPr>
        <w:t>1</w:t>
      </w:r>
      <w:r>
        <w:rPr>
          <w:rStyle w:val="62"/>
          <w:rFonts w:ascii="微软雅黑" w:hAnsi="微软雅黑" w:eastAsia="微软雅黑"/>
          <w:color w:val="000000"/>
          <w:kern w:val="2"/>
          <w:szCs w:val="24"/>
          <w:highlight w:val="none"/>
          <w:lang w:val="zh-CN"/>
        </w:rPr>
        <w:t>）关于小型、微型企业（简称小微企业）投标：小微企业投标是指符合《中小企业划型标准规定》的供应商，符合《政府采购促进中小企业发展管理办法》规定的享受优惠政策。</w:t>
      </w:r>
    </w:p>
    <w:p>
      <w:pPr>
        <w:snapToGrid w:val="0"/>
        <w:spacing w:line="400" w:lineRule="exact"/>
        <w:ind w:firstLine="468" w:firstLineChars="195"/>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小微企业投标应提供《中小企业声明函》，在报价文件中未提供完整有效《中小企业声明函》或填写不正确的，投标报价可不予扣减。</w:t>
      </w:r>
    </w:p>
    <w:p>
      <w:pPr>
        <w:snapToGrid w:val="0"/>
        <w:spacing w:line="400" w:lineRule="exact"/>
        <w:ind w:firstLine="468" w:firstLineChars="195"/>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对于符合《政府采购促进中小企业发展管理办法》</w:t>
      </w:r>
      <w:r>
        <w:rPr>
          <w:rStyle w:val="62"/>
          <w:rFonts w:ascii="微软雅黑" w:hAnsi="微软雅黑" w:eastAsia="微软雅黑"/>
          <w:color w:val="000000"/>
          <w:kern w:val="2"/>
          <w:szCs w:val="24"/>
          <w:highlight w:val="none"/>
        </w:rPr>
        <w:t>规定的</w:t>
      </w:r>
      <w:r>
        <w:rPr>
          <w:rStyle w:val="62"/>
          <w:rFonts w:ascii="微软雅黑" w:hAnsi="微软雅黑" w:eastAsia="微软雅黑"/>
          <w:color w:val="000000"/>
          <w:kern w:val="2"/>
          <w:szCs w:val="24"/>
          <w:highlight w:val="none"/>
          <w:lang w:val="zh-CN"/>
        </w:rPr>
        <w:t>小微企业</w:t>
      </w:r>
      <w:r>
        <w:rPr>
          <w:rStyle w:val="62"/>
          <w:rFonts w:ascii="微软雅黑" w:hAnsi="微软雅黑" w:eastAsia="微软雅黑"/>
          <w:color w:val="000000"/>
          <w:kern w:val="2"/>
          <w:szCs w:val="24"/>
          <w:highlight w:val="none"/>
        </w:rPr>
        <w:t>报价给予</w:t>
      </w:r>
      <w:r>
        <w:rPr>
          <w:rStyle w:val="62"/>
          <w:rFonts w:ascii="微软雅黑" w:hAnsi="微软雅黑" w:eastAsia="微软雅黑"/>
          <w:color w:val="000000"/>
          <w:kern w:val="2"/>
          <w:szCs w:val="24"/>
          <w:highlight w:val="none"/>
          <w:lang w:val="zh-CN"/>
        </w:rPr>
        <w:t>6%的扣除，用扣除后的价格</w:t>
      </w:r>
      <w:r>
        <w:rPr>
          <w:rStyle w:val="62"/>
          <w:rFonts w:ascii="微软雅黑" w:hAnsi="微软雅黑" w:eastAsia="微软雅黑"/>
          <w:color w:val="000000"/>
          <w:kern w:val="2"/>
          <w:szCs w:val="24"/>
          <w:highlight w:val="none"/>
        </w:rPr>
        <w:t>参加评审。</w:t>
      </w:r>
    </w:p>
    <w:p>
      <w:pPr>
        <w:snapToGrid w:val="0"/>
        <w:spacing w:line="360" w:lineRule="exact"/>
        <w:ind w:firstLine="480" w:firstLineChars="2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w:t>
      </w:r>
      <w:r>
        <w:rPr>
          <w:rStyle w:val="62"/>
          <w:rFonts w:ascii="微软雅黑" w:hAnsi="微软雅黑" w:eastAsia="微软雅黑"/>
          <w:color w:val="000000"/>
          <w:kern w:val="2"/>
          <w:szCs w:val="24"/>
          <w:highlight w:val="none"/>
        </w:rPr>
        <w:t>2</w:t>
      </w:r>
      <w:r>
        <w:rPr>
          <w:rStyle w:val="62"/>
          <w:rFonts w:ascii="微软雅黑" w:hAnsi="微软雅黑" w:eastAsia="微软雅黑"/>
          <w:color w:val="000000"/>
          <w:kern w:val="2"/>
          <w:szCs w:val="24"/>
          <w:highlight w:val="none"/>
          <w:lang w:val="zh-CN"/>
        </w:rPr>
        <w:t>）监狱企业参加政府采购活动时，应当提供由省级以上监狱管理局、戒毒管理局（含新疆生产建设兵团）出具的属于监狱企业的证明文件，视同小型、微型企业，享受小微企业政府采购优惠政策；</w:t>
      </w:r>
    </w:p>
    <w:p>
      <w:pPr>
        <w:snapToGrid w:val="0"/>
        <w:spacing w:line="360" w:lineRule="exact"/>
        <w:ind w:firstLine="480" w:firstLineChars="2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（3）残疾人福利性单位在参加政府采购活动时，应提供《残疾人福利性单位声明函》（见附件），视同小型、微型企业，享受小微企业政府采购优惠政策。</w:t>
      </w:r>
    </w:p>
    <w:p>
      <w:pPr>
        <w:snapToGrid w:val="0"/>
        <w:spacing w:line="360" w:lineRule="exact"/>
        <w:ind w:firstLine="480" w:firstLineChars="2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同一投标人（包括联合体），小微企业、监狱企业、残疾人福利性单位价格扣除优惠只享受一次，不得重复享受。</w:t>
      </w:r>
    </w:p>
    <w:p>
      <w:pPr>
        <w:snapToGrid w:val="0"/>
        <w:spacing w:line="360" w:lineRule="exact"/>
        <w:ind w:firstLine="708" w:firstLineChars="295"/>
        <w:rPr>
          <w:rStyle w:val="62"/>
          <w:rFonts w:ascii="微软雅黑" w:hAnsi="微软雅黑" w:eastAsia="微软雅黑"/>
          <w:color w:val="000000"/>
          <w:kern w:val="2"/>
          <w:szCs w:val="24"/>
          <w:highlight w:val="none"/>
          <w:shd w:val="clear" w:color="auto" w:fill="D9D9D9"/>
          <w:lang w:val="zh-CN"/>
        </w:rPr>
      </w:pPr>
      <w:r>
        <w:rPr>
          <w:rStyle w:val="62"/>
          <w:rFonts w:ascii="微软雅黑" w:hAnsi="微软雅黑" w:eastAsia="微软雅黑"/>
          <w:color w:val="000000"/>
          <w:kern w:val="2"/>
          <w:szCs w:val="24"/>
          <w:highlight w:val="none"/>
          <w:lang w:val="zh-CN"/>
        </w:rPr>
        <w:t>注：得分以系统计算为准，保留2位小数。</w:t>
      </w:r>
    </w:p>
    <w:p>
      <w:pPr>
        <w:snapToGrid w:val="0"/>
        <w:spacing w:line="360" w:lineRule="exact"/>
        <w:ind w:firstLine="480" w:firstLineChars="2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三、在最大限度地满足招标文件实质性要求前提下，评标委员会按照招标文件中规定的各项因素进行综合评审后，以评标总得分最高的投标人为中标候选人。</w:t>
      </w:r>
    </w:p>
    <w:p>
      <w:pPr>
        <w:snapToGrid w:val="0"/>
        <w:spacing w:line="360" w:lineRule="exact"/>
        <w:ind w:firstLine="480" w:firstLineChars="200"/>
        <w:rPr>
          <w:rStyle w:val="62"/>
          <w:rFonts w:ascii="微软雅黑" w:hAnsi="微软雅黑" w:eastAsia="微软雅黑"/>
          <w:color w:val="000000"/>
          <w:kern w:val="2"/>
          <w:szCs w:val="24"/>
          <w:highlight w:val="none"/>
          <w:lang w:val="zh-CN"/>
        </w:rPr>
      </w:pPr>
      <w:r>
        <w:rPr>
          <w:rStyle w:val="62"/>
          <w:rFonts w:ascii="微软雅黑" w:hAnsi="微软雅黑" w:eastAsia="微软雅黑"/>
          <w:color w:val="000000"/>
          <w:kern w:val="2"/>
          <w:szCs w:val="24"/>
          <w:highlight w:val="none"/>
          <w:lang w:val="zh-CN"/>
        </w:rPr>
        <w:t>四、如综合得分相同，投标报价低者为先；如综合得分且投标报价相同的，</w:t>
      </w:r>
      <w:r>
        <w:rPr>
          <w:rStyle w:val="62"/>
          <w:rFonts w:ascii="微软雅黑" w:hAnsi="微软雅黑" w:eastAsia="微软雅黑"/>
          <w:color w:val="000000"/>
          <w:kern w:val="2"/>
          <w:szCs w:val="24"/>
          <w:highlight w:val="none"/>
        </w:rPr>
        <w:t>则以采购人现场抽签为准</w:t>
      </w:r>
      <w:r>
        <w:rPr>
          <w:rStyle w:val="62"/>
          <w:rFonts w:ascii="微软雅黑" w:hAnsi="微软雅黑" w:eastAsia="微软雅黑"/>
          <w:color w:val="000000"/>
          <w:kern w:val="2"/>
          <w:szCs w:val="24"/>
          <w:highlight w:val="none"/>
          <w:lang w:val="zh-CN"/>
        </w:rPr>
        <w:t>。</w:t>
      </w:r>
    </w:p>
    <w:p>
      <w:pPr>
        <w:keepNext w:val="0"/>
        <w:keepLines w:val="0"/>
        <w:pageBreakBefore w:val="0"/>
        <w:kinsoku/>
        <w:wordWrap/>
        <w:overflowPunct/>
        <w:topLinePunct w:val="0"/>
        <w:autoSpaceDE/>
        <w:autoSpaceDN/>
        <w:bidi w:val="0"/>
        <w:snapToGrid w:val="0"/>
        <w:spacing w:line="400" w:lineRule="exact"/>
        <w:jc w:val="left"/>
        <w:rPr>
          <w:rStyle w:val="62"/>
          <w:rFonts w:ascii="微软雅黑" w:hAnsi="微软雅黑" w:eastAsia="微软雅黑" w:cs="微软雅黑"/>
          <w:b/>
          <w:bCs/>
          <w:color w:val="000000"/>
          <w:szCs w:val="24"/>
          <w:highlight w:val="none"/>
        </w:rPr>
      </w:pPr>
      <w:r>
        <w:rPr>
          <w:sz w:val="20"/>
          <w:highlight w:val="none"/>
        </w:rPr>
        <w:br w:type="page"/>
      </w:r>
      <w:r>
        <w:rPr>
          <w:rStyle w:val="62"/>
          <w:rFonts w:ascii="微软雅黑" w:hAnsi="微软雅黑" w:eastAsia="微软雅黑" w:cs="微软雅黑"/>
          <w:b/>
          <w:bCs/>
          <w:color w:val="000000"/>
          <w:szCs w:val="24"/>
          <w:highlight w:val="none"/>
        </w:rPr>
        <w:t>五、本次评分具体分值细化条款如下表：</w:t>
      </w:r>
    </w:p>
    <w:tbl>
      <w:tblPr>
        <w:tblStyle w:val="23"/>
        <w:tblW w:w="9837"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19"/>
        <w:gridCol w:w="735"/>
        <w:gridCol w:w="6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b/>
                <w:bCs/>
                <w:color w:val="auto"/>
                <w:sz w:val="22"/>
                <w:szCs w:val="22"/>
                <w:highlight w:val="none"/>
              </w:rPr>
            </w:pPr>
            <w:r>
              <w:rPr>
                <w:rFonts w:hint="eastAsia" w:ascii="微软雅黑" w:hAnsi="微软雅黑" w:eastAsia="微软雅黑" w:cs="微软雅黑"/>
                <w:b/>
                <w:bCs/>
                <w:color w:val="auto"/>
                <w:sz w:val="22"/>
                <w:szCs w:val="22"/>
                <w:highlight w:val="none"/>
              </w:rPr>
              <w:t>序号</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b/>
                <w:bCs/>
                <w:color w:val="auto"/>
                <w:sz w:val="22"/>
                <w:szCs w:val="22"/>
                <w:highlight w:val="none"/>
              </w:rPr>
            </w:pPr>
            <w:r>
              <w:rPr>
                <w:rFonts w:hint="eastAsia" w:ascii="微软雅黑" w:hAnsi="微软雅黑" w:eastAsia="微软雅黑" w:cs="微软雅黑"/>
                <w:b/>
                <w:bCs/>
                <w:color w:val="auto"/>
                <w:sz w:val="22"/>
                <w:szCs w:val="22"/>
                <w:highlight w:val="none"/>
              </w:rPr>
              <w:t>评审因素</w:t>
            </w: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b/>
                <w:bCs/>
                <w:color w:val="auto"/>
                <w:sz w:val="22"/>
                <w:szCs w:val="22"/>
                <w:highlight w:val="none"/>
              </w:rPr>
            </w:pPr>
            <w:r>
              <w:rPr>
                <w:rFonts w:hint="eastAsia" w:ascii="微软雅黑" w:hAnsi="微软雅黑" w:eastAsia="微软雅黑" w:cs="微软雅黑"/>
                <w:b/>
                <w:bCs/>
                <w:color w:val="auto"/>
                <w:sz w:val="22"/>
                <w:szCs w:val="22"/>
                <w:highlight w:val="none"/>
              </w:rPr>
              <w:t>分值</w:t>
            </w:r>
          </w:p>
        </w:tc>
        <w:tc>
          <w:tcPr>
            <w:tcW w:w="6966"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b/>
                <w:bCs/>
                <w:color w:val="auto"/>
                <w:sz w:val="22"/>
                <w:szCs w:val="22"/>
                <w:highlight w:val="none"/>
              </w:rPr>
            </w:pPr>
            <w:r>
              <w:rPr>
                <w:rFonts w:hint="eastAsia" w:ascii="微软雅黑" w:hAnsi="微软雅黑" w:eastAsia="微软雅黑" w:cs="微软雅黑"/>
                <w:b/>
                <w:bCs/>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1</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rPr>
              <w:t>设备配置</w:t>
            </w:r>
            <w:r>
              <w:rPr>
                <w:rFonts w:hint="eastAsia" w:ascii="微软雅黑" w:hAnsi="微软雅黑" w:eastAsia="微软雅黑" w:cs="微软雅黑"/>
                <w:color w:val="auto"/>
                <w:sz w:val="22"/>
                <w:szCs w:val="22"/>
                <w:highlight w:val="none"/>
                <w:lang w:val="en-US" w:eastAsia="zh-CN"/>
              </w:rPr>
              <w:t>方案</w:t>
            </w:r>
          </w:p>
        </w:tc>
        <w:tc>
          <w:tcPr>
            <w:tcW w:w="735" w:type="dxa"/>
            <w:noWrap/>
            <w:vAlign w:val="center"/>
          </w:tcPr>
          <w:p>
            <w:pPr>
              <w:keepNext w:val="0"/>
              <w:keepLines w:val="0"/>
              <w:pageBreakBefore w:val="0"/>
              <w:kinsoku/>
              <w:wordWrap/>
              <w:overflowPunct/>
              <w:topLinePunct w:val="0"/>
              <w:autoSpaceDE/>
              <w:autoSpaceDN/>
              <w:bidi w:val="0"/>
              <w:spacing w:line="400" w:lineRule="exact"/>
              <w:ind w:left="-105" w:leftChars="-50" w:right="-115" w:rightChars="-55"/>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12</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提供设备配置方案，承诺中标后拟投入本项目的设备的类型、数量等，并出具合理的使用方案以及用途等说明，评标委员会根据上述资料综合评分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配置数量</w:t>
            </w:r>
            <w:r>
              <w:rPr>
                <w:rFonts w:hint="eastAsia" w:ascii="微软雅黑" w:hAnsi="微软雅黑" w:eastAsia="微软雅黑" w:cs="微软雅黑"/>
                <w:color w:val="auto"/>
                <w:sz w:val="22"/>
                <w:szCs w:val="22"/>
                <w:highlight w:val="none"/>
                <w:lang w:val="en-US" w:eastAsia="zh-CN"/>
              </w:rPr>
              <w:t>及类型</w:t>
            </w:r>
            <w:r>
              <w:rPr>
                <w:rFonts w:hint="eastAsia" w:ascii="微软雅黑" w:hAnsi="微软雅黑" w:eastAsia="微软雅黑" w:cs="微软雅黑"/>
                <w:color w:val="auto"/>
                <w:sz w:val="22"/>
                <w:szCs w:val="22"/>
                <w:highlight w:val="none"/>
              </w:rPr>
              <w:t>优于采购需求中车辆配置最低要求，详细列明各类设备的使用方案及用途，拟投入使用设备状况良好，有针对维修、鞋业旺季</w:t>
            </w:r>
            <w:r>
              <w:rPr>
                <w:rFonts w:hint="eastAsia" w:ascii="微软雅黑" w:hAnsi="微软雅黑" w:eastAsia="微软雅黑" w:cs="微软雅黑"/>
                <w:color w:val="auto"/>
                <w:sz w:val="22"/>
                <w:szCs w:val="22"/>
                <w:highlight w:val="none"/>
                <w:lang w:val="en-US" w:eastAsia="zh-CN"/>
              </w:rPr>
              <w:t>造成垃圾量增多</w:t>
            </w:r>
            <w:r>
              <w:rPr>
                <w:rFonts w:hint="eastAsia" w:ascii="微软雅黑" w:hAnsi="微软雅黑" w:eastAsia="微软雅黑" w:cs="微软雅黑"/>
                <w:color w:val="auto"/>
                <w:sz w:val="22"/>
                <w:szCs w:val="22"/>
                <w:highlight w:val="none"/>
              </w:rPr>
              <w:t>等情况的设备保障措施，提供的设备类型、数量等方面能完全满足本项目要求，方案可操作性强的</w:t>
            </w:r>
            <w:r>
              <w:rPr>
                <w:rFonts w:hint="eastAsia" w:ascii="微软雅黑" w:hAnsi="微软雅黑" w:eastAsia="微软雅黑" w:cs="微软雅黑"/>
                <w:color w:val="auto"/>
                <w:sz w:val="22"/>
                <w:szCs w:val="22"/>
                <w:highlight w:val="none"/>
                <w:lang w:val="en-US" w:eastAsia="zh-CN"/>
              </w:rPr>
              <w:t>8-12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配置数量达到采购需求中车辆配置最低要求，方案内容列明了使用方案及用途，有针对维修及鞋业旺季等情况的设备保障措施等，但是方案内容简单有一定缺陷的</w:t>
            </w:r>
            <w:r>
              <w:rPr>
                <w:rFonts w:hint="eastAsia" w:ascii="微软雅黑" w:hAnsi="微软雅黑" w:eastAsia="微软雅黑" w:cs="微软雅黑"/>
                <w:color w:val="auto"/>
                <w:sz w:val="22"/>
                <w:szCs w:val="22"/>
                <w:highlight w:val="none"/>
                <w:lang w:val="en-US" w:eastAsia="zh-CN"/>
              </w:rPr>
              <w:t>4-8</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adjustRightInd w:val="0"/>
              <w:snapToGrid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配置方案存在明显缺陷，提供的设备类型、数量等方面在满足本项目要求方面有明显欠缺的0-</w:t>
            </w:r>
            <w:r>
              <w:rPr>
                <w:rFonts w:hint="eastAsia" w:ascii="微软雅黑" w:hAnsi="微软雅黑" w:eastAsia="微软雅黑" w:cs="微软雅黑"/>
                <w:color w:val="auto"/>
                <w:sz w:val="22"/>
                <w:szCs w:val="22"/>
                <w:highlight w:val="none"/>
                <w:lang w:val="en-US" w:eastAsia="zh-CN"/>
              </w:rPr>
              <w:t>4</w:t>
            </w:r>
            <w:r>
              <w:rPr>
                <w:rFonts w:hint="eastAsia" w:ascii="微软雅黑" w:hAnsi="微软雅黑" w:eastAsia="微软雅黑" w:cs="微软雅黑"/>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2</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rPr>
              <w:t>项目</w:t>
            </w:r>
            <w:r>
              <w:rPr>
                <w:rFonts w:hint="eastAsia" w:ascii="微软雅黑" w:hAnsi="微软雅黑" w:eastAsia="微软雅黑" w:cs="微软雅黑"/>
                <w:color w:val="auto"/>
                <w:sz w:val="22"/>
                <w:szCs w:val="22"/>
                <w:highlight w:val="none"/>
                <w:lang w:val="en-US" w:eastAsia="zh-CN"/>
              </w:rPr>
              <w:t>管理团队</w:t>
            </w: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7</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1、项目管理人员具有环境工程或环境科学专业本科及以上学历，</w:t>
            </w:r>
            <w:r>
              <w:rPr>
                <w:rFonts w:hint="eastAsia" w:ascii="微软雅黑" w:hAnsi="微软雅黑" w:eastAsia="微软雅黑" w:cs="微软雅黑"/>
                <w:color w:val="auto"/>
                <w:sz w:val="22"/>
                <w:szCs w:val="22"/>
                <w:highlight w:val="none"/>
                <w:lang w:val="en-US" w:eastAsia="zh-CN"/>
              </w:rPr>
              <w:t>并具有</w:t>
            </w:r>
            <w:r>
              <w:rPr>
                <w:rFonts w:hint="eastAsia" w:ascii="微软雅黑" w:hAnsi="微软雅黑" w:eastAsia="微软雅黑" w:cs="微软雅黑"/>
                <w:color w:val="auto"/>
                <w:sz w:val="22"/>
                <w:szCs w:val="22"/>
                <w:highlight w:val="none"/>
              </w:rPr>
              <w:t>人社部门颁发的中级及以上职称证书的得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、项目管理人员具有高级垃圾分类运营项目经理、高级环保工程师、环卫作业项目经理，每提供一个得1分，最高3分。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、项目管理人员具有政府部门颁发的安全生产知识考核合格证书的得2分。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val="en-US" w:eastAsia="zh-CN"/>
              </w:rPr>
              <w:t>商务技术文件中提供相关证书扫描件、学历证明材料扫描件，</w:t>
            </w:r>
            <w:r>
              <w:rPr>
                <w:rFonts w:hint="eastAsia" w:ascii="微软雅黑" w:hAnsi="微软雅黑" w:eastAsia="微软雅黑" w:cs="微软雅黑"/>
                <w:color w:val="auto"/>
                <w:sz w:val="22"/>
                <w:szCs w:val="22"/>
                <w:highlight w:val="none"/>
              </w:rPr>
              <w:t>以上</w:t>
            </w:r>
            <w:r>
              <w:rPr>
                <w:rFonts w:hint="eastAsia" w:ascii="微软雅黑" w:hAnsi="微软雅黑" w:eastAsia="微软雅黑" w:cs="微软雅黑"/>
                <w:color w:val="auto"/>
                <w:sz w:val="22"/>
                <w:szCs w:val="22"/>
                <w:highlight w:val="none"/>
                <w:lang w:val="en-US" w:eastAsia="zh-CN"/>
              </w:rPr>
              <w:t>相关</w:t>
            </w:r>
            <w:r>
              <w:rPr>
                <w:rFonts w:hint="eastAsia" w:ascii="微软雅黑" w:hAnsi="微软雅黑" w:eastAsia="微软雅黑" w:cs="微软雅黑"/>
                <w:color w:val="auto"/>
                <w:sz w:val="22"/>
                <w:szCs w:val="22"/>
                <w:highlight w:val="none"/>
              </w:rPr>
              <w:t>人员需提供加盖社保部门公章或电子章的近1年内连续6个月的本单位社保缴纳证明，否则本项不得分）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3</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人员方案</w:t>
            </w:r>
          </w:p>
        </w:tc>
        <w:tc>
          <w:tcPr>
            <w:tcW w:w="735" w:type="dxa"/>
            <w:noWrap/>
            <w:vAlign w:val="center"/>
          </w:tcPr>
          <w:p>
            <w:pPr>
              <w:keepNext w:val="0"/>
              <w:keepLines w:val="0"/>
              <w:pageBreakBefore w:val="0"/>
              <w:kinsoku/>
              <w:wordWrap/>
              <w:overflowPunct/>
              <w:topLinePunct w:val="0"/>
              <w:autoSpaceDE/>
              <w:autoSpaceDN/>
              <w:bidi w:val="0"/>
              <w:spacing w:line="400" w:lineRule="exact"/>
              <w:ind w:left="-105" w:leftChars="-50" w:right="-115" w:rightChars="-55"/>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12</w:t>
            </w:r>
          </w:p>
        </w:tc>
        <w:tc>
          <w:tcPr>
            <w:tcW w:w="6966" w:type="dxa"/>
            <w:noWrap/>
            <w:vAlign w:val="center"/>
          </w:tcPr>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提供</w:t>
            </w:r>
            <w:r>
              <w:rPr>
                <w:rFonts w:hint="eastAsia" w:ascii="微软雅黑" w:hAnsi="微软雅黑" w:eastAsia="微软雅黑" w:cs="微软雅黑"/>
                <w:color w:val="auto"/>
                <w:sz w:val="22"/>
                <w:szCs w:val="22"/>
                <w:highlight w:val="none"/>
                <w:lang w:val="en-US" w:eastAsia="zh-CN"/>
              </w:rPr>
              <w:t>人员接收方案及</w:t>
            </w:r>
            <w:r>
              <w:rPr>
                <w:rFonts w:hint="eastAsia" w:ascii="微软雅黑" w:hAnsi="微软雅黑" w:eastAsia="微软雅黑" w:cs="微软雅黑"/>
                <w:color w:val="auto"/>
                <w:sz w:val="22"/>
                <w:szCs w:val="22"/>
                <w:highlight w:val="none"/>
              </w:rPr>
              <w:t>一线工作人员配置方案，根据投标文件中承诺的中标后本项目投入的一线工作人员（不包括项目负责人、管理人员）配置合理化程度、员工管理制度、薪酬制度、应急处理制度、自查自检制度等各项管理制度等方面由评标委员会综合评分：</w:t>
            </w: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人员方案详细列明工作岗位、人员配置及相应工作内容，做到定路段（点位）、定人员、定形式、定职责，</w:t>
            </w:r>
            <w:r>
              <w:rPr>
                <w:rFonts w:hint="eastAsia" w:ascii="微软雅黑" w:hAnsi="微软雅黑" w:eastAsia="微软雅黑" w:cs="微软雅黑"/>
                <w:color w:val="auto"/>
                <w:sz w:val="22"/>
                <w:szCs w:val="22"/>
                <w:highlight w:val="none"/>
                <w:lang w:val="en-US" w:eastAsia="zh-CN"/>
              </w:rPr>
              <w:t>合理安置现有工作人员，</w:t>
            </w:r>
            <w:r>
              <w:rPr>
                <w:rFonts w:hint="eastAsia" w:ascii="微软雅黑" w:hAnsi="微软雅黑" w:eastAsia="微软雅黑" w:cs="微软雅黑"/>
                <w:color w:val="auto"/>
                <w:sz w:val="22"/>
                <w:szCs w:val="22"/>
                <w:highlight w:val="none"/>
              </w:rPr>
              <w:t>拟投入人员数量充分、方案合理且可操作性强</w:t>
            </w:r>
            <w:r>
              <w:rPr>
                <w:rFonts w:hint="eastAsia" w:ascii="微软雅黑" w:hAnsi="微软雅黑" w:eastAsia="微软雅黑" w:cs="微软雅黑"/>
                <w:color w:val="auto"/>
                <w:sz w:val="22"/>
                <w:szCs w:val="22"/>
                <w:highlight w:val="none"/>
                <w:lang w:eastAsia="zh-CN"/>
              </w:rPr>
              <w:t>、</w:t>
            </w:r>
            <w:r>
              <w:rPr>
                <w:rFonts w:hint="eastAsia" w:ascii="微软雅黑" w:hAnsi="微软雅黑" w:eastAsia="微软雅黑" w:cs="微软雅黑"/>
                <w:color w:val="auto"/>
                <w:sz w:val="22"/>
                <w:szCs w:val="22"/>
                <w:highlight w:val="none"/>
                <w:lang w:val="en-US" w:eastAsia="zh-CN"/>
              </w:rPr>
              <w:t>各项管理制度健全</w:t>
            </w:r>
            <w:r>
              <w:rPr>
                <w:rFonts w:hint="eastAsia" w:ascii="微软雅黑" w:hAnsi="微软雅黑" w:eastAsia="微软雅黑" w:cs="微软雅黑"/>
                <w:color w:val="auto"/>
                <w:sz w:val="22"/>
                <w:szCs w:val="22"/>
                <w:highlight w:val="none"/>
              </w:rPr>
              <w:t>的</w:t>
            </w:r>
            <w:r>
              <w:rPr>
                <w:rFonts w:hint="eastAsia" w:ascii="微软雅黑" w:hAnsi="微软雅黑" w:eastAsia="微软雅黑" w:cs="微软雅黑"/>
                <w:color w:val="auto"/>
                <w:sz w:val="22"/>
                <w:szCs w:val="22"/>
                <w:highlight w:val="none"/>
                <w:lang w:val="en-US" w:eastAsia="zh-CN"/>
              </w:rPr>
              <w:t>8-12</w:t>
            </w:r>
            <w:r>
              <w:rPr>
                <w:rFonts w:hint="eastAsia" w:ascii="微软雅黑" w:hAnsi="微软雅黑" w:eastAsia="微软雅黑" w:cs="微软雅黑"/>
                <w:color w:val="auto"/>
                <w:sz w:val="22"/>
                <w:szCs w:val="22"/>
                <w:highlight w:val="none"/>
              </w:rPr>
              <w:t>分；</w:t>
            </w: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人员配置方案简单，拟投入人员数量满足本项目工作要求，提供了基础的人员配置安排的</w:t>
            </w:r>
            <w:r>
              <w:rPr>
                <w:rFonts w:hint="eastAsia" w:ascii="微软雅黑" w:hAnsi="微软雅黑" w:eastAsia="微软雅黑" w:cs="微软雅黑"/>
                <w:color w:val="auto"/>
                <w:sz w:val="22"/>
                <w:szCs w:val="22"/>
                <w:highlight w:val="none"/>
                <w:lang w:val="en-US" w:eastAsia="zh-CN"/>
              </w:rPr>
              <w:t>4-8</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ascii="宋体" w:hAnsi="宋体" w:cs="宋体"/>
                <w:color w:val="auto"/>
                <w:sz w:val="24"/>
                <w:szCs w:val="24"/>
                <w:highlight w:val="none"/>
              </w:rPr>
            </w:pPr>
            <w:r>
              <w:rPr>
                <w:rFonts w:hint="eastAsia" w:ascii="微软雅黑" w:hAnsi="微软雅黑" w:eastAsia="微软雅黑" w:cs="微软雅黑"/>
                <w:color w:val="auto"/>
                <w:sz w:val="22"/>
                <w:szCs w:val="22"/>
                <w:highlight w:val="none"/>
              </w:rPr>
              <w:t>人员配置方案存在明显缺陷的，方案可操作性差的0-</w:t>
            </w:r>
            <w:r>
              <w:rPr>
                <w:rFonts w:hint="eastAsia" w:ascii="微软雅黑" w:hAnsi="微软雅黑" w:eastAsia="微软雅黑" w:cs="微软雅黑"/>
                <w:color w:val="auto"/>
                <w:sz w:val="22"/>
                <w:szCs w:val="22"/>
                <w:highlight w:val="none"/>
                <w:lang w:val="en-US" w:eastAsia="zh-CN"/>
              </w:rPr>
              <w:t>4</w:t>
            </w:r>
            <w:r>
              <w:rPr>
                <w:rFonts w:hint="eastAsia" w:ascii="微软雅黑" w:hAnsi="微软雅黑" w:eastAsia="微软雅黑" w:cs="微软雅黑"/>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17" w:type="dxa"/>
            <w:vMerge w:val="restart"/>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4</w:t>
            </w:r>
          </w:p>
        </w:tc>
        <w:tc>
          <w:tcPr>
            <w:tcW w:w="1419" w:type="dxa"/>
            <w:vMerge w:val="restart"/>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作业服务实施方案</w:t>
            </w:r>
          </w:p>
        </w:tc>
        <w:tc>
          <w:tcPr>
            <w:tcW w:w="735" w:type="dxa"/>
            <w:noWrap/>
            <w:vAlign w:val="center"/>
          </w:tcPr>
          <w:p>
            <w:pPr>
              <w:keepNext w:val="0"/>
              <w:keepLines w:val="0"/>
              <w:pageBreakBefore w:val="0"/>
              <w:kinsoku/>
              <w:wordWrap/>
              <w:overflowPunct/>
              <w:topLinePunct w:val="0"/>
              <w:autoSpaceDE/>
              <w:autoSpaceDN/>
              <w:bidi w:val="0"/>
              <w:spacing w:line="400" w:lineRule="exact"/>
              <w:ind w:left="-105" w:leftChars="-50" w:right="-115" w:rightChars="-55"/>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6</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项目实地调研：投标单位针对城北街道范围内，对本项目运行的现状进行调查与问题剖析，并且提出合理化的设想和建议，根据项目了解是否深入详细、问题剖析是否全面透彻、建议是否切实可行等方面由评标委员会酌情打分。</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对本项目进行过实地调研、分析透彻有针对性、建议合理可行具有一定创新性的3-6分；</w:t>
            </w:r>
          </w:p>
          <w:p>
            <w:pPr>
              <w:keepNext w:val="0"/>
              <w:keepLines w:val="0"/>
              <w:pageBreakBefore w:val="0"/>
              <w:kinsoku/>
              <w:wordWrap/>
              <w:overflowPunct/>
              <w:topLinePunct w:val="0"/>
              <w:autoSpaceDE/>
              <w:autoSpaceDN/>
              <w:bidi w:val="0"/>
              <w:spacing w:line="400" w:lineRule="exact"/>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未实地调研或调研结果分析空泛无针对性，无有效措施建议的0-3分。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717"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1419"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12</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针对本项目制定的道路清扫保洁、垃圾收运（包含道路清扫、绿化带清扫、道路洒水及冲洗、环卫设施清洁、垃圾收运等）方案描述的全面性、合理性、规范性等，由评标委员会酌情打分：</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涵盖道路清扫保洁、垃圾收运中的工作内容，并且能体现出各项工作的作业计划、作业规程、作业细则、质量标准、培训方案、相关承诺等，方案内容全面有针对性的，可以良好体现投标单位作业能力及质量控制能力的</w:t>
            </w:r>
            <w:r>
              <w:rPr>
                <w:rFonts w:hint="eastAsia" w:ascii="微软雅黑" w:hAnsi="微软雅黑" w:eastAsia="微软雅黑" w:cs="微软雅黑"/>
                <w:color w:val="auto"/>
                <w:sz w:val="22"/>
                <w:szCs w:val="22"/>
                <w:highlight w:val="none"/>
                <w:lang w:val="en-US" w:eastAsia="zh-CN"/>
              </w:rPr>
              <w:t>8-12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方案内容无明显缺项，</w:t>
            </w:r>
            <w:r>
              <w:rPr>
                <w:rFonts w:hint="eastAsia" w:ascii="微软雅黑" w:hAnsi="微软雅黑" w:eastAsia="微软雅黑" w:cs="微软雅黑"/>
                <w:color w:val="auto"/>
                <w:sz w:val="22"/>
                <w:szCs w:val="22"/>
                <w:highlight w:val="none"/>
              </w:rPr>
              <w:t>在作业计划、作业规程、作业细则、质量标准、培训方案、相关承诺等</w:t>
            </w:r>
            <w:r>
              <w:rPr>
                <w:rFonts w:hint="eastAsia" w:ascii="微软雅黑" w:hAnsi="微软雅黑" w:eastAsia="微软雅黑" w:cs="微软雅黑"/>
                <w:color w:val="auto"/>
                <w:sz w:val="22"/>
                <w:szCs w:val="22"/>
                <w:highlight w:val="none"/>
                <w:lang w:val="en-US" w:eastAsia="zh-CN"/>
              </w:rPr>
              <w:t>基本满足工作需求，但方案内容简单无针对性、可操作性差的4-8分；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方案内容存在采购需求中工作内容的缺项，在作业计划、作业规程、作业细则、质量标准、培训方案、相关承诺等方面存在明显的内容缺失或不可操作性的0-</w:t>
            </w:r>
            <w:r>
              <w:rPr>
                <w:rFonts w:hint="eastAsia" w:ascii="微软雅黑" w:hAnsi="微软雅黑" w:eastAsia="微软雅黑" w:cs="微软雅黑"/>
                <w:color w:val="auto"/>
                <w:sz w:val="22"/>
                <w:szCs w:val="22"/>
                <w:highlight w:val="none"/>
                <w:lang w:val="en-US" w:eastAsia="zh-CN"/>
              </w:rPr>
              <w:t>4</w:t>
            </w:r>
            <w:r>
              <w:rPr>
                <w:rFonts w:hint="eastAsia" w:ascii="微软雅黑" w:hAnsi="微软雅黑" w:eastAsia="微软雅黑" w:cs="微软雅黑"/>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17"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1419"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10</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针对本项目制定的各类垃圾清运方案描述的全面性、合理性、规范性等，由评标委员会酌情打分：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能完全响应采购需求中垃圾清运的服务内容及要求，并且能体现出各项工作的作业计划、作业规程、作业细则、质量标准、培训方案、相关承诺等，方案内容全面有针对性的，可以良好体现投标单位作业能力及质量控制能力的</w:t>
            </w:r>
            <w:r>
              <w:rPr>
                <w:rFonts w:hint="eastAsia" w:ascii="微软雅黑" w:hAnsi="微软雅黑" w:eastAsia="微软雅黑" w:cs="微软雅黑"/>
                <w:color w:val="auto"/>
                <w:sz w:val="22"/>
                <w:szCs w:val="22"/>
                <w:highlight w:val="none"/>
                <w:lang w:val="en-US" w:eastAsia="zh-CN"/>
              </w:rPr>
              <w:t>5</w:t>
            </w: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val="en-US" w:eastAsia="zh-CN"/>
              </w:rPr>
              <w:t>10</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方案内容存在采购需求中工作内容的缺项，在作业计划、作业规程、作业细则、质量标准、培训方案、相关承诺等方面存在明显的内容缺失或不可操作性的0-</w:t>
            </w:r>
            <w:r>
              <w:rPr>
                <w:rFonts w:hint="eastAsia" w:ascii="微软雅黑" w:hAnsi="微软雅黑" w:eastAsia="微软雅黑" w:cs="微软雅黑"/>
                <w:color w:val="auto"/>
                <w:sz w:val="22"/>
                <w:szCs w:val="22"/>
                <w:highlight w:val="none"/>
                <w:lang w:val="en-US" w:eastAsia="zh-CN"/>
              </w:rPr>
              <w:t>5</w:t>
            </w:r>
            <w:r>
              <w:rPr>
                <w:rFonts w:hint="eastAsia" w:ascii="微软雅黑" w:hAnsi="微软雅黑" w:eastAsia="微软雅黑" w:cs="微软雅黑"/>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1419"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5</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针对本项目制定的公厕清扫保洁方案描述的全面性、合理性、规范性等，由评标委员会酌情打分：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涵盖公厕清扫保洁方案的工作内容，并且能体现出各项工作的作业计划、作业规程、作业细则、质量标准、培训方案、相关承诺等，方案内容全面有针对性的，可以良好体现投标单位作业能力及质量控制能力的3-5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方案内容存在采购需求中工作内容的缺项，在作业计划、作业规程、作业细则、质量标准、培训方案、相关承诺等方面存在明显的内容缺失或不可操作性的0-</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717" w:type="dxa"/>
            <w:vMerge w:val="restart"/>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5</w:t>
            </w:r>
          </w:p>
        </w:tc>
        <w:tc>
          <w:tcPr>
            <w:tcW w:w="1419" w:type="dxa"/>
            <w:vMerge w:val="restart"/>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智慧环卫平台</w:t>
            </w: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2</w:t>
            </w:r>
          </w:p>
        </w:tc>
        <w:tc>
          <w:tcPr>
            <w:tcW w:w="6966" w:type="dxa"/>
            <w:noWrap/>
            <w:vAlign w:val="center"/>
          </w:tcPr>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投标人具有信息安全服务资质认证，软件安全开发达到</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级及以上服务资质的得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rPr>
              <w:t>（投标人需在商务技术文件中提供认证证书扫描件及该证书在全国认证认可信息公共服务平台（http://cx.cnca.cn）上证书状态为“有效”的查询结果网页或截图，否则不得分）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717"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val="en-US" w:eastAsia="zh-CN"/>
              </w:rPr>
            </w:pPr>
          </w:p>
        </w:tc>
        <w:tc>
          <w:tcPr>
            <w:tcW w:w="1419" w:type="dxa"/>
            <w:vMerge w:val="continue"/>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rPr>
            </w:pP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2</w:t>
            </w:r>
          </w:p>
        </w:tc>
        <w:tc>
          <w:tcPr>
            <w:tcW w:w="6966" w:type="dxa"/>
            <w:noWrap/>
            <w:vAlign w:val="center"/>
          </w:tcPr>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投标人</w:t>
            </w:r>
            <w:r>
              <w:rPr>
                <w:rFonts w:hint="eastAsia" w:ascii="微软雅黑" w:hAnsi="微软雅黑" w:eastAsia="微软雅黑" w:cs="微软雅黑"/>
                <w:color w:val="auto"/>
                <w:sz w:val="22"/>
                <w:szCs w:val="22"/>
                <w:highlight w:val="none"/>
                <w:lang w:val="en-US" w:eastAsia="zh-CN"/>
              </w:rPr>
              <w:t>具有</w:t>
            </w:r>
            <w:r>
              <w:rPr>
                <w:rFonts w:hint="eastAsia" w:ascii="微软雅黑" w:hAnsi="微软雅黑" w:eastAsia="微软雅黑" w:cs="微软雅黑"/>
                <w:color w:val="auto"/>
                <w:sz w:val="22"/>
                <w:szCs w:val="22"/>
                <w:highlight w:val="none"/>
              </w:rPr>
              <w:t>信息技术服务运行维护</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级及以上标准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提供信息技术服务运行维护标准符合性</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级证书，得</w:t>
            </w:r>
            <w:r>
              <w:rPr>
                <w:rFonts w:hint="eastAsia" w:ascii="微软雅黑" w:hAnsi="微软雅黑" w:eastAsia="微软雅黑" w:cs="微软雅黑"/>
                <w:color w:val="auto"/>
                <w:sz w:val="22"/>
                <w:szCs w:val="22"/>
                <w:highlight w:val="none"/>
                <w:lang w:val="en-US" w:eastAsia="zh-CN"/>
              </w:rPr>
              <w:t>1</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提供信息技术服务运行维护标准符合性</w:t>
            </w:r>
            <w:r>
              <w:rPr>
                <w:rFonts w:hint="eastAsia" w:ascii="微软雅黑" w:hAnsi="微软雅黑" w:eastAsia="微软雅黑" w:cs="微软雅黑"/>
                <w:color w:val="auto"/>
                <w:sz w:val="22"/>
                <w:szCs w:val="22"/>
                <w:highlight w:val="none"/>
                <w:lang w:val="en-US" w:eastAsia="zh-CN"/>
              </w:rPr>
              <w:t>贰</w:t>
            </w:r>
            <w:r>
              <w:rPr>
                <w:rFonts w:hint="eastAsia" w:ascii="微软雅黑" w:hAnsi="微软雅黑" w:eastAsia="微软雅黑" w:cs="微软雅黑"/>
                <w:color w:val="auto"/>
                <w:sz w:val="22"/>
                <w:szCs w:val="22"/>
                <w:highlight w:val="none"/>
              </w:rPr>
              <w:t>级</w:t>
            </w:r>
            <w:r>
              <w:rPr>
                <w:rFonts w:hint="eastAsia" w:ascii="微软雅黑" w:hAnsi="微软雅黑" w:eastAsia="微软雅黑" w:cs="微软雅黑"/>
                <w:color w:val="auto"/>
                <w:sz w:val="22"/>
                <w:szCs w:val="22"/>
                <w:highlight w:val="none"/>
                <w:lang w:val="en-US" w:eastAsia="zh-CN"/>
              </w:rPr>
              <w:t>及以上</w:t>
            </w:r>
            <w:r>
              <w:rPr>
                <w:rFonts w:hint="eastAsia" w:ascii="微软雅黑" w:hAnsi="微软雅黑" w:eastAsia="微软雅黑" w:cs="微软雅黑"/>
                <w:color w:val="auto"/>
                <w:sz w:val="22"/>
                <w:szCs w:val="22"/>
                <w:highlight w:val="none"/>
              </w:rPr>
              <w:t>证书，得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b w:val="0"/>
                <w:bCs w:val="0"/>
                <w:color w:val="auto"/>
                <w:sz w:val="22"/>
                <w:szCs w:val="22"/>
                <w:highlight w:val="none"/>
              </w:rPr>
            </w:pPr>
            <w:r>
              <w:rPr>
                <w:rFonts w:hint="eastAsia" w:ascii="微软雅黑" w:hAnsi="微软雅黑" w:eastAsia="微软雅黑" w:cs="微软雅黑"/>
                <w:b w:val="0"/>
                <w:bCs w:val="0"/>
                <w:color w:val="auto"/>
                <w:sz w:val="22"/>
                <w:szCs w:val="22"/>
                <w:highlight w:val="none"/>
              </w:rPr>
              <w:t>（</w:t>
            </w:r>
            <w:r>
              <w:rPr>
                <w:rFonts w:hint="eastAsia" w:ascii="微软雅黑" w:hAnsi="微软雅黑" w:eastAsia="微软雅黑" w:cs="微软雅黑"/>
                <w:b w:val="0"/>
                <w:bCs w:val="0"/>
                <w:color w:val="auto"/>
                <w:sz w:val="22"/>
                <w:szCs w:val="22"/>
                <w:highlight w:val="none"/>
                <w:lang w:val="en-US" w:eastAsia="zh-CN"/>
              </w:rPr>
              <w:t>商务技术文件中须提供证书扫描件，否则不得分</w:t>
            </w:r>
            <w:r>
              <w:rPr>
                <w:rFonts w:hint="eastAsia" w:ascii="微软雅黑" w:hAnsi="微软雅黑" w:eastAsia="微软雅黑" w:cs="微软雅黑"/>
                <w:b w:val="0"/>
                <w:bCs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6</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企业资质</w:t>
            </w:r>
          </w:p>
        </w:tc>
        <w:tc>
          <w:tcPr>
            <w:tcW w:w="735" w:type="dxa"/>
            <w:noWrap/>
            <w:vAlign w:val="center"/>
          </w:tcPr>
          <w:p>
            <w:pPr>
              <w:keepNext w:val="0"/>
              <w:keepLines w:val="0"/>
              <w:pageBreakBefore w:val="0"/>
              <w:kinsoku/>
              <w:wordWrap/>
              <w:overflowPunct/>
              <w:topLinePunct w:val="0"/>
              <w:autoSpaceDE/>
              <w:autoSpaceDN/>
              <w:bidi w:val="0"/>
              <w:spacing w:line="400" w:lineRule="exact"/>
              <w:ind w:left="-105" w:leftChars="-50" w:right="-115" w:rightChars="-55"/>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3</w:t>
            </w:r>
          </w:p>
        </w:tc>
        <w:tc>
          <w:tcPr>
            <w:tcW w:w="6966" w:type="dxa"/>
            <w:noWrap/>
            <w:vAlign w:val="center"/>
          </w:tcPr>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投标人具有有效期内质量管理体系认证证书、环境管理体系认证证书、职业健康安全管理体系认证证书，每提供一个得1分，本项最多得</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jc w:val="left"/>
              <w:rPr>
                <w:rFonts w:hint="eastAsia" w:eastAsia="微软雅黑"/>
                <w:color w:val="auto"/>
                <w:highlight w:val="none"/>
                <w:lang w:eastAsia="zh-CN"/>
              </w:rPr>
            </w:pPr>
            <w:r>
              <w:rPr>
                <w:rFonts w:hint="eastAsia" w:ascii="微软雅黑" w:hAnsi="微软雅黑" w:eastAsia="微软雅黑" w:cs="微软雅黑"/>
                <w:b w:val="0"/>
                <w:bCs w:val="0"/>
                <w:color w:val="auto"/>
                <w:sz w:val="22"/>
                <w:szCs w:val="22"/>
                <w:highlight w:val="none"/>
              </w:rPr>
              <w:t>（投标人需在商务技术文件中提供认证证书扫描件及该证书在全国认证认可信息公共服务平台（http://cx.cnca.cn）上证书状态为“有效”的查询结果网页或截图，否则不得分）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7</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公司业绩</w:t>
            </w:r>
          </w:p>
        </w:tc>
        <w:tc>
          <w:tcPr>
            <w:tcW w:w="735" w:type="dxa"/>
            <w:noWrap/>
            <w:vAlign w:val="center"/>
          </w:tcPr>
          <w:p>
            <w:pPr>
              <w:keepNext w:val="0"/>
              <w:keepLines w:val="0"/>
              <w:pageBreakBefore w:val="0"/>
              <w:kinsoku/>
              <w:wordWrap/>
              <w:overflowPunct/>
              <w:topLinePunct w:val="0"/>
              <w:autoSpaceDE/>
              <w:autoSpaceDN/>
              <w:bidi w:val="0"/>
              <w:spacing w:line="400" w:lineRule="exact"/>
              <w:ind w:left="-105" w:leftChars="-50" w:right="-115" w:rightChars="-55"/>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5</w:t>
            </w:r>
          </w:p>
        </w:tc>
        <w:tc>
          <w:tcPr>
            <w:tcW w:w="6966" w:type="dxa"/>
            <w:noWrap/>
            <w:vAlign w:val="center"/>
          </w:tcPr>
          <w:p>
            <w:pPr>
              <w:keepNext w:val="0"/>
              <w:keepLines w:val="0"/>
              <w:pageBreakBefore w:val="0"/>
              <w:widowControl w:val="0"/>
              <w:numPr>
                <w:ilvl w:val="0"/>
                <w:numId w:val="11"/>
              </w:numPr>
              <w:kinsoku/>
              <w:wordWrap/>
              <w:overflowPunct/>
              <w:topLinePunct w:val="0"/>
              <w:autoSpaceDE/>
              <w:autoSpaceDN/>
              <w:bidi w:val="0"/>
              <w:spacing w:line="400" w:lineRule="exact"/>
              <w:textAlignment w:val="auto"/>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提供投标单位在2018年1月1日（以合同签订时间为准）以来的类似</w:t>
            </w:r>
            <w:r>
              <w:rPr>
                <w:rFonts w:hint="eastAsia" w:ascii="微软雅黑" w:hAnsi="微软雅黑" w:eastAsia="微软雅黑" w:cs="微软雅黑"/>
                <w:color w:val="auto"/>
                <w:sz w:val="22"/>
                <w:szCs w:val="22"/>
                <w:highlight w:val="none"/>
                <w:lang w:val="en-US" w:eastAsia="zh-CN"/>
              </w:rPr>
              <w:t>道路清扫或垃圾清运</w:t>
            </w:r>
            <w:r>
              <w:rPr>
                <w:rFonts w:hint="eastAsia" w:ascii="微软雅黑" w:hAnsi="微软雅黑" w:eastAsia="微软雅黑" w:cs="微软雅黑"/>
                <w:color w:val="auto"/>
                <w:sz w:val="22"/>
                <w:szCs w:val="22"/>
                <w:highlight w:val="none"/>
              </w:rPr>
              <w:t>业绩，每提供一份得1分，最高3分；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2、提供投标单位在2018年1月1日（以合同签订时间为准）以来的类似垃圾分类项目业绩，每提供一份得1分，最高</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val="en-US" w:eastAsia="zh-CN"/>
              </w:rPr>
              <w:t>商务文件中</w:t>
            </w:r>
            <w:r>
              <w:rPr>
                <w:rFonts w:hint="eastAsia" w:ascii="微软雅黑" w:hAnsi="微软雅黑" w:eastAsia="微软雅黑" w:cs="微软雅黑"/>
                <w:color w:val="auto"/>
                <w:sz w:val="22"/>
                <w:szCs w:val="22"/>
                <w:highlight w:val="none"/>
              </w:rPr>
              <w:t>需提供中标通知书、合同、中标公示网页或截图等证明材料，否则不得分。）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17" w:type="dxa"/>
            <w:noWrap/>
            <w:vAlign w:val="center"/>
          </w:tcPr>
          <w:p>
            <w:pPr>
              <w:keepNext w:val="0"/>
              <w:keepLines w:val="0"/>
              <w:pageBreakBefore w:val="0"/>
              <w:kinsoku/>
              <w:wordWrap/>
              <w:overflowPunct/>
              <w:topLinePunct w:val="0"/>
              <w:autoSpaceDE/>
              <w:autoSpaceDN/>
              <w:bidi w:val="0"/>
              <w:spacing w:line="400" w:lineRule="exact"/>
              <w:jc w:val="center"/>
              <w:rPr>
                <w:rFonts w:hint="default"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8</w:t>
            </w:r>
          </w:p>
        </w:tc>
        <w:tc>
          <w:tcPr>
            <w:tcW w:w="1419" w:type="dxa"/>
            <w:noWrap/>
            <w:vAlign w:val="center"/>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重大活动检查评比及突发事件</w:t>
            </w:r>
          </w:p>
        </w:tc>
        <w:tc>
          <w:tcPr>
            <w:tcW w:w="735" w:type="dxa"/>
            <w:noWrap/>
            <w:vAlign w:val="center"/>
          </w:tcPr>
          <w:p>
            <w:pPr>
              <w:keepNext w:val="0"/>
              <w:keepLines w:val="0"/>
              <w:pageBreakBefore w:val="0"/>
              <w:kinsoku/>
              <w:wordWrap/>
              <w:overflowPunct/>
              <w:topLinePunct w:val="0"/>
              <w:autoSpaceDE/>
              <w:autoSpaceDN/>
              <w:bidi w:val="0"/>
              <w:spacing w:line="400" w:lineRule="exact"/>
              <w:jc w:val="center"/>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lang w:val="en-US" w:eastAsia="zh-CN"/>
              </w:rPr>
              <w:t>4</w:t>
            </w:r>
          </w:p>
        </w:tc>
        <w:tc>
          <w:tcPr>
            <w:tcW w:w="6966" w:type="dxa"/>
            <w:noWrap/>
            <w:vAlign w:val="top"/>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迎接重大活动、检查评比及突发事件的保障措施，根据提供的预案内容有无具体可操作性由评标委员会酌情打分。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6" w:type="dxa"/>
            <w:gridSpan w:val="2"/>
            <w:noWrap/>
            <w:vAlign w:val="top"/>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kern w:val="0"/>
                <w:sz w:val="22"/>
                <w:szCs w:val="22"/>
                <w:highlight w:val="none"/>
                <w:lang w:val="zh-CN"/>
              </w:rPr>
            </w:pPr>
            <w:r>
              <w:rPr>
                <w:rFonts w:hint="eastAsia" w:ascii="微软雅黑" w:hAnsi="微软雅黑" w:eastAsia="微软雅黑" w:cs="微软雅黑"/>
                <w:color w:val="auto"/>
                <w:kern w:val="0"/>
                <w:sz w:val="22"/>
                <w:szCs w:val="22"/>
                <w:highlight w:val="none"/>
                <w:lang w:val="zh-CN"/>
              </w:rPr>
              <w:t>合计</w:t>
            </w:r>
          </w:p>
        </w:tc>
        <w:tc>
          <w:tcPr>
            <w:tcW w:w="735" w:type="dxa"/>
            <w:noWrap/>
            <w:vAlign w:val="top"/>
          </w:tcPr>
          <w:p>
            <w:pPr>
              <w:keepNext w:val="0"/>
              <w:keepLines w:val="0"/>
              <w:pageBreakBefore w:val="0"/>
              <w:kinsoku/>
              <w:wordWrap/>
              <w:overflowPunct/>
              <w:topLinePunct w:val="0"/>
              <w:autoSpaceDE/>
              <w:autoSpaceDN/>
              <w:bidi w:val="0"/>
              <w:spacing w:line="400" w:lineRule="exact"/>
              <w:jc w:val="center"/>
              <w:rPr>
                <w:rFonts w:ascii="微软雅黑" w:hAnsi="微软雅黑" w:eastAsia="微软雅黑" w:cs="微软雅黑"/>
                <w:color w:val="auto"/>
                <w:kern w:val="0"/>
                <w:sz w:val="22"/>
                <w:szCs w:val="22"/>
                <w:highlight w:val="none"/>
                <w:lang w:val="zh-CN"/>
              </w:rPr>
            </w:pPr>
            <w:r>
              <w:rPr>
                <w:rFonts w:hint="eastAsia" w:ascii="微软雅黑" w:hAnsi="微软雅黑" w:eastAsia="微软雅黑" w:cs="微软雅黑"/>
                <w:color w:val="auto"/>
                <w:kern w:val="0"/>
                <w:sz w:val="22"/>
                <w:szCs w:val="22"/>
                <w:highlight w:val="none"/>
                <w:lang w:val="zh-CN"/>
              </w:rPr>
              <w:fldChar w:fldCharType="begin"/>
            </w:r>
            <w:r>
              <w:rPr>
                <w:rFonts w:hint="eastAsia" w:ascii="微软雅黑" w:hAnsi="微软雅黑" w:eastAsia="微软雅黑" w:cs="微软雅黑"/>
                <w:color w:val="auto"/>
                <w:kern w:val="0"/>
                <w:sz w:val="22"/>
                <w:szCs w:val="22"/>
                <w:highlight w:val="none"/>
                <w:lang w:val="zh-CN"/>
              </w:rPr>
              <w:instrText xml:space="preserve"> =SUM(ABOVE) </w:instrText>
            </w:r>
            <w:r>
              <w:rPr>
                <w:rFonts w:hint="eastAsia" w:ascii="微软雅黑" w:hAnsi="微软雅黑" w:eastAsia="微软雅黑" w:cs="微软雅黑"/>
                <w:color w:val="auto"/>
                <w:kern w:val="0"/>
                <w:sz w:val="22"/>
                <w:szCs w:val="22"/>
                <w:highlight w:val="none"/>
                <w:lang w:val="zh-CN"/>
              </w:rPr>
              <w:fldChar w:fldCharType="separate"/>
            </w:r>
            <w:r>
              <w:rPr>
                <w:rFonts w:hint="eastAsia" w:ascii="微软雅黑" w:hAnsi="微软雅黑" w:eastAsia="微软雅黑" w:cs="微软雅黑"/>
                <w:color w:val="auto"/>
                <w:kern w:val="0"/>
                <w:sz w:val="22"/>
                <w:szCs w:val="22"/>
                <w:highlight w:val="none"/>
                <w:lang w:val="zh-CN"/>
              </w:rPr>
              <w:t>80</w:t>
            </w:r>
            <w:r>
              <w:rPr>
                <w:rFonts w:hint="eastAsia" w:ascii="微软雅黑" w:hAnsi="微软雅黑" w:eastAsia="微软雅黑" w:cs="微软雅黑"/>
                <w:color w:val="auto"/>
                <w:kern w:val="0"/>
                <w:sz w:val="22"/>
                <w:szCs w:val="22"/>
                <w:highlight w:val="none"/>
                <w:lang w:val="zh-CN"/>
              </w:rPr>
              <w:fldChar w:fldCharType="end"/>
            </w:r>
          </w:p>
        </w:tc>
        <w:tc>
          <w:tcPr>
            <w:tcW w:w="6966" w:type="dxa"/>
            <w:noWrap/>
            <w:vAlign w:val="top"/>
          </w:tcPr>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kern w:val="0"/>
                <w:sz w:val="22"/>
                <w:szCs w:val="22"/>
                <w:highlight w:val="none"/>
                <w:lang w:val="zh-CN"/>
              </w:rPr>
            </w:pPr>
          </w:p>
        </w:tc>
      </w:tr>
    </w:tbl>
    <w:p>
      <w:pPr>
        <w:keepNext w:val="0"/>
        <w:keepLines w:val="0"/>
        <w:pageBreakBefore w:val="0"/>
        <w:kinsoku/>
        <w:wordWrap/>
        <w:overflowPunct/>
        <w:topLinePunct w:val="0"/>
        <w:autoSpaceDE/>
        <w:autoSpaceDN/>
        <w:bidi w:val="0"/>
        <w:snapToGrid w:val="0"/>
        <w:spacing w:line="400" w:lineRule="exact"/>
        <w:rPr>
          <w:rFonts w:ascii="微软雅黑" w:hAnsi="微软雅黑" w:eastAsia="微软雅黑" w:cs="微软雅黑"/>
          <w:b/>
          <w:color w:val="000000"/>
          <w:sz w:val="36"/>
          <w:highlight w:val="none"/>
        </w:rPr>
      </w:pPr>
      <w:r>
        <w:rPr>
          <w:rStyle w:val="62"/>
          <w:rFonts w:ascii="微软雅黑" w:hAnsi="微软雅黑" w:eastAsia="微软雅黑" w:cs="微软雅黑"/>
          <w:b/>
          <w:bCs/>
          <w:color w:val="000000"/>
          <w:kern w:val="2"/>
          <w:szCs w:val="24"/>
          <w:highlight w:val="none"/>
        </w:rPr>
        <w:t>六、评标委员会不向投标单位解释具体评标内容，不退还投标文件</w:t>
      </w:r>
      <w:r>
        <w:rPr>
          <w:rStyle w:val="62"/>
          <w:rFonts w:ascii="微软雅黑" w:hAnsi="微软雅黑" w:eastAsia="微软雅黑"/>
          <w:color w:val="000000"/>
          <w:kern w:val="2"/>
          <w:szCs w:val="24"/>
          <w:highlight w:val="none"/>
        </w:rPr>
        <w:t>。</w:t>
      </w:r>
      <w:r>
        <w:rPr>
          <w:sz w:val="20"/>
          <w:highlight w:val="none"/>
        </w:rPr>
        <w:br w:type="column"/>
      </w:r>
      <w:r>
        <w:rPr>
          <w:rStyle w:val="62"/>
          <w:rFonts w:ascii="微软雅黑" w:hAnsi="微软雅黑" w:eastAsia="微软雅黑" w:cs="微软雅黑"/>
          <w:b/>
          <w:bCs/>
          <w:color w:val="000000"/>
          <w:kern w:val="2"/>
          <w:sz w:val="36"/>
          <w:szCs w:val="36"/>
          <w:highlight w:val="none"/>
        </w:rPr>
        <w:t xml:space="preserve">                 第四章  公开招标需求</w:t>
      </w:r>
    </w:p>
    <w:p>
      <w:pPr>
        <w:numPr>
          <w:ilvl w:val="0"/>
          <w:numId w:val="12"/>
        </w:numPr>
        <w:adjustRightInd w:val="0"/>
        <w:spacing w:line="400" w:lineRule="exact"/>
        <w:rPr>
          <w:rFonts w:ascii="微软雅黑" w:hAnsi="微软雅黑" w:eastAsia="微软雅黑" w:cs="微软雅黑"/>
          <w:b/>
          <w:sz w:val="24"/>
          <w:szCs w:val="24"/>
          <w:highlight w:val="none"/>
        </w:rPr>
      </w:pPr>
      <w:bookmarkStart w:id="0" w:name="_Toc513384934"/>
      <w:bookmarkStart w:id="1" w:name="_Toc511058441"/>
      <w:r>
        <w:rPr>
          <w:rFonts w:hint="eastAsia" w:ascii="微软雅黑" w:hAnsi="微软雅黑" w:eastAsia="微软雅黑" w:cs="微软雅黑"/>
          <w:b/>
          <w:sz w:val="24"/>
          <w:szCs w:val="24"/>
          <w:highlight w:val="none"/>
        </w:rPr>
        <w:t>项目基本情况</w:t>
      </w:r>
      <w:bookmarkEnd w:id="0"/>
      <w:bookmarkEnd w:id="1"/>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项目名称：温岭市城北街道道路清扫保洁、垃圾清运及公厕保洁服务采购。</w:t>
      </w:r>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实施概况：为全面推进城乡环卫一体化进程，进一步推动辖区内环境卫生治理工作，不断优化居民生活居住条件，现将城北街道辖区范围内的道路清扫保洁、垃圾清运及公厕保洁实行整体承包，具体详见本章服务内容。</w:t>
      </w:r>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项目预算：</w:t>
      </w:r>
      <w:r>
        <w:rPr>
          <w:rFonts w:hint="eastAsia" w:ascii="微软雅黑" w:hAnsi="微软雅黑" w:eastAsia="微软雅黑" w:cs="微软雅黑"/>
          <w:sz w:val="24"/>
          <w:szCs w:val="24"/>
          <w:highlight w:val="none"/>
          <w:lang w:val="en-US" w:eastAsia="zh-CN"/>
        </w:rPr>
        <w:t>1200</w:t>
      </w:r>
      <w:r>
        <w:rPr>
          <w:rFonts w:hint="eastAsia" w:ascii="微软雅黑" w:hAnsi="微软雅黑" w:eastAsia="微软雅黑" w:cs="微软雅黑"/>
          <w:sz w:val="24"/>
          <w:szCs w:val="24"/>
          <w:highlight w:val="none"/>
        </w:rPr>
        <w:t>万元。</w:t>
      </w:r>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合同期：</w:t>
      </w:r>
      <w:bookmarkStart w:id="2" w:name="_Toc513384942"/>
      <w:bookmarkStart w:id="3" w:name="_Toc511058444"/>
      <w:r>
        <w:rPr>
          <w:rFonts w:hint="eastAsia" w:ascii="微软雅黑" w:hAnsi="微软雅黑" w:eastAsia="微软雅黑" w:cs="微软雅黑"/>
          <w:sz w:val="24"/>
          <w:szCs w:val="24"/>
          <w:highlight w:val="none"/>
          <w:lang w:val="en-US" w:eastAsia="zh-CN"/>
        </w:rPr>
        <w:t>1年。</w:t>
      </w:r>
      <w:r>
        <w:rPr>
          <w:rFonts w:hint="eastAsia" w:ascii="微软雅黑" w:hAnsi="微软雅黑" w:eastAsia="微软雅黑" w:cs="微软雅黑"/>
          <w:sz w:val="24"/>
          <w:szCs w:val="24"/>
          <w:highlight w:val="none"/>
        </w:rPr>
        <w:t>本次报价2年内有效，1年合同履行完毕后，采购人有权根据考核情况决定是否续签下一年度合同。</w:t>
      </w:r>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承包方式：本次招标项目采用总价承包，即业务包干、经费包干，采购人将项目经费交给中标单位，中标单位按采购人的管理要求和标准组织保洁、清扫及清运工作，并接受采购人的监督、指导和验收工作。中标单位不得将本项目分包、转包、内部经济承包及变相经济转承包；一经发现，采购人有权责令其停止作业并终止合同，作中标单位违约处理并没收履约保证金，中标单位承担由此引起的法律责任及一切经济损失。</w:t>
      </w:r>
    </w:p>
    <w:p>
      <w:pPr>
        <w:numPr>
          <w:ilvl w:val="0"/>
          <w:numId w:val="1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统一踏勘时间：2021年07月22日上午9点在温岭市人民政府城北街道办事处</w:t>
      </w:r>
      <w:r>
        <w:rPr>
          <w:rFonts w:hint="eastAsia" w:ascii="微软雅黑" w:hAnsi="微软雅黑" w:eastAsia="微软雅黑" w:cs="微软雅黑"/>
          <w:sz w:val="24"/>
          <w:szCs w:val="24"/>
          <w:highlight w:val="none"/>
          <w:lang w:val="en-US" w:eastAsia="zh-CN"/>
        </w:rPr>
        <w:t>四楼会议室集中</w:t>
      </w:r>
      <w:r>
        <w:rPr>
          <w:rFonts w:hint="eastAsia" w:ascii="微软雅黑" w:hAnsi="微软雅黑" w:eastAsia="微软雅黑" w:cs="微软雅黑"/>
          <w:sz w:val="24"/>
          <w:szCs w:val="24"/>
          <w:highlight w:val="none"/>
        </w:rPr>
        <w:t>。踏勘人员为采购人以及有意向参与投标的各单位</w:t>
      </w: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lang w:val="en-US" w:eastAsia="zh-CN"/>
        </w:rPr>
        <w:t>各投标单位踏勘人员不得超过2人</w:t>
      </w:r>
      <w:r>
        <w:rPr>
          <w:rFonts w:hint="eastAsia" w:ascii="微软雅黑" w:hAnsi="微软雅黑" w:eastAsia="微软雅黑" w:cs="微软雅黑"/>
          <w:sz w:val="24"/>
          <w:szCs w:val="24"/>
          <w:highlight w:val="none"/>
        </w:rPr>
        <w:t>。未按时参加的可自行前往踏勘。</w:t>
      </w:r>
    </w:p>
    <w:p>
      <w:pPr>
        <w:numPr>
          <w:ilvl w:val="0"/>
          <w:numId w:val="13"/>
        </w:numPr>
        <w:adjustRightInd w:val="0"/>
        <w:spacing w:line="400" w:lineRule="exact"/>
        <w:ind w:firstLine="482" w:firstLineChars="200"/>
        <w:rPr>
          <w:rFonts w:ascii="微软雅黑" w:hAnsi="微软雅黑" w:eastAsia="微软雅黑" w:cs="微软雅黑"/>
          <w:sz w:val="24"/>
          <w:szCs w:val="24"/>
          <w:highlight w:val="none"/>
        </w:rPr>
      </w:pPr>
      <w:r>
        <w:rPr>
          <w:rFonts w:hint="eastAsia" w:ascii="宋体" w:hAnsi="宋体"/>
          <w:b/>
          <w:sz w:val="24"/>
          <w:szCs w:val="24"/>
          <w:highlight w:val="none"/>
          <w:u w:val="single"/>
        </w:rPr>
        <w:t>其他：带▲是实质性条款，投标单位必须响应，不得负偏离，否则为无效标。</w:t>
      </w:r>
    </w:p>
    <w:bookmarkEnd w:id="2"/>
    <w:bookmarkEnd w:id="3"/>
    <w:p>
      <w:pPr>
        <w:keepNext/>
        <w:keepLines/>
        <w:widowControl w:val="0"/>
        <w:numPr>
          <w:ilvl w:val="0"/>
          <w:numId w:val="12"/>
        </w:numPr>
        <w:adjustRightInd w:val="0"/>
        <w:spacing w:line="400" w:lineRule="exact"/>
        <w:textAlignment w:val="auto"/>
        <w:outlineLvl w:val="1"/>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道路清扫保洁、垃圾收运服务内容</w:t>
      </w:r>
      <w:bookmarkStart w:id="4" w:name="_Toc513384708"/>
      <w:bookmarkEnd w:id="4"/>
      <w:bookmarkStart w:id="5" w:name="_Toc512324689"/>
      <w:bookmarkEnd w:id="5"/>
      <w:bookmarkStart w:id="6" w:name="_Toc511058359"/>
      <w:bookmarkEnd w:id="6"/>
      <w:bookmarkStart w:id="7" w:name="_Toc511058445"/>
      <w:bookmarkEnd w:id="7"/>
      <w:bookmarkStart w:id="8" w:name="_Toc513384649"/>
      <w:bookmarkEnd w:id="8"/>
      <w:bookmarkStart w:id="9" w:name="_Toc511033380"/>
      <w:bookmarkEnd w:id="9"/>
      <w:bookmarkStart w:id="10" w:name="_Toc513384943"/>
      <w:bookmarkEnd w:id="10"/>
      <w:bookmarkStart w:id="11" w:name="_Toc511993003"/>
      <w:bookmarkEnd w:id="11"/>
      <w:bookmarkStart w:id="12" w:name="_Toc511029732"/>
      <w:bookmarkEnd w:id="12"/>
      <w:bookmarkStart w:id="13" w:name="_Toc511992948"/>
      <w:bookmarkEnd w:id="13"/>
    </w:p>
    <w:p>
      <w:pPr>
        <w:numPr>
          <w:ilvl w:val="0"/>
          <w:numId w:val="14"/>
        </w:numPr>
        <w:spacing w:line="400" w:lineRule="exact"/>
        <w:rPr>
          <w:rFonts w:ascii="微软雅黑" w:hAnsi="微软雅黑" w:eastAsia="微软雅黑" w:cs="微软雅黑"/>
          <w:b/>
          <w:sz w:val="24"/>
          <w:szCs w:val="24"/>
          <w:highlight w:val="none"/>
        </w:rPr>
      </w:pPr>
      <w:bookmarkStart w:id="14" w:name="_Toc513384944"/>
      <w:bookmarkStart w:id="15" w:name="_Toc511058446"/>
      <w:r>
        <w:rPr>
          <w:rFonts w:hint="eastAsia" w:ascii="微软雅黑" w:hAnsi="微软雅黑" w:eastAsia="微软雅黑" w:cs="微软雅黑"/>
          <w:b/>
          <w:sz w:val="24"/>
          <w:szCs w:val="24"/>
          <w:highlight w:val="none"/>
        </w:rPr>
        <w:t>实施范围</w:t>
      </w:r>
      <w:bookmarkEnd w:id="14"/>
      <w:bookmarkEnd w:id="15"/>
    </w:p>
    <w:p>
      <w:pPr>
        <w:numPr>
          <w:ilvl w:val="0"/>
          <w:numId w:val="15"/>
        </w:numPr>
        <w:adjustRightInd w:val="0"/>
        <w:spacing w:line="400" w:lineRule="exact"/>
        <w:ind w:firstLine="480" w:firstLineChars="200"/>
        <w:rPr>
          <w:rFonts w:ascii="微软雅黑" w:hAnsi="微软雅黑" w:eastAsia="微软雅黑" w:cs="微软雅黑"/>
          <w:sz w:val="24"/>
          <w:szCs w:val="24"/>
          <w:highlight w:val="none"/>
        </w:rPr>
      </w:pPr>
      <w:bookmarkStart w:id="16" w:name="_Toc511058447"/>
      <w:r>
        <w:rPr>
          <w:rFonts w:hint="eastAsia" w:ascii="微软雅黑" w:hAnsi="微软雅黑" w:eastAsia="微软雅黑" w:cs="微软雅黑"/>
          <w:sz w:val="24"/>
          <w:szCs w:val="24"/>
          <w:highlight w:val="none"/>
        </w:rPr>
        <w:t>项目实施范围为：温岭市城北街道城区及采购人指定的范围。</w:t>
      </w:r>
    </w:p>
    <w:p>
      <w:pPr>
        <w:numPr>
          <w:ilvl w:val="0"/>
          <w:numId w:val="15"/>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清扫保洁面积总计约：938631.6平方米，清扫保洁面积参考下表及公告附件《城北街道2021年度保洁面积测量现状图》。表格数据及测量图仅供参考，具体清扫保洁范围由投标单位自行前往现场考察统计，投标单位中标后对清扫保洁面积有争议的，不影响本项目最终报价。</w:t>
      </w:r>
    </w:p>
    <w:tbl>
      <w:tblPr>
        <w:tblStyle w:val="23"/>
        <w:tblW w:w="8708" w:type="dxa"/>
        <w:tblInd w:w="0" w:type="dxa"/>
        <w:tblLayout w:type="fixed"/>
        <w:tblCellMar>
          <w:top w:w="0" w:type="dxa"/>
          <w:left w:w="0" w:type="dxa"/>
          <w:bottom w:w="0" w:type="dxa"/>
          <w:right w:w="0" w:type="dxa"/>
        </w:tblCellMar>
      </w:tblPr>
      <w:tblGrid>
        <w:gridCol w:w="1492"/>
        <w:gridCol w:w="2488"/>
        <w:gridCol w:w="1357"/>
        <w:gridCol w:w="1391"/>
        <w:gridCol w:w="1980"/>
      </w:tblGrid>
      <w:tr>
        <w:trPr>
          <w:trHeight w:val="296"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单位名称</w:t>
            </w:r>
          </w:p>
        </w:tc>
        <w:tc>
          <w:tcPr>
            <w:tcW w:w="2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四至（起止）</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编号</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面积(㎡)</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备注</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万昌中路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南起大石一级公路、北止长大村</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68964.55</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57291.92</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石粘路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南起温岭市第八中学、北止泽楚路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131627.14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2102.66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7777.42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支路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729.47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358.18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322.20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372.14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S2-8</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461.28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S2-9</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935.50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S2-10</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1043.37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830.49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844.42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849.92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553.71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445.78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712.69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864.91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S2-18</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952.99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S2-19</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1082.74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S2-20</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623.55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1402.77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160.11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城北大道</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东起石粘路、西止万昌中路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62650.24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双南路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东起路泽太一级公路、西止石粘路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S4-1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25413.87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振兴西路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东起石粘路、西止石牧路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S5-1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67355.71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S5-2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674.95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S5-3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2453.47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S5-4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3281.66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振兴东路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东起圆环路、西止石粘路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S6-1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782.91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S6-2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11800.05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S6-3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4941.68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北繁路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南起振兴西路、北止北繁桥</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S7-1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11669.97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北新北路</w:t>
            </w:r>
          </w:p>
        </w:tc>
        <w:tc>
          <w:tcPr>
            <w:tcW w:w="248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南起芳田河、北止金清大港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18770.46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19051.25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3339.56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799.14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536.13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S8-6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7179.95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周边健身步道及绿化</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北新南路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南起祝家二桥、北止芳田河</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S9-1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14819.90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S9-2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5824.37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中大街</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南起联民中路、北止温岭市城北街道沿江居民委会</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S10-1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3758.99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S10-2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3750.71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S10-3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2061.61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菱池路</w:t>
            </w:r>
          </w:p>
        </w:tc>
        <w:tc>
          <w:tcPr>
            <w:tcW w:w="248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南起联民东路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、北止双南路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6801.92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6853.17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1606.48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1798.13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S11-5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301.66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崇业路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南起方家小区、北止双南路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7270.44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2786.62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3607.10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14345.37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2757.47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周边道路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555.01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270.08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S12-8</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934.80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S12-9</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631.32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振联路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南起联民东路、北止振兴东路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S13-1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6915.06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S13-2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756.42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兴大路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南起联民东路、北止双南路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S14-1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4700.37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S14-2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22308.41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S14-3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4447.90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周边停车场</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南山路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东起路泽太一级公路、西止双南路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S15-1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3490.55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齐江路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南起联运路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、北止联民中路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S16-1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1472.27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S16-2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484.60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经中路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东起经环路、西止石粘路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S17-1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7226.55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421"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横九路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东起石粘路、西止北新北路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S18-1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1634.52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方家路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东起圆环路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、西止北新北路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S19-1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1679.41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S19-2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10779.17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S19-3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4707.51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双莲路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东起圆环路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S20-1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4150.10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S20-2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1697.34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S20-3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4270.10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S20-4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4644.58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S20-5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3003.17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公园</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中马路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东起圆环路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、西止东月河周边健身步道及绿化</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722.57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5249.52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2309.01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3703.20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S21-5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5096.22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联民中路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、西止联民西路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1323.87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S22-2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2695.82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联民东路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东起石紫路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25434.23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289.37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640.85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1786.34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1929.58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1643.51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周边道路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S23-7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1881.33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周边道路</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石牧路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、西止万昌中路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S24-1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6285.92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S24-2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1908.96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S24-3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2411.92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S24-4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4451.55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联运路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东起石粘路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、西止万昌中路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S25-1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12076.89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S25-2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4480.83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502" w:hRule="atLeast"/>
        </w:trPr>
        <w:tc>
          <w:tcPr>
            <w:tcW w:w="14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文化路</w:t>
            </w:r>
          </w:p>
        </w:tc>
        <w:tc>
          <w:tcPr>
            <w:tcW w:w="2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东起温岭市第八中学</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S26-1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633.68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经环路</w:t>
            </w:r>
          </w:p>
        </w:tc>
        <w:tc>
          <w:tcPr>
            <w:tcW w:w="2488"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南起石粘路</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、北止石粘路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12806.46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653.69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1921.96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3320.39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S27-5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12342.11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周边道路</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圆环路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南起温岭市德尔惠鞋业有限公司分厂</w:t>
            </w:r>
            <w:r>
              <w:rPr>
                <w:rFonts w:hint="eastAsia" w:ascii="微软雅黑" w:hAnsi="微软雅黑" w:eastAsia="微软雅黑" w:cs="微软雅黑"/>
                <w:color w:val="000000"/>
                <w:kern w:val="0"/>
                <w:highlight w:val="none"/>
              </w:rPr>
              <w:br w:type="textWrapping"/>
            </w:r>
            <w:r>
              <w:rPr>
                <w:rFonts w:hint="eastAsia" w:ascii="微软雅黑" w:hAnsi="微软雅黑" w:eastAsia="微软雅黑" w:cs="微软雅黑"/>
                <w:color w:val="000000"/>
                <w:kern w:val="0"/>
                <w:highlight w:val="none"/>
              </w:rPr>
              <w:t>、北止菱池路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S28-1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35119.28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S28-2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315.94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便民中心</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S28-3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584.44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S28-4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636.25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绿化</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菜场路</w:t>
            </w:r>
          </w:p>
        </w:tc>
        <w:tc>
          <w:tcPr>
            <w:tcW w:w="24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菜场路周边</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S29-1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2463.26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周边弄堂路</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S29-2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1014.89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主干道</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S29-3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977.14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停车场</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东月河沿河周边</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南起祝家一桥、北止东月河</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2664.03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675.25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657.55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564.23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986.60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2674.30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公园</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2444.62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公园</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S30-8</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1286.66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S30-9</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979.59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公园</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S30-10</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1340.82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2670.90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1276.04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2336.96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2581.57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S30-15</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403.28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S30-16</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7268.45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S30-17</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1061.52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绿化</w:t>
            </w:r>
          </w:p>
        </w:tc>
      </w:tr>
      <w:tr>
        <w:tblPrEx>
          <w:tblCellMar>
            <w:top w:w="0" w:type="dxa"/>
            <w:left w:w="0" w:type="dxa"/>
            <w:bottom w:w="0" w:type="dxa"/>
            <w:right w:w="0" w:type="dxa"/>
          </w:tblCellMar>
        </w:tblPrEx>
        <w:trPr>
          <w:trHeight w:val="217" w:hRule="atLeast"/>
        </w:trPr>
        <w:tc>
          <w:tcPr>
            <w:tcW w:w="14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麻长路</w:t>
            </w:r>
          </w:p>
        </w:tc>
        <w:tc>
          <w:tcPr>
            <w:tcW w:w="24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东起路泽太一级公路、西止石粘路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S31-1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5997.38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高架下绿化</w:t>
            </w:r>
          </w:p>
        </w:tc>
      </w:tr>
      <w:tr>
        <w:tblPrEx>
          <w:tblCellMar>
            <w:top w:w="0" w:type="dxa"/>
            <w:left w:w="0" w:type="dxa"/>
            <w:bottom w:w="0" w:type="dxa"/>
            <w:right w:w="0" w:type="dxa"/>
          </w:tblCellMar>
        </w:tblPrEx>
        <w:trPr>
          <w:trHeight w:val="217" w:hRule="atLeast"/>
        </w:trPr>
        <w:tc>
          <w:tcPr>
            <w:tcW w:w="14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S31-2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1315.65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周边停车场</w:t>
            </w:r>
          </w:p>
        </w:tc>
      </w:tr>
      <w:tr>
        <w:tblPrEx>
          <w:tblCellMar>
            <w:top w:w="0" w:type="dxa"/>
            <w:left w:w="0" w:type="dxa"/>
            <w:bottom w:w="0" w:type="dxa"/>
            <w:right w:w="0" w:type="dxa"/>
          </w:tblCellMar>
        </w:tblPrEx>
        <w:trPr>
          <w:trHeight w:val="217" w:hRule="atLeast"/>
        </w:trPr>
        <w:tc>
          <w:tcPr>
            <w:tcW w:w="1492"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后马河沿河周边</w:t>
            </w:r>
          </w:p>
        </w:tc>
        <w:tc>
          <w:tcPr>
            <w:tcW w:w="248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东起圆环路、西止菱池路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S32-1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3765.42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S32-2</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2357.19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S32-3</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3177.05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217" w:hRule="atLeast"/>
        </w:trPr>
        <w:tc>
          <w:tcPr>
            <w:tcW w:w="1492"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248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S32-4</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1517.97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健身步道及绿化</w:t>
            </w:r>
          </w:p>
        </w:tc>
      </w:tr>
      <w:tr>
        <w:tblPrEx>
          <w:tblCellMar>
            <w:top w:w="0" w:type="dxa"/>
            <w:left w:w="0" w:type="dxa"/>
            <w:bottom w:w="0" w:type="dxa"/>
            <w:right w:w="0" w:type="dxa"/>
          </w:tblCellMar>
        </w:tblPrEx>
        <w:trPr>
          <w:trHeight w:val="421" w:hRule="atLeast"/>
        </w:trPr>
        <w:tc>
          <w:tcPr>
            <w:tcW w:w="1492" w:type="dxa"/>
            <w:tcBorders>
              <w:top w:val="nil"/>
              <w:left w:val="single" w:color="000000" w:sz="4" w:space="0"/>
              <w:bottom w:val="nil"/>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东普小区</w:t>
            </w:r>
          </w:p>
        </w:tc>
        <w:tc>
          <w:tcPr>
            <w:tcW w:w="2488" w:type="dxa"/>
            <w:tcBorders>
              <w:top w:val="nil"/>
              <w:left w:val="single" w:color="000000" w:sz="4" w:space="0"/>
              <w:bottom w:val="nil"/>
              <w:right w:val="single" w:color="000000" w:sz="4" w:space="0"/>
            </w:tcBorders>
            <w:noWrap w:val="0"/>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南起联运路、北止石牧路</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S33-1</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 xml:space="preserve">38403.50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color w:val="000000"/>
                <w:highlight w:val="none"/>
              </w:rPr>
            </w:pPr>
            <w:r>
              <w:rPr>
                <w:rFonts w:hint="eastAsia" w:ascii="微软雅黑" w:hAnsi="微软雅黑" w:eastAsia="微软雅黑" w:cs="微软雅黑"/>
                <w:color w:val="000000"/>
                <w:kern w:val="0"/>
                <w:highlight w:val="none"/>
              </w:rPr>
              <w:t>内部道路</w:t>
            </w:r>
          </w:p>
        </w:tc>
      </w:tr>
      <w:tr>
        <w:tblPrEx>
          <w:tblCellMar>
            <w:top w:w="0" w:type="dxa"/>
            <w:left w:w="0" w:type="dxa"/>
            <w:bottom w:w="0" w:type="dxa"/>
            <w:right w:w="0" w:type="dxa"/>
          </w:tblCellMar>
        </w:tblPrEx>
        <w:trPr>
          <w:trHeight w:val="303" w:hRule="atLeast"/>
        </w:trPr>
        <w:tc>
          <w:tcPr>
            <w:tcW w:w="533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b/>
                <w:color w:val="000000"/>
                <w:highlight w:val="none"/>
              </w:rPr>
            </w:pPr>
            <w:r>
              <w:rPr>
                <w:rFonts w:hint="eastAsia" w:ascii="微软雅黑" w:hAnsi="微软雅黑" w:eastAsia="微软雅黑" w:cs="微软雅黑"/>
                <w:b/>
                <w:color w:val="000000"/>
                <w:kern w:val="0"/>
                <w:highlight w:val="none"/>
              </w:rPr>
              <w:t>合计</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textAlignment w:val="center"/>
              <w:rPr>
                <w:rFonts w:ascii="微软雅黑" w:hAnsi="微软雅黑" w:eastAsia="微软雅黑" w:cs="微软雅黑"/>
                <w:b/>
                <w:color w:val="000000"/>
                <w:highlight w:val="none"/>
              </w:rPr>
            </w:pPr>
            <w:r>
              <w:rPr>
                <w:rFonts w:hint="eastAsia" w:ascii="微软雅黑" w:hAnsi="微软雅黑" w:eastAsia="微软雅黑" w:cs="微软雅黑"/>
                <w:b/>
                <w:color w:val="000000"/>
                <w:kern w:val="0"/>
                <w:highlight w:val="none"/>
              </w:rPr>
              <w:t xml:space="preserve">938631.60 </w:t>
            </w:r>
          </w:p>
        </w:tc>
        <w:tc>
          <w:tcPr>
            <w:tcW w:w="1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ascii="微软雅黑" w:hAnsi="微软雅黑" w:eastAsia="微软雅黑" w:cs="微软雅黑"/>
                <w:color w:val="000000"/>
                <w:highlight w:val="none"/>
              </w:rPr>
            </w:pPr>
          </w:p>
        </w:tc>
      </w:tr>
    </w:tbl>
    <w:p>
      <w:pPr>
        <w:spacing w:line="400" w:lineRule="exact"/>
        <w:ind w:firstLine="480" w:firstLineChars="200"/>
        <w:jc w:val="left"/>
        <w:rPr>
          <w:rFonts w:ascii="微软雅黑" w:hAnsi="微软雅黑" w:eastAsia="微软雅黑" w:cs="微软雅黑"/>
          <w:color w:val="000000"/>
          <w:sz w:val="24"/>
          <w:szCs w:val="24"/>
          <w:highlight w:val="none"/>
        </w:rPr>
      </w:pPr>
      <w:r>
        <w:rPr>
          <w:rFonts w:hint="eastAsia" w:ascii="微软雅黑" w:hAnsi="微软雅黑" w:eastAsia="微软雅黑" w:cs="微软雅黑"/>
          <w:sz w:val="24"/>
          <w:szCs w:val="24"/>
          <w:highlight w:val="none"/>
        </w:rPr>
        <w:t>除上述列明区域外，本项目清扫范围包含城北街道磊石公园区域，投标单位报价应考虑在内，采购人不再另行支付费用。本项目责任范围以外新增清扫路段的：第一年合同服务期内中标单位无条件接受清扫保洁任务，不得提出任何费用要求；</w:t>
      </w:r>
      <w:r>
        <w:rPr>
          <w:rFonts w:hint="eastAsia" w:ascii="微软雅黑" w:hAnsi="微软雅黑" w:eastAsia="微软雅黑" w:cs="微软雅黑"/>
          <w:sz w:val="24"/>
          <w:szCs w:val="24"/>
          <w:highlight w:val="none"/>
          <w:lang w:val="en-US" w:eastAsia="zh-CN"/>
        </w:rPr>
        <w:t>若续签则</w:t>
      </w:r>
      <w:r>
        <w:rPr>
          <w:rFonts w:hint="eastAsia" w:ascii="微软雅黑" w:hAnsi="微软雅黑" w:eastAsia="微软雅黑" w:cs="微软雅黑"/>
          <w:sz w:val="24"/>
          <w:szCs w:val="24"/>
          <w:highlight w:val="none"/>
        </w:rPr>
        <w:t>第二年合同服务期开始，每处新增道路面积少于2000平方米（含）的</w:t>
      </w:r>
      <w:r>
        <w:rPr>
          <w:rFonts w:hint="eastAsia" w:ascii="微软雅黑" w:hAnsi="微软雅黑" w:eastAsia="微软雅黑" w:cs="微软雅黑"/>
          <w:color w:val="000000"/>
          <w:sz w:val="24"/>
          <w:szCs w:val="24"/>
          <w:highlight w:val="none"/>
        </w:rPr>
        <w:t>，中标单位无条件接受清扫保洁任务，不得提出任何费用要求，新增道路面积在2000平方米以上的，另行协商。</w:t>
      </w:r>
    </w:p>
    <w:p>
      <w:pPr>
        <w:numPr>
          <w:ilvl w:val="0"/>
          <w:numId w:val="15"/>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color w:val="000000"/>
          <w:sz w:val="24"/>
          <w:szCs w:val="24"/>
          <w:highlight w:val="none"/>
        </w:rPr>
        <w:t>辖区内现有</w:t>
      </w:r>
      <w:r>
        <w:rPr>
          <w:rFonts w:hint="eastAsia" w:ascii="微软雅黑" w:hAnsi="微软雅黑" w:eastAsia="微软雅黑" w:cs="微软雅黑"/>
          <w:sz w:val="24"/>
          <w:szCs w:val="24"/>
          <w:highlight w:val="none"/>
        </w:rPr>
        <w:t>果壳箱20只、</w:t>
      </w:r>
      <w:r>
        <w:rPr>
          <w:rFonts w:hint="eastAsia" w:ascii="微软雅黑" w:hAnsi="微软雅黑" w:eastAsia="微软雅黑" w:cs="微软雅黑"/>
          <w:color w:val="000000"/>
          <w:sz w:val="24"/>
          <w:szCs w:val="24"/>
          <w:highlight w:val="none"/>
        </w:rPr>
        <w:t>垃圾桶460只，</w:t>
      </w:r>
      <w:r>
        <w:rPr>
          <w:rFonts w:hint="eastAsia" w:ascii="微软雅黑" w:hAnsi="微软雅黑" w:eastAsia="微软雅黑" w:cs="微软雅黑"/>
          <w:sz w:val="24"/>
          <w:szCs w:val="24"/>
          <w:highlight w:val="none"/>
        </w:rPr>
        <w:t>中标单位须将设施内垃圾收运至中转站，辖区范围内增设垃圾桶或果壳箱的，中标单位无条件接受垃圾收运任务，不得提出任何费用要求。</w:t>
      </w:r>
    </w:p>
    <w:p>
      <w:pPr>
        <w:numPr>
          <w:ilvl w:val="0"/>
          <w:numId w:val="14"/>
        </w:numPr>
        <w:spacing w:line="400" w:lineRule="exact"/>
        <w:rPr>
          <w:rFonts w:ascii="微软雅黑" w:hAnsi="微软雅黑" w:eastAsia="微软雅黑" w:cs="微软雅黑"/>
          <w:b/>
          <w:sz w:val="24"/>
          <w:szCs w:val="24"/>
          <w:highlight w:val="none"/>
        </w:rPr>
      </w:pPr>
      <w:bookmarkStart w:id="17" w:name="_Toc513384945"/>
      <w:r>
        <w:rPr>
          <w:rFonts w:hint="eastAsia" w:ascii="微软雅黑" w:hAnsi="微软雅黑" w:eastAsia="微软雅黑" w:cs="微软雅黑"/>
          <w:b/>
          <w:sz w:val="24"/>
          <w:szCs w:val="24"/>
          <w:highlight w:val="none"/>
        </w:rPr>
        <w:t>项目实施内容</w:t>
      </w:r>
      <w:bookmarkEnd w:id="16"/>
      <w:bookmarkEnd w:id="17"/>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本项目区域范围内温岭市城北街道城区、主干道、人行道、背街小巷、健身便道、公园、花坛等采购人指定范围的清扫保洁及</w:t>
      </w:r>
      <w:r>
        <w:rPr>
          <w:rFonts w:hint="eastAsia" w:ascii="微软雅黑" w:hAnsi="微软雅黑" w:eastAsia="微软雅黑" w:cs="微软雅黑"/>
          <w:b/>
          <w:bCs/>
          <w:sz w:val="24"/>
          <w:szCs w:val="24"/>
          <w:highlight w:val="none"/>
          <w:u w:val="single"/>
        </w:rPr>
        <w:t>垃圾收运工作</w:t>
      </w:r>
      <w:r>
        <w:rPr>
          <w:rFonts w:hint="eastAsia" w:ascii="微软雅黑" w:hAnsi="微软雅黑" w:eastAsia="微软雅黑" w:cs="微软雅黑"/>
          <w:sz w:val="24"/>
          <w:szCs w:val="24"/>
          <w:highlight w:val="none"/>
        </w:rPr>
        <w:t>。</w:t>
      </w:r>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项目实施范围内绿化带、公交站亭、垃圾桶等公共设施的日常清洗保洁维护。</w:t>
      </w:r>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项目实施范围内的环卫设备设施日常保洁及管理维护。</w:t>
      </w:r>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积极开展垃圾分类的宣传、投放劝导并落实采购人的相关分类要求。</w:t>
      </w:r>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重大活动、上级检查或突发事件的应急环卫保洁。</w:t>
      </w:r>
    </w:p>
    <w:p>
      <w:pPr>
        <w:numPr>
          <w:ilvl w:val="0"/>
          <w:numId w:val="1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其他环卫保洁相关作业。</w:t>
      </w:r>
    </w:p>
    <w:p>
      <w:pPr>
        <w:numPr>
          <w:ilvl w:val="0"/>
          <w:numId w:val="14"/>
        </w:numPr>
        <w:spacing w:line="400" w:lineRule="exact"/>
        <w:rPr>
          <w:rFonts w:ascii="微软雅黑" w:hAnsi="微软雅黑" w:eastAsia="微软雅黑" w:cs="微软雅黑"/>
          <w:b/>
          <w:sz w:val="24"/>
          <w:szCs w:val="24"/>
          <w:highlight w:val="none"/>
        </w:rPr>
      </w:pPr>
      <w:bookmarkStart w:id="18" w:name="_Toc513384946"/>
      <w:bookmarkStart w:id="19" w:name="_Toc511058448"/>
      <w:r>
        <w:rPr>
          <w:rFonts w:hint="eastAsia" w:ascii="微软雅黑" w:hAnsi="微软雅黑" w:eastAsia="微软雅黑" w:cs="微软雅黑"/>
          <w:b/>
          <w:sz w:val="24"/>
          <w:szCs w:val="24"/>
          <w:highlight w:val="none"/>
        </w:rPr>
        <w:t>项目实施目标</w:t>
      </w:r>
      <w:bookmarkEnd w:id="18"/>
      <w:bookmarkEnd w:id="19"/>
    </w:p>
    <w:p>
      <w:pPr>
        <w:numPr>
          <w:ilvl w:val="0"/>
          <w:numId w:val="1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配置的人员、设备满足项目安全作业及质量要求，推行道路清扫保洁机械化；环卫设施干净整洁，完好率不低于98%。</w:t>
      </w:r>
    </w:p>
    <w:p>
      <w:pPr>
        <w:numPr>
          <w:ilvl w:val="0"/>
          <w:numId w:val="1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城中村、背街小巷、无物业服务小区环境卫生状况明显提升。</w:t>
      </w:r>
    </w:p>
    <w:p>
      <w:pPr>
        <w:numPr>
          <w:ilvl w:val="0"/>
          <w:numId w:val="1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提高生活垃圾收运能力和作业质量，收运模式合理，垃圾日产日清，不留死角；逐步淘汰落后的露天生活垃圾收集方式，做到垃圾定点投放。</w:t>
      </w:r>
    </w:p>
    <w:p>
      <w:pPr>
        <w:numPr>
          <w:ilvl w:val="0"/>
          <w:numId w:val="1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全面配合采购人推动实施垃圾分类收集作业。</w:t>
      </w:r>
    </w:p>
    <w:p>
      <w:pPr>
        <w:numPr>
          <w:ilvl w:val="0"/>
          <w:numId w:val="14"/>
        </w:numPr>
        <w:spacing w:line="400" w:lineRule="exact"/>
        <w:rPr>
          <w:rFonts w:ascii="微软雅黑" w:hAnsi="微软雅黑" w:eastAsia="微软雅黑" w:cs="微软雅黑"/>
          <w:b/>
          <w:sz w:val="24"/>
          <w:szCs w:val="24"/>
          <w:highlight w:val="none"/>
        </w:rPr>
      </w:pPr>
      <w:bookmarkStart w:id="20" w:name="_Toc511058450"/>
      <w:bookmarkStart w:id="21" w:name="_Toc513384952"/>
      <w:r>
        <w:rPr>
          <w:rFonts w:hint="eastAsia" w:ascii="微软雅黑" w:hAnsi="微软雅黑" w:eastAsia="微软雅黑" w:cs="微软雅黑"/>
          <w:b/>
          <w:sz w:val="24"/>
          <w:szCs w:val="24"/>
          <w:highlight w:val="none"/>
        </w:rPr>
        <w:t>项目作业标准</w:t>
      </w:r>
      <w:bookmarkEnd w:id="20"/>
      <w:bookmarkEnd w:id="21"/>
    </w:p>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bookmarkStart w:id="22" w:name="_Toc513384953"/>
      <w:r>
        <w:rPr>
          <w:rFonts w:hint="eastAsia" w:ascii="微软雅黑" w:hAnsi="微软雅黑" w:eastAsia="微软雅黑" w:cs="微软雅黑"/>
          <w:b/>
          <w:bCs/>
          <w:sz w:val="24"/>
          <w:szCs w:val="24"/>
          <w:highlight w:val="none"/>
        </w:rPr>
        <w:t>清扫保洁作业质量标准</w:t>
      </w:r>
      <w:bookmarkEnd w:id="22"/>
    </w:p>
    <w:p>
      <w:pPr>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（1）普扫的卫生标准达到“七无五净”标准，即无杂物；无果皮壳；无纸屑、烟蒂、塑料袋；无淤泥积土；无污水；无堵塞窨井沟眼；无卫生死角。路面、路牙净；窨井沟眼净；树穴净；边角净；花坛周围净。</w:t>
      </w:r>
    </w:p>
    <w:p>
      <w:pPr>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巡回保洁的卫生标准达到承包责任区域内无垃圾废弃物（包括烟头、纸屑、瓜果皮核、包装壳、塑料袋、砖瓦、石子等各类明显废弃物）；无散、袋装垃圾滞留路面及绿化带；果壳箱、垃圾桶及时关门、加盖，不得敞露；人行道、步阶、墙根、树穴无明显杂草、杂物；晴天路面无积水、无蚊蝇孽生；路两旁及隔离护栏下无淤泥；路面基本见本色。</w:t>
      </w:r>
    </w:p>
    <w:p>
      <w:pPr>
        <w:spacing w:line="400" w:lineRule="exact"/>
        <w:ind w:left="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（3）道路及室外公共场所保洁等级及质量标准应符合下列道路标准：</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质量要求</w:t>
      </w:r>
    </w:p>
    <w:p>
      <w:pPr>
        <w:spacing w:line="400" w:lineRule="exact"/>
        <w:ind w:firstLine="480" w:firstLineChars="200"/>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①路面无垃圾、污渍，积泥较少，人行道无杂草，晴天无积水，道路两侧3米内无垃圾。</w:t>
      </w:r>
    </w:p>
    <w:p>
      <w:pPr>
        <w:spacing w:line="400" w:lineRule="exact"/>
        <w:ind w:firstLine="480" w:firstLineChars="200"/>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②人行道板及各类井盖等处缝隙、沟眼无垃圾，无积泥嵌石。</w:t>
      </w:r>
    </w:p>
    <w:p>
      <w:pPr>
        <w:spacing w:line="400" w:lineRule="exact"/>
        <w:ind w:firstLine="480" w:firstLineChars="200"/>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③道路绿地、花坛、树圈无杂物、无垃圾。</w:t>
      </w:r>
    </w:p>
    <w:p>
      <w:pPr>
        <w:spacing w:line="400" w:lineRule="exact"/>
        <w:ind w:firstLine="480" w:firstLineChars="200"/>
        <w:rPr>
          <w:rFonts w:eastAsia="微软雅黑"/>
          <w:highlight w:val="none"/>
        </w:rPr>
      </w:pPr>
      <w:r>
        <w:rPr>
          <w:rFonts w:hint="eastAsia" w:ascii="微软雅黑" w:hAnsi="微软雅黑" w:eastAsia="微软雅黑" w:cs="微软雅黑"/>
          <w:color w:val="000000"/>
          <w:kern w:val="0"/>
          <w:sz w:val="24"/>
          <w:szCs w:val="24"/>
          <w:highlight w:val="none"/>
        </w:rPr>
        <w:t>④建筑垃圾、有害垃圾、大件垃圾等按采购人要求分类运输至指定的处置点。</w:t>
      </w:r>
    </w:p>
    <w:p>
      <w:pPr>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rPr>
        <w:t>⑤环卫设施（果壳箱、垃圾桶、垃圾房等）设置整齐规范、无破损、歪斜、油漆剥落</w:t>
      </w:r>
      <w:r>
        <w:rPr>
          <w:rFonts w:hint="eastAsia" w:ascii="微软雅黑" w:hAnsi="微软雅黑" w:eastAsia="微软雅黑" w:cs="微软雅黑"/>
          <w:sz w:val="24"/>
          <w:szCs w:val="24"/>
          <w:highlight w:val="none"/>
        </w:rPr>
        <w:t>（或严重褪色）、垃圾满溢，表面清洁无污垢，周围地面无暴露垃圾、污水现象。</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保洁时间：12小时以上</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rPr>
        <w:t>有色垃圾滞留时间：15分钟</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洒水次数：2次/天</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机扫次数：2次/天</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路面清洗：每周1次</w:t>
      </w:r>
    </w:p>
    <w:p>
      <w:pPr>
        <w:numPr>
          <w:ilvl w:val="0"/>
          <w:numId w:val="19"/>
        </w:numPr>
        <w:spacing w:line="400" w:lineRule="exact"/>
        <w:ind w:left="0" w:firstLine="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备注：气温高于30℃增加洒水次数，气温低于2℃时应停止清洗和洒水，下雨、台风等天气由采购人调整安排。</w:t>
      </w:r>
    </w:p>
    <w:p>
      <w:pPr>
        <w:spacing w:line="400" w:lineRule="exact"/>
        <w:ind w:left="425"/>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（4）路面废物控制指标表（表格中均为每1000㎡）</w:t>
      </w:r>
    </w:p>
    <w:tbl>
      <w:tblPr>
        <w:tblStyle w:val="2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67"/>
        <w:gridCol w:w="1056"/>
        <w:gridCol w:w="1056"/>
        <w:gridCol w:w="1056"/>
        <w:gridCol w:w="1266"/>
        <w:gridCol w:w="126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00" w:hRule="atLeast"/>
          <w:jc w:val="center"/>
        </w:trPr>
        <w:tc>
          <w:tcPr>
            <w:tcW w:w="1288"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类别</w:t>
            </w:r>
          </w:p>
        </w:tc>
        <w:tc>
          <w:tcPr>
            <w:tcW w:w="867"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果皮</w:t>
            </w:r>
          </w:p>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（片）</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纸屑塑膜（片）</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烟蒂</w:t>
            </w:r>
          </w:p>
          <w:p>
            <w:pPr>
              <w:widowControl w:val="0"/>
              <w:spacing w:line="400" w:lineRule="exact"/>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（个）</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痰迹</w:t>
            </w:r>
          </w:p>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（处）</w:t>
            </w:r>
          </w:p>
        </w:tc>
        <w:tc>
          <w:tcPr>
            <w:tcW w:w="126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污水</w:t>
            </w:r>
          </w:p>
          <w:p>
            <w:pPr>
              <w:widowControl w:val="0"/>
              <w:spacing w:line="400" w:lineRule="exact"/>
              <w:ind w:left="-372" w:leftChars="-177" w:firstLine="290" w:firstLineChars="121"/>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w:t>
            </w:r>
          </w:p>
        </w:tc>
        <w:tc>
          <w:tcPr>
            <w:tcW w:w="1260"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其他</w:t>
            </w:r>
          </w:p>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（处）</w:t>
            </w:r>
          </w:p>
        </w:tc>
        <w:tc>
          <w:tcPr>
            <w:tcW w:w="1507"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滞留时间（分）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88"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标准</w:t>
            </w:r>
          </w:p>
        </w:tc>
        <w:tc>
          <w:tcPr>
            <w:tcW w:w="867"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≤6</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≤6</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≤8</w:t>
            </w:r>
          </w:p>
        </w:tc>
        <w:tc>
          <w:tcPr>
            <w:tcW w:w="105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≤8</w:t>
            </w:r>
          </w:p>
        </w:tc>
        <w:tc>
          <w:tcPr>
            <w:tcW w:w="1266"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≤0.5</w:t>
            </w:r>
          </w:p>
        </w:tc>
        <w:tc>
          <w:tcPr>
            <w:tcW w:w="1260"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≤2</w:t>
            </w:r>
          </w:p>
        </w:tc>
        <w:tc>
          <w:tcPr>
            <w:tcW w:w="1507" w:type="dxa"/>
            <w:noWrap/>
            <w:vAlign w:val="center"/>
          </w:tcPr>
          <w:p>
            <w:pPr>
              <w:widowControl w:val="0"/>
              <w:spacing w:line="400" w:lineRule="exact"/>
              <w:jc w:val="center"/>
              <w:textAlignment w:val="auto"/>
              <w:rPr>
                <w:rFonts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≤40</w:t>
            </w:r>
          </w:p>
        </w:tc>
      </w:tr>
    </w:tbl>
    <w:p>
      <w:pPr>
        <w:widowControl w:val="0"/>
        <w:spacing w:line="400" w:lineRule="exact"/>
        <w:ind w:firstLine="480" w:firstLineChars="200"/>
        <w:textAlignment w:val="auto"/>
        <w:rPr>
          <w:rFonts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（5）桥面、通行隧道、公交站台的保洁质量与所在的道路保洁质量标准相同。</w:t>
      </w:r>
    </w:p>
    <w:p>
      <w:pPr>
        <w:pStyle w:val="43"/>
        <w:widowControl w:val="0"/>
        <w:spacing w:line="400" w:lineRule="exact"/>
        <w:ind w:left="360" w:firstLine="105" w:firstLineChars="50"/>
        <w:textAlignment w:val="auto"/>
        <w:rPr>
          <w:rFonts w:ascii="微软雅黑" w:hAnsi="微软雅黑" w:eastAsia="微软雅黑" w:cs="微软雅黑"/>
          <w:szCs w:val="24"/>
          <w:highlight w:val="none"/>
        </w:rPr>
      </w:pPr>
      <w:bookmarkStart w:id="23" w:name="_Toc513384954"/>
      <w:r>
        <w:rPr>
          <w:rFonts w:hint="eastAsia" w:ascii="微软雅黑" w:hAnsi="微软雅黑" w:eastAsia="微软雅黑" w:cs="微软雅黑"/>
          <w:szCs w:val="24"/>
          <w:highlight w:val="none"/>
        </w:rPr>
        <w:t>（6）清扫保洁时段：</w:t>
      </w:r>
    </w:p>
    <w:p>
      <w:pPr>
        <w:widowControl w:val="0"/>
        <w:spacing w:line="400" w:lineRule="exact"/>
        <w:ind w:firstLine="480" w:firstLineChars="200"/>
        <w:textAlignment w:val="auto"/>
        <w:rPr>
          <w:rFonts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全天实行12小时以上清扫保洁，确保每天2 次以上普扫。第一次普扫在上午夏季为6:30前完成，冬季为 7:00 前完成；第二次普扫在下午夏季为 14:00前完成（夏季高温可以调整为 15：00 前完成），冬季为 13:30前完成；普扫结束后做好巡回保洁工作，交接班不得出现空档，责任区交界处清扫保洁各过界 10 米。</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（7）根据保洁时段和相关法规规定，合理安排作业人员的班次，确保作业人员合理的休息时间，严禁作业人员长期在岗超负荷作业。</w:t>
      </w:r>
    </w:p>
    <w:bookmarkEnd w:id="23"/>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机械清扫要求</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按采购人要求路段实行“人工与机械相结合”，机扫到边、到位效果明显，路面无垃圾、无积泥、无沙石；作业期间刷盘到位，基本无扬尘，清扫途中无垃圾撒落；垃圾在指定地点倾倒，不得随意倾倒、偷倒、乱倒垃圾；每次倾倒垃圾时间不得超过30分钟；严格按照范围、路线、时间进行机扫作业，不得随意变更。作业速度：机械清扫作业时速≤10km/h。</w:t>
      </w:r>
    </w:p>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路面冲洗作业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（1）路面冲洗作业包括：日常冲洗作业、应急冲洗作业。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保洁区内所有道路（含人行道）路面冲洗见本色，路面日常冲洗作业时间应选择人流、车流较少的时间段，不得影响市民的正常生活。路面冲洗作业时，应制定合理有效的作业方案和作业规范，杜绝二次污染或安全事故。</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（3）根据保洁区内道路的实际情况，科学合理的配置不同规格的冲洗作业车辆，制定合理的冲洗行车路线，确保路面冲洗质量。</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（4）根据采购人统一指挥和调配，承担特定时间、特定路段的临时应急冲洗作业。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（5）制定科学合理的行车制度，作业过程中按规定车速行驶，严禁超速行驶、 不文明驾驶以及违章停放，加强行车安全教育。</w:t>
      </w:r>
    </w:p>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路面洒水作业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（1）路面洒水作业包括：日常洒水作业和应急洒水作业。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（2）根据季节不同，科学合理的安排路面洒水次数，实施洒水降温、压尘作业；气温高于30℃增加洒水次数，气温低于2℃时应停止清洗和洒水。</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（3）根据道路不同，科学合理的配置洒水车的规格、数量，制定科学合理的行车作业路线。</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洒水作业时间应选择人流、车流相对较少的时间段，不得影响市民的正常出行。道路洒水作业时，应实施合理有效的措施，控制洒水压力，避免因水压过高影响行人或社会车辆正常行驶，杜绝二次污染或安全事故。</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（5）根据采购人统一指挥和调配，承担特定时间、特定路段的临时应急洒水作业。</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（6）制定科学合理的行车制度，作业过程中按规定车速行驶，严禁超速行驶、 不文明驾驶以及违章停放，加强行车安全教育。</w:t>
      </w:r>
    </w:p>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垃圾桶（箱、坞）等垃圾收集装置清洗保洁作业</w:t>
      </w:r>
    </w:p>
    <w:p>
      <w:pPr>
        <w:widowControl w:val="0"/>
        <w:numPr>
          <w:ilvl w:val="0"/>
          <w:numId w:val="2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在合同履行期间负责垃圾桶、果壳箱的保管、清洁和维护。采购人投放的垃圾桶、果壳箱如有破损（含第三方人为破损）与丢失情况，由中标单位在12小时内按原样式、规格、质量标准、配置要求予以免费维修或更换补齐。</w:t>
      </w:r>
    </w:p>
    <w:p>
      <w:pPr>
        <w:widowControl w:val="0"/>
        <w:numPr>
          <w:ilvl w:val="0"/>
          <w:numId w:val="2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遇重大节假日、上级突击检查、突发事件等情况需更换或增设垃圾桶、果壳箱的，中标单位须在采购人指定时间内按原样式、规格、质量标准、配置要求予以更换或增设。</w:t>
      </w:r>
    </w:p>
    <w:p>
      <w:pPr>
        <w:widowControl w:val="0"/>
        <w:numPr>
          <w:ilvl w:val="0"/>
          <w:numId w:val="2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合同履行到期，中标单位须按原样式、规格、质量标准、数量，将垃圾桶、果壳箱按采购人投放数量补齐，并与采购人办理相关移交手续。</w:t>
      </w:r>
    </w:p>
    <w:p>
      <w:pPr>
        <w:widowControl w:val="0"/>
        <w:numPr>
          <w:ilvl w:val="0"/>
          <w:numId w:val="2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所有垃圾桶（箱）、垃圾坞、密闭式垃圾收集装置内必须每日进行一次清洗、冲刷、消毒及养护作业，确保所有投放的垃圾桶（箱/坞）的标志清晰、内外整洁、无污垢、无积水、无异味、无破损，作业完毕后应及时加盖、关门，不得敞露。</w:t>
      </w:r>
      <w:bookmarkStart w:id="24" w:name="_Toc511058455"/>
      <w:bookmarkStart w:id="25" w:name="_Toc513384961"/>
    </w:p>
    <w:p>
      <w:pPr>
        <w:numPr>
          <w:ilvl w:val="0"/>
          <w:numId w:val="18"/>
        </w:numPr>
        <w:adjustRightInd w:val="0"/>
        <w:spacing w:line="400" w:lineRule="exact"/>
        <w:ind w:firstLine="480" w:firstLineChars="200"/>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其他要求</w:t>
      </w:r>
    </w:p>
    <w:p>
      <w:pPr>
        <w:widowControl w:val="0"/>
        <w:numPr>
          <w:ilvl w:val="0"/>
          <w:numId w:val="2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路面冲洗、洒水等工作涉及大量用水的，要求中标单位在垃圾中转站内使用抽水泵取水，不得使用消防栓取水。现有设备可供中标单位使用，设备维修、更换及购置费用由中标单位负责。</w:t>
      </w:r>
    </w:p>
    <w:p>
      <w:pPr>
        <w:widowControl w:val="0"/>
        <w:numPr>
          <w:ilvl w:val="0"/>
          <w:numId w:val="2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垃圾桶、果壳箱等设施需维修或更换的，中标单位须及时主动维修或更换，采购人发现并通知中标单位的原则上在接到通知之日起1日内处理完毕。</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垃圾清运服务内容</w:t>
      </w:r>
    </w:p>
    <w:p>
      <w:pPr>
        <w:numPr>
          <w:ilvl w:val="0"/>
          <w:numId w:val="22"/>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项目实施内容：</w:t>
      </w:r>
    </w:p>
    <w:p>
      <w:pPr>
        <w:numPr>
          <w:ilvl w:val="0"/>
          <w:numId w:val="2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辖区垃圾年处理量约60000吨，若项目实施过程中垃圾处理量增加，中标单位无条件接受清运任务，不得提出任何费用要求。</w:t>
      </w:r>
    </w:p>
    <w:p>
      <w:pPr>
        <w:numPr>
          <w:ilvl w:val="0"/>
          <w:numId w:val="2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负责辖区内的生活垃圾、工业垃圾等垃圾的收集、分类、清运工作，包含各村及企业43只拉臂箱的垃圾清运至垃圾中转站并及时换箱。具体拉臂箱的数量由投标单位自行前往现场考察统计，投标单位中标后对拉臂箱的数量有争议的，不影响本项目的最终报价。拉臂箱数量新增10只内（含）的，中标单位要根据采购人的指定，无条件接受清运任务，不得提出任何费用要求；拉臂箱数量新增10只以上的，另行协商。</w:t>
      </w:r>
    </w:p>
    <w:p>
      <w:pPr>
        <w:numPr>
          <w:ilvl w:val="0"/>
          <w:numId w:val="2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负责将中转站场内的垃圾清运至市级主管部门及采购人指定的焚烧处理点。</w:t>
      </w:r>
    </w:p>
    <w:p>
      <w:pPr>
        <w:numPr>
          <w:ilvl w:val="0"/>
          <w:numId w:val="2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采购人现有垃圾中转站场地（不含管理用房）在项目实施期间可供中标单位免费使用，中标单位负责中转站场内及四周的清扫保洁，确保中转站的环境整洁有序，并配合采购人做好管理制度上墙等工作。</w:t>
      </w:r>
    </w:p>
    <w:p>
      <w:pPr>
        <w:numPr>
          <w:ilvl w:val="0"/>
          <w:numId w:val="2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若发生工业垃圾分类等特殊情况导致垃圾需打包外运运往温岭市外的，所有费用由中标单位承担，采购人不再另行支付费用。</w:t>
      </w:r>
    </w:p>
    <w:p>
      <w:pPr>
        <w:numPr>
          <w:ilvl w:val="0"/>
          <w:numId w:val="22"/>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服务要求：</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负责辖区内的所有垃圾清运、分类处理。</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转站场内垃圾堆积量原则上做到日产日清。若因车辆维修、垃圾堆放量增加等原因导致不能及时清运、场地风险指数上升的，中标单位在接到采购人通知后，原则上在3日内增加清运车辆及时清运；特殊情况需外运至温岭市外处理的，由中标单位联系温岭市市外相关单位并持有外运处理地资质证明后再行处置；中标单位原则上保证场地垃圾存量不高于100吨。（</w:t>
      </w:r>
      <w:r>
        <w:rPr>
          <w:rFonts w:hint="eastAsia" w:ascii="微软雅黑" w:hAnsi="微软雅黑" w:eastAsia="微软雅黑" w:cs="微软雅黑"/>
          <w:b/>
          <w:bCs/>
          <w:sz w:val="24"/>
          <w:szCs w:val="24"/>
          <w:highlight w:val="none"/>
          <w:u w:val="single"/>
        </w:rPr>
        <w:t>该项作为重要指标列入《考核评分细则》</w:t>
      </w:r>
      <w:r>
        <w:rPr>
          <w:rFonts w:hint="eastAsia" w:ascii="微软雅黑" w:hAnsi="微软雅黑" w:eastAsia="微软雅黑" w:cs="微软雅黑"/>
          <w:sz w:val="24"/>
          <w:szCs w:val="24"/>
          <w:highlight w:val="none"/>
        </w:rPr>
        <w:t>）</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负责中转站内外场地、管理用房、宿舍楼及周围等环卫场所的环境整治和保洁工作，确保场内环境清洁、车辆停放有序，场内的水电费等费用由中标单位承担。中转站必须有1-2名管理人员24h住勤值班，必须配有一名专职清扫员负责中转站内清扫保洁。负责辖区的垃圾在场内有序倾倒，杜绝辖区外的垃圾进场倾倒处置，禁止无关车辆进场停放，禁止无关人员在场内捡垃圾和堆放，禁止在中转站内焚烧垃圾等。</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各村及企业的拉臂箱应及时清运，原则上每个点位清运频率不少于1次/天；不得在拉臂箱内焚烧垃圾。</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所有车辆装运时，应网盖防止抛、洒、滴、漏，确保清运车辆、车貌符合市垃圾清运监管小组的有关规定，沿途不得有抛、洒、滴、漏现象。若违反规定被相关部门处罚或扣车等处理事宜由中标单位负责。</w:t>
      </w:r>
    </w:p>
    <w:p>
      <w:pPr>
        <w:numPr>
          <w:ilvl w:val="0"/>
          <w:numId w:val="24"/>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合同结束前，中标单位需把垃圾中转站的垃圾清运完毕，否则履约保证金不予退还。</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公厕保洁服务内容</w:t>
      </w:r>
    </w:p>
    <w:p>
      <w:pPr>
        <w:numPr>
          <w:ilvl w:val="0"/>
          <w:numId w:val="25"/>
        </w:numPr>
        <w:spacing w:line="400" w:lineRule="exact"/>
        <w:rPr>
          <w:rFonts w:ascii="微软雅黑" w:hAnsi="微软雅黑" w:eastAsia="微软雅黑" w:cs="微软雅黑"/>
          <w:b/>
          <w:bCs/>
          <w:sz w:val="24"/>
          <w:szCs w:val="24"/>
          <w:highlight w:val="none"/>
        </w:rPr>
      </w:pPr>
      <w:r>
        <w:rPr>
          <w:rFonts w:hint="eastAsia" w:ascii="微软雅黑" w:hAnsi="微软雅黑" w:eastAsia="微软雅黑" w:cs="微软雅黑"/>
          <w:b/>
          <w:sz w:val="24"/>
          <w:szCs w:val="24"/>
          <w:highlight w:val="none"/>
        </w:rPr>
        <w:t>公厕概况</w:t>
      </w:r>
    </w:p>
    <w:p>
      <w:pPr>
        <w:pStyle w:val="10"/>
        <w:spacing w:line="400" w:lineRule="exact"/>
        <w:ind w:firstLine="480" w:firstLineChars="200"/>
        <w:rPr>
          <w:rFonts w:ascii="微软雅黑" w:hAnsi="微软雅黑" w:eastAsia="微软雅黑" w:cs="微软雅黑"/>
          <w:highlight w:val="none"/>
        </w:rPr>
      </w:pPr>
      <w:r>
        <w:rPr>
          <w:rFonts w:hint="eastAsia" w:ascii="微软雅黑" w:hAnsi="微软雅黑" w:eastAsia="微软雅黑" w:cs="微软雅黑"/>
          <w:highlight w:val="none"/>
        </w:rPr>
        <w:t>城北街道辖区范围内现有公厕19座。若在服务期内公厕新增3座内（含）需要清扫保洁的，</w:t>
      </w:r>
      <w:r>
        <w:rPr>
          <w:rFonts w:hint="eastAsia" w:ascii="微软雅黑" w:hAnsi="微软雅黑" w:eastAsia="微软雅黑" w:cs="微软雅黑"/>
          <w:color w:val="000000"/>
          <w:highlight w:val="none"/>
        </w:rPr>
        <w:t>中标单位要根据采购人的指定，无条件接受清扫保洁任务，不得提出任何费用要求；新增</w:t>
      </w:r>
      <w:r>
        <w:rPr>
          <w:rFonts w:hint="eastAsia" w:ascii="微软雅黑" w:hAnsi="微软雅黑" w:eastAsia="微软雅黑" w:cs="微软雅黑"/>
          <w:highlight w:val="none"/>
        </w:rPr>
        <w:t>公厕</w:t>
      </w:r>
      <w:r>
        <w:rPr>
          <w:rFonts w:hint="eastAsia" w:ascii="微软雅黑" w:hAnsi="微软雅黑" w:eastAsia="微软雅黑" w:cs="微软雅黑"/>
          <w:color w:val="000000"/>
          <w:highlight w:val="none"/>
        </w:rPr>
        <w:t>在3</w:t>
      </w:r>
      <w:r>
        <w:rPr>
          <w:rFonts w:hint="eastAsia" w:ascii="微软雅黑" w:hAnsi="微软雅黑" w:eastAsia="微软雅黑" w:cs="微软雅黑"/>
          <w:highlight w:val="none"/>
        </w:rPr>
        <w:t>座</w:t>
      </w:r>
      <w:r>
        <w:rPr>
          <w:rFonts w:hint="eastAsia" w:ascii="微软雅黑" w:hAnsi="微软雅黑" w:eastAsia="微软雅黑" w:cs="微软雅黑"/>
          <w:color w:val="000000"/>
          <w:highlight w:val="none"/>
        </w:rPr>
        <w:t>以上的，另行协商。</w:t>
      </w:r>
    </w:p>
    <w:p>
      <w:pPr>
        <w:numPr>
          <w:ilvl w:val="0"/>
          <w:numId w:val="25"/>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项目实施内容</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所有公厕的管理与清扫保洁服务，未投入使用的公厕待开放后纳入管理；</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公厕周边区域内共用部位、共用设施设备和相关场地的保洁服务；</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公厕周边区域内公共秩序和环境卫生的维护；</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公厕周边区域内适当的绿化带保洁；</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公厕周边区域内车辆的临时停放管理；</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供水、供电、环卫等专业单位在公厕区域内对相关管线、设施维修养护时，进行必要的协调和管理；</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公厕区域内的日常安全巡查服务；</w:t>
      </w:r>
    </w:p>
    <w:p>
      <w:pPr>
        <w:numPr>
          <w:ilvl w:val="0"/>
          <w:numId w:val="26"/>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上级检查或突发事件的应急保洁服务。</w:t>
      </w:r>
    </w:p>
    <w:p>
      <w:pPr>
        <w:numPr>
          <w:ilvl w:val="0"/>
          <w:numId w:val="25"/>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项目作业标准</w:t>
      </w:r>
    </w:p>
    <w:p>
      <w:pPr>
        <w:numPr>
          <w:ilvl w:val="0"/>
          <w:numId w:val="2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整体要求</w:t>
      </w:r>
    </w:p>
    <w:p>
      <w:pPr>
        <w:pStyle w:val="10"/>
        <w:spacing w:line="400" w:lineRule="exact"/>
        <w:ind w:firstLine="480" w:firstLineChars="200"/>
        <w:rPr>
          <w:rFonts w:ascii="微软雅黑" w:hAnsi="微软雅黑" w:eastAsia="微软雅黑" w:cs="微软雅黑"/>
          <w:highlight w:val="none"/>
        </w:rPr>
      </w:pPr>
      <w:r>
        <w:rPr>
          <w:rFonts w:hint="eastAsia" w:ascii="微软雅黑" w:hAnsi="微软雅黑" w:eastAsia="微软雅黑" w:cs="微软雅黑"/>
          <w:highlight w:val="none"/>
        </w:rPr>
        <w:t>投标单位应具备健全的日常保洁制度、管理制度、应急处理制度、自查自检制度及完善的管理机制和应急处理机制。</w:t>
      </w:r>
    </w:p>
    <w:p>
      <w:pPr>
        <w:numPr>
          <w:ilvl w:val="0"/>
          <w:numId w:val="2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基本要求</w:t>
      </w:r>
    </w:p>
    <w:p>
      <w:pPr>
        <w:pStyle w:val="10"/>
        <w:numPr>
          <w:ilvl w:val="0"/>
          <w:numId w:val="28"/>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所有公厕24h免费对外开放，保洁人员除必要的休息时间外，其余时间必须在岗。</w:t>
      </w:r>
    </w:p>
    <w:p>
      <w:pPr>
        <w:pStyle w:val="10"/>
        <w:numPr>
          <w:ilvl w:val="0"/>
          <w:numId w:val="28"/>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人员配置：每座公厕配置1名专职保洁人员。</w:t>
      </w:r>
    </w:p>
    <w:p>
      <w:pPr>
        <w:pStyle w:val="10"/>
        <w:numPr>
          <w:ilvl w:val="0"/>
          <w:numId w:val="28"/>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公厕内水电费由中标单位支付，实施过程中的保洁工具、一次性用品、清洁材料等由中标单位负责供应。</w:t>
      </w:r>
    </w:p>
    <w:p>
      <w:pPr>
        <w:pStyle w:val="10"/>
        <w:numPr>
          <w:ilvl w:val="0"/>
          <w:numId w:val="28"/>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公厕相关的维修、维护及疏通费用由中标单位支付。</w:t>
      </w:r>
    </w:p>
    <w:p>
      <w:pPr>
        <w:numPr>
          <w:ilvl w:val="0"/>
          <w:numId w:val="27"/>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作业标准要求</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按照统一要求设置公厕管理制度牌，内容包括管理单位、保洁员照片、工号、监督电话、开放时间等信息。</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24小时免费开放公厕，无障碍间、厕位正常开放使用，并在保洁时间段内落实专人管理。</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免费开放公厕严禁收费，无采购人批准严禁在厕内售卖物品、废品回收等经营性活动。</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保洁员应着统一的工作服上岗。保洁作业时需设置警示牌，冲洗厕所地面和雨雪冰冻天气时需铺设防滑垫。保洁作业时主动避让如厕人员。</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内外不得乱接水管电线。公厕保洁人员上班时间不得在公厕公共区域从事家务等公厕保洁无关的事情，不得堆放杂物，不得在管理间内饮酒、吸烟，闲杂人员不得随意在管理间内休息等。必须保持管理间内整洁有序，必要物品摆放整齐，不得饲养宠物。</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天花板、内外墙面、门窗及周边、洗手池及台面、拖把池、大小便厕位隔断、搁物台、上下水管、镜子、排风机、吊扇、干手器等无积尘、无污迹、无蛛网、无乱涂乱画。公厕内的垃圾桶或厕位纸篓，应及时清理，保持设施完好干净整洁，无满溢现象。公厕及厕位地面清洁无垃圾、污迹、积水。公厕内通风良好，消毒季节按规定要求消毒。</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大便器（槽）保持清洁，无粪便污垢、无积粪、无堵塞、清洁见底。</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小便器（槽）保持清洁，无水锈、无尿垢、无垃圾，沟眼、管道保持通畅。</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公厕外环境（外墙起3~5米范围内）整洁有序，无垃圾、无粪便、无晾晒衣物、无杂物堆放吊挂、无落叶积留、无蚊蝇孽生地。</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公厕内无异味，厕内臭味强度卫生指标不得超过城市公共厕所卫生标准值，不得超过臭味监测系统报警值。</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按要求设置公厕指向牌（各路口方向至少两块）、公厕标识牌、夜间灯光指示牌、厕门男女标识牌、无障碍标识牌、管理间标识牌、工具间标识牌、坐厕位标识牌等。厕所各类标识、标牌设置规范、醒目，无破损、遮挡、残缺、歪斜现象。</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瓷砖等设施完好。</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公厕供水、供电系统运行正常，无安全隐患。公厕照明、除臭设备、洗手液分配器、干手器、手纸架等保持设施完好，应正常使用。</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无障碍通道畅通，扶手（含靠墙厕位扶手）完好、牢固。无障碍间卫生洁具及辅助设施完好。</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给水及排污管道完好，保持畅通，闸阀严密，无破损。</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化粪池、贮粪池密闭性能良好，粪池盖密闭，无缺失、破损、松动现象。</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文明作业，要做到定点及时保洁和随时保洁相结合。</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公厕内发生管道（含化粪池）堵塞、物品损坏等情况导致需维修的，中标单位须及时主动维修，采购人发现并通知中标单位的，原则上在接到通知之日起1日内维修完毕。</w:t>
      </w:r>
    </w:p>
    <w:p>
      <w:pPr>
        <w:pStyle w:val="10"/>
        <w:numPr>
          <w:ilvl w:val="0"/>
          <w:numId w:val="29"/>
        </w:numPr>
        <w:spacing w:line="400" w:lineRule="exact"/>
        <w:rPr>
          <w:rFonts w:ascii="微软雅黑" w:hAnsi="微软雅黑" w:eastAsia="微软雅黑" w:cs="微软雅黑"/>
          <w:highlight w:val="none"/>
        </w:rPr>
      </w:pPr>
      <w:r>
        <w:rPr>
          <w:rFonts w:hint="eastAsia" w:ascii="微软雅黑" w:hAnsi="微软雅黑" w:eastAsia="微软雅黑" w:cs="微软雅黑"/>
          <w:highlight w:val="none"/>
        </w:rPr>
        <w:t>不得违规使用大功率电器。</w:t>
      </w:r>
    </w:p>
    <w:p>
      <w:pPr>
        <w:pStyle w:val="10"/>
        <w:numPr>
          <w:ilvl w:val="0"/>
          <w:numId w:val="29"/>
        </w:numPr>
        <w:rPr>
          <w:rFonts w:ascii="微软雅黑" w:hAnsi="微软雅黑" w:eastAsia="微软雅黑" w:cs="微软雅黑"/>
          <w:highlight w:val="none"/>
        </w:rPr>
      </w:pPr>
      <w:r>
        <w:rPr>
          <w:rFonts w:hint="eastAsia" w:ascii="微软雅黑" w:hAnsi="微软雅黑" w:eastAsia="微软雅黑" w:cs="微软雅黑"/>
          <w:highlight w:val="none"/>
        </w:rPr>
        <w:t>公厕管理不出现有责投诉。对公厕投诉问题和有责管理问题应在规定的期限内处理整改。</w:t>
      </w:r>
    </w:p>
    <w:p>
      <w:pPr>
        <w:numPr>
          <w:ilvl w:val="0"/>
          <w:numId w:val="12"/>
        </w:numPr>
        <w:adjustRightInd w:val="0"/>
        <w:spacing w:line="400" w:lineRule="exact"/>
        <w:rPr>
          <w:rFonts w:ascii="微软雅黑" w:hAnsi="微软雅黑" w:eastAsia="微软雅黑" w:cs="微软雅黑"/>
          <w:b/>
          <w:sz w:val="24"/>
          <w:szCs w:val="24"/>
          <w:highlight w:val="none"/>
          <w:u w:val="single"/>
        </w:rPr>
      </w:pPr>
      <w:r>
        <w:rPr>
          <w:rFonts w:hint="eastAsia" w:ascii="微软雅黑" w:hAnsi="微软雅黑" w:eastAsia="微软雅黑" w:cs="微软雅黑"/>
          <w:b/>
          <w:sz w:val="24"/>
          <w:szCs w:val="24"/>
          <w:highlight w:val="none"/>
          <w:u w:val="single"/>
        </w:rPr>
        <w:t>智慧环卫</w:t>
      </w:r>
      <w:r>
        <w:rPr>
          <w:rFonts w:hint="eastAsia" w:ascii="微软雅黑" w:hAnsi="微软雅黑" w:eastAsia="微软雅黑" w:cs="微软雅黑"/>
          <w:b/>
          <w:sz w:val="24"/>
          <w:szCs w:val="24"/>
          <w:highlight w:val="none"/>
          <w:u w:val="single"/>
          <w:lang w:val="en-US" w:eastAsia="zh-CN"/>
        </w:rPr>
        <w:t>服务</w:t>
      </w:r>
    </w:p>
    <w:p>
      <w:pPr>
        <w:widowControl w:val="0"/>
        <w:numPr>
          <w:ilvl w:val="0"/>
          <w:numId w:val="3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服务内容：</w:t>
      </w:r>
      <w:r>
        <w:rPr>
          <w:rFonts w:hint="eastAsia" w:ascii="微软雅黑" w:hAnsi="微软雅黑" w:eastAsia="微软雅黑" w:cs="微软雅黑"/>
          <w:sz w:val="24"/>
          <w:szCs w:val="24"/>
          <w:highlight w:val="none"/>
          <w:lang w:val="en-US" w:eastAsia="zh-CN"/>
        </w:rPr>
        <w:t>提供</w:t>
      </w:r>
      <w:r>
        <w:rPr>
          <w:rFonts w:hint="eastAsia" w:ascii="微软雅黑" w:hAnsi="微软雅黑" w:eastAsia="微软雅黑" w:cs="微软雅黑"/>
          <w:sz w:val="24"/>
          <w:szCs w:val="24"/>
          <w:highlight w:val="none"/>
        </w:rPr>
        <w:t>智慧环卫信息化管理平台，实现环卫服务精细化。中标单位与政府方数字城管智慧平台系统联网，信息共享，全面实现作业人员、作业质量、设施、设备、车辆及政府监管、社会监督等信息的历史和实时的调度、监控、记录、分析。</w:t>
      </w:r>
    </w:p>
    <w:p>
      <w:pPr>
        <w:keepNext w:val="0"/>
        <w:keepLines w:val="0"/>
        <w:pageBreakBefore w:val="0"/>
        <w:widowControl w:val="0"/>
        <w:numPr>
          <w:ilvl w:val="0"/>
          <w:numId w:val="30"/>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平台内容：</w:t>
      </w:r>
    </w:p>
    <w:tbl>
      <w:tblPr>
        <w:tblStyle w:val="23"/>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5"/>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序号</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内容</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基础设施管理系统</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完成环卫设施的数字化统一归口管理，包含垃圾收集点、加水站、中转站、停车场等基础设施，通过数据分析及可视化技术，对相关业务环卫设施信息进行地图管理和统计分析。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机械化车辆监管系统</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通过安装智能车载设备，对车辆实时位置、清扫状态、作业轨迹、清扫里程、清扫质量、清扫视频、违规情况等信息进行综合监控，系统智能统计，量化作业结果，形成车辆作业量、作业质量、作业规范性综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运输车辆监管系统</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实现对运输车辆的监管，包括车辆的实时位置、实时状态、运行轨迹等，出现异常事件及时报警，保障车辆的过程监管、结果统计、绩效追踪。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环卫指挥决策看板</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运用“一张图”管理概念，实现各业务线条数据综合展示，实现监管数据之间的联动，全局把控整体业务，集监管、考核、决策于一体，以此加强对环卫资源运行状态、作业情况的事前事中事后监管，通过大量的业务数据提取价值数据建立各种业务优化模型，剖析资源利用以及作业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30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5</w:t>
            </w:r>
          </w:p>
        </w:tc>
        <w:tc>
          <w:tcPr>
            <w:tcW w:w="2395"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后台管理子系统</w:t>
            </w:r>
          </w:p>
        </w:tc>
        <w:tc>
          <w:tcPr>
            <w:tcW w:w="6159" w:type="dxa"/>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后台管理系统为智慧环卫平台的基础设置系统，确保数据规范性和系统稳定性，包括权限设置、参数设置。</w:t>
            </w:r>
          </w:p>
        </w:tc>
      </w:tr>
    </w:tbl>
    <w:p>
      <w:pPr>
        <w:widowControl w:val="0"/>
        <w:numPr>
          <w:ilvl w:val="0"/>
          <w:numId w:val="30"/>
        </w:numPr>
        <w:spacing w:line="400" w:lineRule="exac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服务要求：中标单位车辆机械、垃圾房和作业实况，均纳入《数字城管智慧平台》进行监管。中标单位车辆机械监控、视频监控软硬件，流量费等由中标单位自行采购、自行承担成本，确保能够接入采购人《数字城管智慧平台》管理。如采购人认为须增加其他设施设备纳入《数字城管智慧平台》进行监管，则中标单位无条件服从，费用不作调整。</w:t>
      </w:r>
    </w:p>
    <w:p>
      <w:pPr>
        <w:widowControl w:val="0"/>
        <w:numPr>
          <w:ilvl w:val="0"/>
          <w:numId w:val="30"/>
        </w:numPr>
        <w:spacing w:line="400" w:lineRule="exact"/>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监管点位要求</w:t>
      </w:r>
    </w:p>
    <w:p>
      <w:pPr>
        <w:widowControl w:val="0"/>
        <w:numPr>
          <w:ilvl w:val="0"/>
          <w:numId w:val="0"/>
        </w:numPr>
        <w:spacing w:line="400" w:lineRule="exact"/>
        <w:ind w:firstLine="480" w:firstLineChars="200"/>
        <w:textAlignment w:val="auto"/>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中标单位至少需设置10处（含）以上的监管点位并纳入《数字城管智慧平台》进行监管，监管点位的位置由采购人指定。项目实施过程中采购人有权根据实际情况调整监管点位数量及位置，中标单位无条件服从，费用不作调整。</w:t>
      </w:r>
    </w:p>
    <w:bookmarkEnd w:id="24"/>
    <w:bookmarkEnd w:id="25"/>
    <w:p>
      <w:pPr>
        <w:keepNext w:val="0"/>
        <w:keepLines w:val="0"/>
        <w:pageBreakBefore w:val="0"/>
        <w:numPr>
          <w:ilvl w:val="0"/>
          <w:numId w:val="12"/>
        </w:numPr>
        <w:kinsoku/>
        <w:wordWrap/>
        <w:overflowPunct/>
        <w:topLinePunct w:val="0"/>
        <w:autoSpaceDE/>
        <w:autoSpaceDN/>
        <w:bidi w:val="0"/>
        <w:adjustRightInd w:val="0"/>
        <w:snapToGrid/>
        <w:spacing w:line="400" w:lineRule="exact"/>
        <w:rPr>
          <w:rFonts w:ascii="微软雅黑" w:hAnsi="微软雅黑" w:eastAsia="微软雅黑" w:cs="微软雅黑"/>
          <w:b/>
          <w:sz w:val="24"/>
          <w:szCs w:val="24"/>
          <w:highlight w:val="none"/>
        </w:rPr>
      </w:pPr>
      <w:bookmarkStart w:id="26" w:name="_Toc513384962"/>
      <w:bookmarkStart w:id="27" w:name="_Toc511058456"/>
      <w:r>
        <w:rPr>
          <w:rFonts w:hint="eastAsia" w:ascii="微软雅黑" w:hAnsi="微软雅黑" w:eastAsia="微软雅黑" w:cs="微软雅黑"/>
          <w:b/>
          <w:sz w:val="24"/>
          <w:szCs w:val="24"/>
          <w:highlight w:val="none"/>
        </w:rPr>
        <w:t>原有人员安置</w:t>
      </w:r>
      <w:bookmarkEnd w:id="26"/>
      <w:bookmarkEnd w:id="27"/>
      <w:r>
        <w:rPr>
          <w:rFonts w:hint="eastAsia" w:ascii="微软雅黑" w:hAnsi="微软雅黑" w:eastAsia="微软雅黑" w:cs="微软雅黑"/>
          <w:b/>
          <w:sz w:val="24"/>
          <w:szCs w:val="24"/>
          <w:highlight w:val="none"/>
        </w:rPr>
        <w:t>及项目人员要求</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采购人项目实施范围内现有的工作人员由中标单位接管，合理安置，实现平稳过渡，人员过渡期为三个月。原有工作人员约160人，中标单位根据响应方案及实际需要进行配置。</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b/>
          <w:bCs/>
          <w:sz w:val="24"/>
          <w:szCs w:val="24"/>
          <w:highlight w:val="none"/>
          <w:u w:val="single"/>
        </w:rPr>
      </w:pPr>
      <w:r>
        <w:rPr>
          <w:rFonts w:hint="eastAsia" w:ascii="微软雅黑" w:hAnsi="微软雅黑" w:eastAsia="微软雅黑" w:cs="微软雅黑"/>
          <w:b/>
          <w:bCs/>
          <w:sz w:val="24"/>
          <w:szCs w:val="24"/>
          <w:highlight w:val="none"/>
          <w:u w:val="single"/>
        </w:rPr>
        <w:t>▲项目成员不少于150人，中标单位必须严格按照投标时提供的人员配置全员在岗，项目实施过程中经采购人同意后可根据机械设备的投入在保证保洁效果的前提下适当减少人数。</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项目负责人：配备一名项目负责人，项目负责人应具有道路保洁实际工作三年以上经验（需提供相关资质证明），在承包期内不得在温岭其它项目中担任项目负责人，未经采购人的同意不得变换项目负责人。</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管理人员：道路清扫保洁服务至少配置2名专职管理人员巡查，垃圾清运服务、公厕保洁服务至少各配备1名专职管理人员巡查。</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中标单位新配置员工自行向社会招聘，但录用的员工要求符合劳动法相关规定。</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b/>
          <w:bCs/>
          <w:sz w:val="24"/>
          <w:szCs w:val="24"/>
          <w:highlight w:val="none"/>
          <w:u w:val="single"/>
        </w:rPr>
      </w:pPr>
      <w:r>
        <w:rPr>
          <w:rFonts w:hint="eastAsia" w:ascii="微软雅黑" w:hAnsi="微软雅黑" w:eastAsia="微软雅黑" w:cs="微软雅黑"/>
          <w:b/>
          <w:bCs/>
          <w:sz w:val="24"/>
          <w:szCs w:val="24"/>
          <w:highlight w:val="none"/>
          <w:u w:val="single"/>
        </w:rPr>
        <w:t>▲中标单位须与项目实施人员签订书面的劳动合同或劳务协议。每月应按时、足额向员工支付相应的工资、福利、加班费等待遇，按国家相关规定为员工缴纳社保、购买意外保险、支付高温补贴等政策规定的待遇，保障员工的合法权益，工资不能低于温岭市当年最低工资标准，福利要求在工资基础上至少提供中秋慰问补贴100元/次、春节在岗补贴500元/次。一经发现中标单位未及时、足额支付的，在中标单位补足欠薪的基础上，采购人将按原欠薪额的200%对中标单位进行扣罚。</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bookmarkStart w:id="28" w:name="_Toc511058457"/>
      <w:bookmarkStart w:id="29" w:name="_Toc513384965"/>
      <w:r>
        <w:rPr>
          <w:rFonts w:hint="eastAsia" w:ascii="微软雅黑" w:hAnsi="微软雅黑" w:eastAsia="微软雅黑" w:cs="微软雅黑"/>
          <w:sz w:val="24"/>
          <w:szCs w:val="24"/>
          <w:highlight w:val="none"/>
        </w:rPr>
        <w:t>项目实施人员统一穿工作服上岗，做到诚信服务，文明用语。</w:t>
      </w:r>
    </w:p>
    <w:p>
      <w:pPr>
        <w:keepNext w:val="0"/>
        <w:keepLines w:val="0"/>
        <w:pageBreakBefore w:val="0"/>
        <w:widowControl w:val="0"/>
        <w:numPr>
          <w:ilvl w:val="0"/>
          <w:numId w:val="31"/>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中标单位在签订合同后15日内提交作息时间实施方案至采购人处，经采购人审批同意后按照方案执行。项目实施人员应准时上下班，严格执行请假制度，事、病假必须经批准，并找人代班，不得擅自离岗。</w:t>
      </w:r>
    </w:p>
    <w:p>
      <w:pPr>
        <w:keepNext w:val="0"/>
        <w:keepLines w:val="0"/>
        <w:pageBreakBefore w:val="0"/>
        <w:numPr>
          <w:ilvl w:val="0"/>
          <w:numId w:val="12"/>
        </w:numPr>
        <w:kinsoku/>
        <w:wordWrap/>
        <w:overflowPunct/>
        <w:topLinePunct w:val="0"/>
        <w:autoSpaceDE/>
        <w:autoSpaceDN/>
        <w:bidi w:val="0"/>
        <w:adjustRightInd w:val="0"/>
        <w:snapToGrid/>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原有环卫资产</w:t>
      </w:r>
      <w:bookmarkEnd w:id="28"/>
      <w:bookmarkEnd w:id="29"/>
      <w:r>
        <w:rPr>
          <w:rFonts w:hint="eastAsia" w:ascii="微软雅黑" w:hAnsi="微软雅黑" w:eastAsia="微软雅黑" w:cs="微软雅黑"/>
          <w:b/>
          <w:sz w:val="24"/>
          <w:szCs w:val="24"/>
          <w:highlight w:val="none"/>
        </w:rPr>
        <w:t>处理及项目实施资产配置要求</w:t>
      </w:r>
    </w:p>
    <w:p>
      <w:pPr>
        <w:keepNext w:val="0"/>
        <w:keepLines w:val="0"/>
        <w:pageBreakBefore w:val="0"/>
        <w:widowControl w:val="0"/>
        <w:numPr>
          <w:ilvl w:val="0"/>
          <w:numId w:val="32"/>
        </w:numPr>
        <w:kinsoku/>
        <w:wordWrap/>
        <w:overflowPunct/>
        <w:topLinePunct w:val="0"/>
        <w:autoSpaceDE/>
        <w:autoSpaceDN/>
        <w:bidi w:val="0"/>
        <w:snapToGrid/>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采购人原用于本项目范围的环卫设备经市财政局同意后纳入整体承包一并处置，即采购人将现有的环卫设备按评估值转让给中标单位，评估值以第三方评估公司出具的评估报告为准，中标单位无条件配合接收，并于第一年合同生效之日起一个月内办理过户手续。</w:t>
      </w:r>
      <w:r>
        <w:rPr>
          <w:rFonts w:hint="eastAsia" w:ascii="微软雅黑" w:hAnsi="微软雅黑" w:eastAsia="微软雅黑" w:cs="微软雅黑"/>
          <w:b/>
          <w:bCs/>
          <w:sz w:val="24"/>
          <w:szCs w:val="24"/>
          <w:highlight w:val="none"/>
        </w:rPr>
        <w:t>拟转让的环卫设备清单及评估值详见《资产评估明细表》，转让价格以评估值为准，不随中标价的下浮而调整。</w:t>
      </w:r>
      <w:r>
        <w:rPr>
          <w:rFonts w:hint="eastAsia" w:ascii="微软雅黑" w:hAnsi="微软雅黑" w:eastAsia="微软雅黑" w:cs="微软雅黑"/>
          <w:sz w:val="24"/>
          <w:szCs w:val="24"/>
          <w:highlight w:val="none"/>
        </w:rPr>
        <w:t>中标单位于合同生效之日起三个月内一次性向采购人支付所有设备款，中标单位逾期支付设备款的，采购人有权拒绝支付逾期期间的服务费。</w:t>
      </w:r>
    </w:p>
    <w:p>
      <w:pPr>
        <w:keepNext w:val="0"/>
        <w:keepLines w:val="0"/>
        <w:pageBreakBefore w:val="0"/>
        <w:widowControl w:val="0"/>
        <w:kinsoku/>
        <w:wordWrap/>
        <w:overflowPunct/>
        <w:topLinePunct w:val="0"/>
        <w:autoSpaceDE/>
        <w:autoSpaceDN/>
        <w:bidi w:val="0"/>
        <w:snapToGrid/>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环卫设备转让相关款项金额与本项目预算无关，投标单位报价时应充分考虑接收环卫设备所承担的设备成本及拟投入或置换设备的成本。</w:t>
      </w:r>
    </w:p>
    <w:p>
      <w:pPr>
        <w:rPr>
          <w:rFonts w:hint="eastAsia" w:ascii="微软雅黑" w:hAnsi="微软雅黑" w:eastAsia="微软雅黑" w:cs="微软雅黑"/>
          <w:sz w:val="24"/>
          <w:szCs w:val="24"/>
          <w:highlight w:val="none"/>
        </w:rPr>
        <w:sectPr>
          <w:headerReference r:id="rId3" w:type="default"/>
          <w:footerReference r:id="rId4" w:type="default"/>
          <w:pgSz w:w="11910" w:h="16840"/>
          <w:pgMar w:top="1440" w:right="1080" w:bottom="1440" w:left="1080" w:header="964" w:footer="1134" w:gutter="0"/>
          <w:lnNumType w:countBy="0"/>
          <w:pgNumType w:fmt="decimal" w:start="1"/>
          <w:cols w:space="425" w:num="1"/>
          <w:vAlign w:val="top"/>
          <w:docGrid w:linePitch="0" w:charSpace="0"/>
        </w:sectPr>
      </w:pPr>
      <w:r>
        <w:rPr>
          <w:rFonts w:hint="eastAsia" w:ascii="微软雅黑" w:hAnsi="微软雅黑" w:eastAsia="微软雅黑" w:cs="微软雅黑"/>
          <w:sz w:val="24"/>
          <w:szCs w:val="24"/>
          <w:highlight w:val="none"/>
        </w:rPr>
        <w:br w:type="page"/>
      </w:r>
    </w:p>
    <w:tbl>
      <w:tblPr>
        <w:tblStyle w:val="23"/>
        <w:tblW w:w="15985" w:type="dxa"/>
        <w:jc w:val="center"/>
        <w:shd w:val="clear" w:color="auto" w:fill="auto"/>
        <w:tblLayout w:type="fixed"/>
        <w:tblCellMar>
          <w:top w:w="0" w:type="dxa"/>
          <w:left w:w="0" w:type="dxa"/>
          <w:bottom w:w="0" w:type="dxa"/>
          <w:right w:w="0" w:type="dxa"/>
        </w:tblCellMar>
      </w:tblPr>
      <w:tblGrid>
        <w:gridCol w:w="483"/>
        <w:gridCol w:w="1473"/>
        <w:gridCol w:w="1284"/>
        <w:gridCol w:w="2100"/>
        <w:gridCol w:w="916"/>
        <w:gridCol w:w="584"/>
        <w:gridCol w:w="1366"/>
        <w:gridCol w:w="1017"/>
        <w:gridCol w:w="1500"/>
        <w:gridCol w:w="1617"/>
        <w:gridCol w:w="1230"/>
        <w:gridCol w:w="900"/>
        <w:gridCol w:w="1515"/>
      </w:tblGrid>
      <w:tr>
        <w:tblPrEx>
          <w:shd w:val="clear" w:color="auto" w:fill="auto"/>
          <w:tblCellMar>
            <w:top w:w="0" w:type="dxa"/>
            <w:left w:w="0" w:type="dxa"/>
            <w:bottom w:w="0" w:type="dxa"/>
            <w:right w:w="0" w:type="dxa"/>
          </w:tblCellMar>
        </w:tblPrEx>
        <w:trPr>
          <w:trHeight w:val="660" w:hRule="atLeast"/>
          <w:jc w:val="center"/>
        </w:trPr>
        <w:tc>
          <w:tcPr>
            <w:tcW w:w="15985" w:type="dxa"/>
            <w:gridSpan w:val="1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微软雅黑" w:hAnsi="微软雅黑" w:eastAsia="微软雅黑" w:cs="微软雅黑"/>
                <w:b/>
                <w:bCs/>
                <w:sz w:val="24"/>
                <w:szCs w:val="24"/>
                <w:highlight w:val="none"/>
              </w:rPr>
              <w:t>资产评估明细表</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序</w:t>
            </w:r>
          </w:p>
        </w:tc>
        <w:tc>
          <w:tcPr>
            <w:tcW w:w="147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设备名称及型号</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车牌号</w:t>
            </w:r>
          </w:p>
        </w:tc>
        <w:tc>
          <w:tcPr>
            <w:tcW w:w="21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生产</w:t>
            </w:r>
          </w:p>
        </w:tc>
        <w:tc>
          <w:tcPr>
            <w:tcW w:w="91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w:t>
            </w:r>
          </w:p>
        </w:tc>
        <w:tc>
          <w:tcPr>
            <w:tcW w:w="584"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数</w:t>
            </w:r>
          </w:p>
        </w:tc>
        <w:tc>
          <w:tcPr>
            <w:tcW w:w="136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启用</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Style w:val="80"/>
                <w:highlight w:val="none"/>
                <w:lang w:val="en-US" w:eastAsia="zh-CN" w:bidi="ar"/>
              </w:rPr>
              <w:t>已行驶里程</w:t>
            </w:r>
            <w:r>
              <w:rPr>
                <w:rStyle w:val="81"/>
                <w:rFonts w:eastAsia="宋体"/>
                <w:highlight w:val="none"/>
                <w:lang w:val="en-US" w:eastAsia="zh-CN" w:bidi="ar"/>
              </w:rPr>
              <w:t>(</w:t>
            </w:r>
            <w:r>
              <w:rPr>
                <w:rStyle w:val="80"/>
                <w:highlight w:val="none"/>
                <w:lang w:val="en-US" w:eastAsia="zh-CN" w:bidi="ar"/>
              </w:rPr>
              <w:t>公里</w:t>
            </w:r>
            <w:r>
              <w:rPr>
                <w:rStyle w:val="81"/>
                <w:rFonts w:eastAsia="宋体"/>
                <w:highlight w:val="none"/>
                <w:lang w:val="en-US" w:eastAsia="zh-CN" w:bidi="ar"/>
              </w:rPr>
              <w:t>)</w:t>
            </w:r>
          </w:p>
        </w:tc>
        <w:tc>
          <w:tcPr>
            <w:tcW w:w="3117"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帐面价值 </w:t>
            </w:r>
          </w:p>
        </w:tc>
        <w:tc>
          <w:tcPr>
            <w:tcW w:w="123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重置价值</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成新率</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评估值</w:t>
            </w:r>
          </w:p>
        </w:tc>
      </w:tr>
      <w:tr>
        <w:tblPrEx>
          <w:tblCellMar>
            <w:top w:w="0" w:type="dxa"/>
            <w:left w:w="0" w:type="dxa"/>
            <w:bottom w:w="0" w:type="dxa"/>
            <w:right w:w="0" w:type="dxa"/>
          </w:tblCellMar>
        </w:tblPrEx>
        <w:trPr>
          <w:trHeight w:val="315" w:hRule="atLeast"/>
          <w:jc w:val="center"/>
        </w:trPr>
        <w:tc>
          <w:tcPr>
            <w:tcW w:w="48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号</w:t>
            </w:r>
          </w:p>
        </w:tc>
        <w:tc>
          <w:tcPr>
            <w:tcW w:w="147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厂家</w:t>
            </w:r>
          </w:p>
        </w:tc>
        <w:tc>
          <w:tcPr>
            <w:tcW w:w="916"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位</w:t>
            </w:r>
          </w:p>
        </w:tc>
        <w:tc>
          <w:tcPr>
            <w:tcW w:w="584"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量</w:t>
            </w:r>
          </w:p>
        </w:tc>
        <w:tc>
          <w:tcPr>
            <w:tcW w:w="136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日期</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原值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净值 </w:t>
            </w:r>
          </w:p>
        </w:tc>
        <w:tc>
          <w:tcPr>
            <w:tcW w:w="123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后翻压缩吊桶车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2016-05-31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24,720.83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12,400.00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后翻压缩吊桶车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2016-05-31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24,720.83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12,400.00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后翻压缩吊桶车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2016-05-31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24,720.84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12,400.00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吊桶车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2017-07-01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34,899.95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15,500.00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吊桶车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2017-07-01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34,899.95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15,500.00 </w:t>
            </w:r>
          </w:p>
        </w:tc>
      </w:tr>
      <w:tr>
        <w:tblPrEx>
          <w:tblCellMar>
            <w:top w:w="0" w:type="dxa"/>
            <w:left w:w="0" w:type="dxa"/>
            <w:bottom w:w="0" w:type="dxa"/>
            <w:right w:w="0" w:type="dxa"/>
          </w:tblCellMar>
        </w:tblPrEx>
        <w:trPr>
          <w:trHeight w:val="51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金沙田电瓶车（7号车）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金沙田后翻吊桶压缩车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2018-07-07</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69,800.00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48,859.88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62,000.00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27,900.00 </w:t>
            </w:r>
          </w:p>
        </w:tc>
      </w:tr>
      <w:tr>
        <w:tblPrEx>
          <w:tblCellMar>
            <w:top w:w="0" w:type="dxa"/>
            <w:left w:w="0" w:type="dxa"/>
            <w:bottom w:w="0" w:type="dxa"/>
            <w:right w:w="0" w:type="dxa"/>
          </w:tblCellMar>
        </w:tblPrEx>
        <w:trPr>
          <w:trHeight w:val="48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松科电动三轮冲洗车1000L</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松科牌SKCX3170-A</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2020-12-19</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39,000.00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36,156.25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39,000.00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35,100.00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福田牌自卸汽车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浙JZ79L0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福田牌BJ3042D9JBA-FA</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2019-07-16</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18179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119,497.50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89,623.02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116,000.00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69,600.00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福田牌自卸汽车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浙JY62E0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福田牌BJ3042D9JBA-FA</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2019-07-16</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16863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119,497.50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89,623.02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116,000.00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75,400.00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环卫清运车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浙JW2S78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跃进牌NJ3042VEDBNW</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2017-10-01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29259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86,000.00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45,687.60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84,000.00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29,400.00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中联牌清洗车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浙J39393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中联牌ZLJ5073GQXEQE5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2019-08-21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15302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185,000.00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140,677.16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180,000.00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135,000.00 </w:t>
            </w:r>
          </w:p>
        </w:tc>
      </w:tr>
      <w:tr>
        <w:tblPrEx>
          <w:tblCellMar>
            <w:top w:w="0" w:type="dxa"/>
            <w:left w:w="0" w:type="dxa"/>
            <w:bottom w:w="0" w:type="dxa"/>
            <w:right w:w="0" w:type="dxa"/>
          </w:tblCellMar>
        </w:tblPrEx>
        <w:trPr>
          <w:trHeight w:val="51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重型特殊结构货车-5吨拉臂车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浙J21186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海德牌CHD5123ZXXE5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2016-11-02</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148136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230,000.00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95,833.52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57,500.00 </w:t>
            </w:r>
          </w:p>
        </w:tc>
      </w:tr>
      <w:tr>
        <w:tblPrEx>
          <w:tblCellMar>
            <w:top w:w="0" w:type="dxa"/>
            <w:left w:w="0" w:type="dxa"/>
            <w:bottom w:w="0" w:type="dxa"/>
            <w:right w:w="0" w:type="dxa"/>
          </w:tblCellMar>
        </w:tblPrEx>
        <w:trPr>
          <w:trHeight w:val="48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重型特殊结构货车-15吨清运压缩车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浙J16606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中联牌ZLJ5251ZYSE4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2016-03-25</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369229</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538,000.00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179,333.12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538,000.00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107,600.00 </w:t>
            </w:r>
          </w:p>
        </w:tc>
      </w:tr>
      <w:tr>
        <w:tblPrEx>
          <w:tblCellMar>
            <w:top w:w="0" w:type="dxa"/>
            <w:left w:w="0" w:type="dxa"/>
            <w:bottom w:w="0" w:type="dxa"/>
            <w:right w:w="0" w:type="dxa"/>
          </w:tblCellMar>
        </w:tblPrEx>
        <w:trPr>
          <w:trHeight w:val="49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重型特殊结构货车-15吨清运压缩车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浙J00107</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中联牌ZLJ5251ZYSDFE5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2016-11-30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335104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520,000.00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216,666.48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520,000.00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130,000.00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3吨铲车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龙工LG833B</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2013-01-01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208,000.00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31,200.34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208,000.00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31,200.00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1.0吨铲车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龙工LG820E</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2016-01-01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120,000.00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54,000.00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24,000.00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1.0吨铲车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旭工ZL-920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2015-01-01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35,300.00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12,354.74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3,600.00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3吨叉车（抱车）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杭州CPCD30H-BG7</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2017-01-01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56,000.00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30,799.82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56,000.00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14,000.00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电动四轮翻桶车</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东胜四轮翻桶车</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2016-05-31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60,000.00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21,250.00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3,000.00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打包机</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2010-11-15</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18,000.00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   </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64,000.00</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3,200.00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打包机</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2010-11-15</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18,000.00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   </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打包机</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2009-10-01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17,600.00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   </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大型打包机</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无</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2016-01-01</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180,000.00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81,000.00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36,000.00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8吨垃圾压缩中转站</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同济远大</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2016-04-30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398,000.00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189,049.90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97,500.00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垃圾压缩机</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上海牌</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2007-06-30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260,000.00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19,500.00 </w:t>
            </w: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FF0000"/>
                <w:sz w:val="20"/>
                <w:szCs w:val="20"/>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15"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3,626,695.00 </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1,506,077.25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967,700.00 </w:t>
            </w:r>
          </w:p>
        </w:tc>
      </w:tr>
    </w:tbl>
    <w:p>
      <w:pPr>
        <w:rPr>
          <w:rFonts w:hint="eastAsia" w:ascii="微软雅黑" w:hAnsi="微软雅黑" w:eastAsia="微软雅黑" w:cs="微软雅黑"/>
          <w:sz w:val="24"/>
          <w:szCs w:val="24"/>
          <w:highlight w:val="none"/>
        </w:rPr>
        <w:sectPr>
          <w:pgSz w:w="16840" w:h="11910" w:orient="landscape"/>
          <w:pgMar w:top="1080" w:right="1440" w:bottom="1080" w:left="1440" w:header="964" w:footer="1134" w:gutter="0"/>
          <w:lnNumType w:countBy="0"/>
          <w:pgNumType w:fmt="decimal"/>
          <w:cols w:space="425" w:num="1"/>
          <w:vAlign w:val="top"/>
          <w:docGrid w:linePitch="0" w:charSpace="0"/>
        </w:sectPr>
      </w:pPr>
    </w:p>
    <w:p>
      <w:pPr>
        <w:widowControl w:val="0"/>
        <w:numPr>
          <w:ilvl w:val="0"/>
          <w:numId w:val="32"/>
        </w:numPr>
        <w:spacing w:line="400" w:lineRule="exac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采购人现有垃圾中转站1座（不含管理用房）、果壳箱20只、垃圾桶460只、环卫工人宿舍72间等环卫设施提供给中标单位无偿使用，中标单位负责设施的清洁、维修及日常管理；垃圾桶、果壳箱的报废更换及新增由中标单位负责。项目合同期满后，中标单位须将上述设施无偿移交还采购人，并保证设施完好并可以正常使用。</w:t>
      </w:r>
    </w:p>
    <w:p>
      <w:pPr>
        <w:widowControl w:val="0"/>
        <w:numPr>
          <w:ilvl w:val="0"/>
          <w:numId w:val="32"/>
        </w:numPr>
        <w:spacing w:line="400" w:lineRule="exact"/>
        <w:textAlignment w:val="auto"/>
        <w:rPr>
          <w:rFonts w:ascii="微软雅黑" w:hAnsi="微软雅黑" w:eastAsia="微软雅黑" w:cs="微软雅黑"/>
          <w:sz w:val="24"/>
          <w:szCs w:val="24"/>
          <w:highlight w:val="none"/>
        </w:rPr>
      </w:pPr>
      <w:bookmarkStart w:id="30" w:name="_Toc511058463"/>
      <w:bookmarkStart w:id="31" w:name="_Toc513384968"/>
      <w:r>
        <w:rPr>
          <w:rFonts w:hint="eastAsia" w:ascii="微软雅黑" w:hAnsi="微软雅黑" w:eastAsia="微软雅黑" w:cs="微软雅黑"/>
          <w:sz w:val="24"/>
          <w:szCs w:val="24"/>
          <w:highlight w:val="none"/>
        </w:rPr>
        <w:t>中标单位中标后根据城北实际情况，结合接收的环卫资产，合理配置扫地车、洒水车、清洗车、清运车、压缩车、电瓶车、铲车等相关设备，要求中标单位的运行配置至少包含下列设备：</w:t>
      </w:r>
    </w:p>
    <w:tbl>
      <w:tblPr>
        <w:tblStyle w:val="2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362"/>
        <w:gridCol w:w="930"/>
        <w:gridCol w:w="975"/>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序号</w:t>
            </w:r>
          </w:p>
        </w:tc>
        <w:tc>
          <w:tcPr>
            <w:tcW w:w="2362"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名称</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数量</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单位</w:t>
            </w:r>
          </w:p>
        </w:tc>
        <w:tc>
          <w:tcPr>
            <w:tcW w:w="3814"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道路清扫车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洒水车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大件垃圾收集车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w:t>
            </w:r>
          </w:p>
        </w:tc>
        <w:tc>
          <w:tcPr>
            <w:tcW w:w="2362" w:type="dxa"/>
            <w:noWrap w:val="0"/>
            <w:vAlign w:val="top"/>
          </w:tcPr>
          <w:p>
            <w:pPr>
              <w:pStyle w:val="10"/>
              <w:widowControl w:val="0"/>
              <w:jc w:val="lef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路面高压清洗车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5</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小型高压清洗车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主要用于冲洗垃圾桶、车辆等设备。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6</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5吨拉臂车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7</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15吨清运车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5</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57"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w:t>
            </w:r>
          </w:p>
        </w:tc>
        <w:tc>
          <w:tcPr>
            <w:tcW w:w="2362" w:type="dxa"/>
            <w:noWrap w:val="0"/>
            <w:vAlign w:val="top"/>
          </w:tcPr>
          <w:p>
            <w:pPr>
              <w:pStyle w:val="10"/>
              <w:widowControl w:val="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倒桶四轮电瓶车</w:t>
            </w:r>
          </w:p>
        </w:tc>
        <w:tc>
          <w:tcPr>
            <w:tcW w:w="930"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6</w:t>
            </w:r>
          </w:p>
        </w:tc>
        <w:tc>
          <w:tcPr>
            <w:tcW w:w="975" w:type="dxa"/>
            <w:noWrap w:val="0"/>
            <w:vAlign w:val="top"/>
          </w:tcPr>
          <w:p>
            <w:pPr>
              <w:pStyle w:val="10"/>
              <w:widowControl w:val="0"/>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辆</w:t>
            </w:r>
          </w:p>
        </w:tc>
        <w:tc>
          <w:tcPr>
            <w:tcW w:w="3814" w:type="dxa"/>
            <w:noWrap w:val="0"/>
            <w:vAlign w:val="top"/>
          </w:tcPr>
          <w:p>
            <w:pPr>
              <w:pStyle w:val="10"/>
              <w:widowControl w:val="0"/>
              <w:rPr>
                <w:rFonts w:ascii="微软雅黑" w:hAnsi="微软雅黑" w:eastAsia="微软雅黑" w:cs="微软雅黑"/>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8" w:type="dxa"/>
            <w:gridSpan w:val="5"/>
            <w:noWrap w:val="0"/>
            <w:vAlign w:val="top"/>
          </w:tcPr>
          <w:p>
            <w:pPr>
              <w:pStyle w:val="10"/>
              <w:widowControl w:val="0"/>
              <w:ind w:firstLine="420" w:firstLineChars="20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其余根据城北实际情况合理配置；环卫工人配备的收集垃圾的三轮车需购置全新车辆，所有车辆保持外观统一，营造“干净、整洁、有序”的市容环境。</w:t>
            </w:r>
          </w:p>
        </w:tc>
      </w:tr>
    </w:tbl>
    <w:p>
      <w:pPr>
        <w:widowControl w:val="0"/>
        <w:numPr>
          <w:ilvl w:val="0"/>
          <w:numId w:val="32"/>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设备的维护、维修、保险等所有相关费用均由中标单位自行承担；各村、企业拉臂箱的维修（含大修）和保养均由中标单位负责并承担所有费用，若维修后的拉臂箱仍无法正常使用的则上报采购人核实后由采购人负责更换。维修更换期间中标单位自行安排好车辆等设备确保环卫工作正常进行。因鞋业旺季等情况需要增加车辆保障环卫工作的，中标单位须无条件配合采购人安排并调整车辆数量。</w:t>
      </w:r>
    </w:p>
    <w:p>
      <w:pPr>
        <w:widowControl w:val="0"/>
        <w:numPr>
          <w:ilvl w:val="0"/>
          <w:numId w:val="32"/>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机械设备、机械操作人员、车辆驾驶员要求证件齐全。</w:t>
      </w:r>
    </w:p>
    <w:p>
      <w:pPr>
        <w:widowControl w:val="0"/>
        <w:numPr>
          <w:ilvl w:val="0"/>
          <w:numId w:val="32"/>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加强对驾驶员等工作人员的交通安全和生产安全教育，做到质量和安全并举。如发生交通安全和生产事故的由中标单位自行解决，造成人员伤亡和财产损失的一切责任都由中标单位承担。</w:t>
      </w:r>
    </w:p>
    <w:p>
      <w:pPr>
        <w:widowControl w:val="0"/>
        <w:numPr>
          <w:ilvl w:val="0"/>
          <w:numId w:val="32"/>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做好中转站、公厕、宿舍楼等区域的安全保障工作，发生安全事故的后果由中标单位自行解决，造成人员伤亡和财产损失的相关经济赔偿及一切责任均由中标单位承担。</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重大节假日、突发事件、不可抗力、上级检查等相关服务</w:t>
      </w:r>
    </w:p>
    <w:p>
      <w:pPr>
        <w:numPr>
          <w:ilvl w:val="0"/>
          <w:numId w:val="3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制定完善的应急预案，提高应急处理能力。</w:t>
      </w:r>
    </w:p>
    <w:p>
      <w:pPr>
        <w:numPr>
          <w:ilvl w:val="0"/>
          <w:numId w:val="3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认真及时完成采购人布置的相关突击检查及验收工作。</w:t>
      </w:r>
    </w:p>
    <w:p>
      <w:pPr>
        <w:numPr>
          <w:ilvl w:val="0"/>
          <w:numId w:val="3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遇有重大活动、上级检查或突发事件，中标单位必须服从采购人统一指挥做好考核检查及各类创建活动，及时组织力量做好环卫保洁清运保障工作及指定路段的垃圾桶及果壳箱的更换、增设保障工作。</w:t>
      </w:r>
    </w:p>
    <w:p>
      <w:pPr>
        <w:numPr>
          <w:ilvl w:val="0"/>
          <w:numId w:val="3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遇有不可抗力因素（台风、暴雨等），中标单位应根据采购人要求进行调整，做好保障工作，做好日常安全管理及台风季节或恶劣天气的安全管理要求。</w:t>
      </w:r>
    </w:p>
    <w:p>
      <w:pPr>
        <w:numPr>
          <w:ilvl w:val="0"/>
          <w:numId w:val="33"/>
        </w:numPr>
        <w:adjustRightInd w:val="0"/>
        <w:spacing w:line="400" w:lineRule="exact"/>
        <w:ind w:firstLine="480" w:firstLineChars="200"/>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主动收集市民、相关部门、媒体对作业质量的反馈意见，积极处理相关投诉及问题，及时整改（简易问题1小时内整改完毕，较难处理的问题经采购人同意后在指定时间内处理完毕）。</w:t>
      </w:r>
    </w:p>
    <w:bookmarkEnd w:id="30"/>
    <w:bookmarkEnd w:id="31"/>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组织实施方案</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投标单位应按照招标要求提交以下投标技术方案（包括但不限于以下各项）：</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（一）对本项目道路清扫保洁、垃圾清运及公厕保洁工作的现状调查与问题剖析。</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根据投标单位对项目范围内道路清扫保洁、垃圾清运及公厕保洁工作现状情况、存在的问题和本项目实施的重点、难点等问题进行调查剖析，并针对性的提出合理化的设想和建议。</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（二）项目管理服务机构设置方案、运作流程、监管方式、考核办法、规章制度、劳动保障、安全措施。</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包括（但不限于）拟为本项目在当地设立的组织机构设置（附组织机构图）、运作流程（附运作流程图）、公司内部管理与考核办法、激励与监督机制、信息反馈与处理机制、员工工资福利待遇与参加社会保险承诺、员工劳动保护与安全生产措施等。</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（三）制定针对本项目的工作计划、实施方案及各项工作的操作规程、保洁标准与服务承诺。</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 制定本项目的工作计划、实施方案、工作目标、工作思路、方法措施。</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 制定本项目拟配置的管理人员、工作人员、作业车辆等生产要素的数量与概况，具体说明各公厕、道路、各区块等配置情况。</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 制定本项目具体的工作分工、班次与时间的安排，要体现合理、精细、科学、高效。</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 制定承诺对本项目清扫、清运及保洁质量的控制和检查手段，提出相应的质量保障措施，要体现科学、合理、可靠。</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 制定开展爱国卫生运动、多城联创、垃圾分类、智慧城管指令、微信抄告等相关清扫保洁工作落实的措施与承诺。</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6. 制定车辆运行方案，要符合本项目道路保洁与垃圾清运、道路机扫洒水、人行道清洗等要求。</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7. 制定应对突发性事件的响应与处置工作机制。</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8. 保洁服务承诺。</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（四）专用车辆、作业机具及物资装备配置要求。</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 针对本项目需要，要配置足够的人力（电动）保洁车，包括（但不限于）拟配置的其它作业机具、设备、作业工具、易耗材料等物资的数量，办公场所、设施的配置，各类人员的着装规范与劳动防护等物资的配置。</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 投标方案中必须配置：</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（1）专用于本标项的洒水车、扫地车、清洗车、全封闭式垃圾清运车、压缩车、铲车等机动车由投标单位根据项目需要投入自定。其他三轮、四轮电瓶车辆根据招标要求按需配置。</w:t>
      </w:r>
    </w:p>
    <w:p>
      <w:pPr>
        <w:widowControl w:val="0"/>
        <w:tabs>
          <w:tab w:val="left" w:pos="630"/>
        </w:tabs>
        <w:spacing w:line="400" w:lineRule="exact"/>
        <w:ind w:left="2" w:leftChars="1" w:firstLine="470" w:firstLineChars="196"/>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（2）要求配置车辆必须达到或优于上述指标，符合低碳、环保、密闭，车容整洁，编号管理，易于考核。</w:t>
      </w:r>
    </w:p>
    <w:p>
      <w:pPr>
        <w:widowControl w:val="0"/>
        <w:tabs>
          <w:tab w:val="left" w:pos="630"/>
        </w:tabs>
        <w:spacing w:line="400" w:lineRule="exact"/>
        <w:ind w:left="2" w:leftChars="1" w:firstLine="470" w:firstLineChars="196"/>
        <w:textAlignment w:val="auto"/>
        <w:rPr>
          <w:rFonts w:ascii="微软雅黑" w:hAnsi="微软雅黑" w:eastAsia="微软雅黑" w:cs="微软雅黑"/>
          <w:b/>
          <w:bCs/>
          <w:sz w:val="24"/>
          <w:szCs w:val="24"/>
          <w:highlight w:val="none"/>
          <w:u w:val="singl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b/>
          <w:bCs/>
          <w:sz w:val="24"/>
          <w:szCs w:val="24"/>
          <w:highlight w:val="none"/>
          <w:u w:val="single"/>
        </w:rPr>
        <w:t>▲投标单位中标后，</w:t>
      </w:r>
      <w:r>
        <w:rPr>
          <w:rFonts w:hint="eastAsia" w:ascii="微软雅黑" w:hAnsi="微软雅黑" w:eastAsia="微软雅黑" w:cs="微软雅黑"/>
          <w:b/>
          <w:bCs/>
          <w:sz w:val="24"/>
          <w:szCs w:val="24"/>
          <w:highlight w:val="none"/>
          <w:u w:val="single"/>
          <w:lang w:val="en-US" w:eastAsia="zh-CN"/>
        </w:rPr>
        <w:t>投入</w:t>
      </w:r>
      <w:r>
        <w:rPr>
          <w:rFonts w:hint="eastAsia" w:ascii="微软雅黑" w:hAnsi="微软雅黑" w:eastAsia="微软雅黑" w:cs="微软雅黑"/>
          <w:b/>
          <w:bCs/>
          <w:sz w:val="24"/>
          <w:szCs w:val="24"/>
          <w:highlight w:val="none"/>
          <w:u w:val="single"/>
        </w:rPr>
        <w:t>的专用车辆与设施等作业器具要求在合同签订后，进场作业前一周全部到位，投入并持续运行；进场作业前一周车辆不到位的，合同终止。</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履约保证金、违约条款及退出机制</w:t>
      </w:r>
    </w:p>
    <w:p>
      <w:pPr>
        <w:widowControl w:val="0"/>
        <w:numPr>
          <w:ilvl w:val="0"/>
          <w:numId w:val="34"/>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履约保证金：金额为一年合同总价的5%；在合同实施期满后30天内无息退还。如合同实施期内中标单位未按照要求履行合同则履约保证金不予退还；在合同实施期内如因中标单位原因造成采购人财产损失的，采购人有权在履约保证金中扣除。</w:t>
      </w:r>
    </w:p>
    <w:p>
      <w:pPr>
        <w:widowControl w:val="0"/>
        <w:numPr>
          <w:ilvl w:val="0"/>
          <w:numId w:val="34"/>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服务期内出现以下情况的，情节较轻的，采购人对中标单位作出批评教育、警告及扣罚处理；情节严重的，采购人有权单方无责任终止合同、没收履约保证金，由中标单位承担一切经济损失和法律责任，采购人保留向中标单位索赔的权利，中标单位三年内不得再参与城北街道类似项目：</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中标单位违反采购人具体要求、《招标文件》规定及《投标文件》承诺的；</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中标单位道路清扫车弄虚作假没有实际扫地的；</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项目负责人在温岭其它项目中担任项目负责人或未经采购人同意变更项目负责人的，扣罚10万元履约保证金；</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中标单位无正当理由停止作业的；</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中标单位在承包期内，出现环卫工人集体上访的，采购人可以直接认定当月考核平均分为不合格（考核得分小于80分）；</w:t>
      </w:r>
    </w:p>
    <w:p>
      <w:pPr>
        <w:widowControl w:val="0"/>
        <w:numPr>
          <w:ilvl w:val="0"/>
          <w:numId w:val="35"/>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经省、市级新闻媒体曝光或发生其他影响温岭城市形象的事件，经查属中标单位责任的。</w:t>
      </w:r>
    </w:p>
    <w:p>
      <w:pPr>
        <w:widowControl w:val="0"/>
        <w:numPr>
          <w:ilvl w:val="0"/>
          <w:numId w:val="34"/>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服务期出现以下情况的，采购人有权不续签或单方无责任终止合同。责任归属于中标单位的，采购人有权没收履约保证金，由中标单位承担一切经济损失和法律责任，采购人保留向中标单位索赔的权利，中标单位三年内不得再参与城北街道类似项目：</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中标单位私自将本项目分包或转包的；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中标单位对监管人员、考核成员有行贿或其他利益输送行为的；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全年出现连续两次或者累计三次被警告的（警告情形具体见考核办法）；</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全年平均考核得分率低于80%（不含）的；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违反安全管理、规范作业规定，造成重大伤亡或重大损失的；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经有关部门认定严重违反劳动法，造成恶劣影响的；或其它因违法经营受到刑事处罚或者责令停产停业、吊销许可证或者执照、较大数额罚款等行政处罚的；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发生其它弄虚作假及其他不正当行为的；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合同履约期间，中标单位法人组织破产，或重组变更法人主体的；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本项目遇不可抗力影响或法律、法规、国家政策重大调整影响合同无法执行的；</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根据招标文件及合同约定，其它不续签或终止合同的规定，其它法律规定的终止情形；</w:t>
      </w:r>
    </w:p>
    <w:p>
      <w:pPr>
        <w:widowControl w:val="0"/>
        <w:numPr>
          <w:ilvl w:val="0"/>
          <w:numId w:val="36"/>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合同期限届满时自行终止。</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其他要求</w:t>
      </w:r>
    </w:p>
    <w:p>
      <w:pPr>
        <w:widowControl w:val="0"/>
        <w:numPr>
          <w:ilvl w:val="0"/>
          <w:numId w:val="3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预算金额包括质量标准规定的所有工作内容在内的全体工作人员费用（如工资、保险、高温补贴、福利等）、设施购置费（如车辆及机械设备的购置费用、更换或增设垃圾桶及果壳箱的购置费用等）、设施运行维护费（如拉臂箱的修理保养费用、设备的修理保养及保险费用、设备风险及管理费、设备运行的油费等）、安全文明生产装备费（包括工作服、反光衣、雨衣等）、工具及耗材购置费（如保洁工具、打包工具、一次性用品、清洁材料等）、外运的垃圾处理费、过磅费、过路费、水电费、施工技术措施费、开办费、企业管理费、利润、税金及合同包含的所有风险、责任等各项所有费用。</w:t>
      </w:r>
    </w:p>
    <w:p>
      <w:pPr>
        <w:widowControl w:val="0"/>
        <w:numPr>
          <w:ilvl w:val="0"/>
          <w:numId w:val="37"/>
        </w:numPr>
        <w:spacing w:line="400" w:lineRule="exact"/>
        <w:textAlignment w:val="auto"/>
        <w:rPr>
          <w:rFonts w:ascii="微软雅黑" w:hAnsi="微软雅黑" w:eastAsia="微软雅黑" w:cs="微软雅黑"/>
          <w:b/>
          <w:bCs/>
          <w:sz w:val="24"/>
          <w:szCs w:val="24"/>
          <w:highlight w:val="none"/>
        </w:rPr>
      </w:pPr>
      <w:r>
        <w:rPr>
          <w:rFonts w:hint="eastAsia" w:ascii="微软雅黑" w:hAnsi="微软雅黑" w:eastAsia="微软雅黑" w:cs="微软雅黑"/>
          <w:sz w:val="24"/>
          <w:szCs w:val="24"/>
          <w:highlight w:val="none"/>
        </w:rPr>
        <w:t>▲</w:t>
      </w:r>
      <w:r>
        <w:rPr>
          <w:rFonts w:hint="eastAsia" w:ascii="微软雅黑" w:hAnsi="微软雅黑" w:eastAsia="微软雅黑" w:cs="微软雅黑"/>
          <w:sz w:val="24"/>
          <w:szCs w:val="24"/>
          <w:highlight w:val="none"/>
          <w:lang w:val="en-US" w:eastAsia="zh-CN"/>
        </w:rPr>
        <w:t>投标单位营业执照注册地址在温岭市外的，若中标则要求在中标合同签订后一个月内，在温岭市城北街道申报设立项目公司，在结算时出具“跨区域涉税事项报告”，在温岭市城北街道完税。中标单位未按要求设立项目公司或在温岭市城北街道完税的，采购人有权扣罚一年合同金额的5%作为违约金。</w:t>
      </w:r>
    </w:p>
    <w:p>
      <w:pPr>
        <w:widowControl w:val="0"/>
        <w:numPr>
          <w:ilvl w:val="0"/>
          <w:numId w:val="3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结算付款方式：</w:t>
      </w:r>
    </w:p>
    <w:p>
      <w:pPr>
        <w:widowControl w:val="0"/>
        <w:numPr>
          <w:ilvl w:val="0"/>
          <w:numId w:val="3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月服务费金额：以中标单价为基础，分为月基础服务费和月考核金；月考核金金额为</w:t>
      </w:r>
      <w:r>
        <w:rPr>
          <w:rFonts w:hint="eastAsia" w:ascii="微软雅黑" w:hAnsi="微软雅黑" w:eastAsia="微软雅黑" w:cs="微软雅黑"/>
          <w:sz w:val="24"/>
          <w:szCs w:val="24"/>
          <w:highlight w:val="none"/>
          <w:u w:val="single"/>
        </w:rPr>
        <w:t>15万元/月</w:t>
      </w:r>
      <w:r>
        <w:rPr>
          <w:rFonts w:hint="eastAsia" w:ascii="微软雅黑" w:hAnsi="微软雅黑" w:eastAsia="微软雅黑" w:cs="微软雅黑"/>
          <w:sz w:val="24"/>
          <w:szCs w:val="24"/>
          <w:highlight w:val="none"/>
        </w:rPr>
        <w:t>，月基础服务费金额为中标单价扣除</w:t>
      </w:r>
      <w:r>
        <w:rPr>
          <w:rFonts w:hint="eastAsia" w:ascii="微软雅黑" w:hAnsi="微软雅黑" w:eastAsia="微软雅黑" w:cs="微软雅黑"/>
          <w:sz w:val="24"/>
          <w:szCs w:val="24"/>
          <w:highlight w:val="none"/>
          <w:u w:val="single"/>
        </w:rPr>
        <w:t>15万元</w:t>
      </w:r>
      <w:r>
        <w:rPr>
          <w:rFonts w:hint="eastAsia" w:ascii="微软雅黑" w:hAnsi="微软雅黑" w:eastAsia="微软雅黑" w:cs="微软雅黑"/>
          <w:sz w:val="24"/>
          <w:szCs w:val="24"/>
          <w:highlight w:val="none"/>
        </w:rPr>
        <w:t>后余下的金额。</w:t>
      </w:r>
    </w:p>
    <w:p>
      <w:pPr>
        <w:widowControl w:val="0"/>
        <w:numPr>
          <w:ilvl w:val="0"/>
          <w:numId w:val="3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月基础服务费结算方式：月基础服务费每月全额支付。</w:t>
      </w:r>
    </w:p>
    <w:p>
      <w:pPr>
        <w:widowControl w:val="0"/>
        <w:numPr>
          <w:ilvl w:val="0"/>
          <w:numId w:val="3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月考核金结算方式：月考核金于每季度结算支付一次，结算支付金额=</w:t>
      </w:r>
      <w:r>
        <w:rPr>
          <w:rFonts w:hint="eastAsia" w:ascii="微软雅黑" w:hAnsi="微软雅黑" w:eastAsia="微软雅黑" w:cs="微软雅黑"/>
          <w:sz w:val="24"/>
          <w:szCs w:val="24"/>
          <w:highlight w:val="none"/>
          <w:u w:val="single"/>
        </w:rPr>
        <w:t>45万元</w:t>
      </w:r>
      <w:r>
        <w:rPr>
          <w:rFonts w:hint="eastAsia" w:ascii="微软雅黑" w:hAnsi="微软雅黑" w:eastAsia="微软雅黑" w:cs="微软雅黑"/>
          <w:sz w:val="24"/>
          <w:szCs w:val="24"/>
          <w:highlight w:val="none"/>
        </w:rPr>
        <w:t>-该季度月考核金扣罚汇总。</w:t>
      </w:r>
    </w:p>
    <w:p>
      <w:pPr>
        <w:widowControl w:val="0"/>
        <w:numPr>
          <w:ilvl w:val="0"/>
          <w:numId w:val="3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考核方式及评分细则详见本章第十二条。</w:t>
      </w:r>
    </w:p>
    <w:p>
      <w:pPr>
        <w:widowControl w:val="0"/>
        <w:numPr>
          <w:ilvl w:val="0"/>
          <w:numId w:val="3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明确合同中标总价一次性包死，服务期内不再调整。</w:t>
      </w:r>
    </w:p>
    <w:p>
      <w:pPr>
        <w:widowControl w:val="0"/>
        <w:numPr>
          <w:ilvl w:val="0"/>
          <w:numId w:val="3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招标文件中明确中标单位有应急响应机制，建立应对遭遇恶劣天气环境卫生作业的应急机制（不涉及经费增加）。</w:t>
      </w:r>
    </w:p>
    <w:p>
      <w:pPr>
        <w:widowControl w:val="0"/>
        <w:numPr>
          <w:ilvl w:val="0"/>
          <w:numId w:val="37"/>
        </w:numPr>
        <w:spacing w:line="400" w:lineRule="exact"/>
        <w:textAlignment w:val="auto"/>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为使中标单位有足够的时间准备进场，自合同签订之日起给予中标单位1个月的时间筹备项目公司、设备、人员等；合同运行第一个月为过渡适应期，采购人协助中标单位共同管理，不进行考核扣分，服务费按照中标单价支付。中标单位不得以任何理由延长筹备期及过渡期。</w:t>
      </w:r>
    </w:p>
    <w:p>
      <w:pPr>
        <w:widowControl w:val="0"/>
        <w:numPr>
          <w:ilvl w:val="0"/>
          <w:numId w:val="3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明确中标单位（包括所有用工人员）不得私自收取生活垃圾处置费，否则按所收金额的10倍处罚。</w:t>
      </w:r>
    </w:p>
    <w:p>
      <w:pPr>
        <w:numPr>
          <w:ilvl w:val="0"/>
          <w:numId w:val="12"/>
        </w:numPr>
        <w:adjustRightInd w:val="0"/>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考核细则</w:t>
      </w:r>
    </w:p>
    <w:p>
      <w:pPr>
        <w:numPr>
          <w:ilvl w:val="0"/>
          <w:numId w:val="39"/>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考核评分细则（采购人有权根据实际情况进行适当调整）。</w:t>
      </w:r>
    </w:p>
    <w:tbl>
      <w:tblPr>
        <w:tblStyle w:val="23"/>
        <w:tblW w:w="1004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525"/>
        <w:gridCol w:w="5175"/>
        <w:gridCol w:w="1095"/>
        <w:gridCol w:w="800"/>
        <w:gridCol w:w="60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考核内容</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序号</w:t>
            </w:r>
          </w:p>
        </w:tc>
        <w:tc>
          <w:tcPr>
            <w:tcW w:w="517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评分标准</w:t>
            </w:r>
          </w:p>
        </w:tc>
        <w:tc>
          <w:tcPr>
            <w:tcW w:w="109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考核途径</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分值</w:t>
            </w:r>
          </w:p>
        </w:tc>
        <w:tc>
          <w:tcPr>
            <w:tcW w:w="6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得分</w:t>
            </w:r>
          </w:p>
        </w:tc>
        <w:tc>
          <w:tcPr>
            <w:tcW w:w="70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一、人员管理（共10分）</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所有项目工作人员职责清楚、分工明确，得1分。绿化带、公园、小广场、电线杆、墙体、道路两侧空地均列入保洁范围，道路两侧界置为两侧房屋立面为界。责任区域不明确不清楚的，每段扣0.5分；发现有保洁盲区的，每处扣0.5分。</w:t>
            </w:r>
          </w:p>
        </w:tc>
        <w:tc>
          <w:tcPr>
            <w:tcW w:w="1095"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实地查看、查阅资料、调查核实。</w:t>
            </w: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占总分10%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每月提供日常巡查日志及作业人员考核台账，资料完整得0.5分。以上资料每少一种扣0.25分；日志、台账记录不完整的，每次扣0.25分。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工作人员业务培训及安全健康教育每月开展一次。无签到及培训记录的扣1分。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做好安全管理工作，确保不发生安全生产事故，得2分。发生负主责安全事故的（包括环卫作业车辆），造成死亡一人的扣2分，伤一人的扣1分。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b/>
                <w:bCs/>
                <w:sz w:val="18"/>
                <w:szCs w:val="18"/>
                <w:highlight w:val="none"/>
              </w:rPr>
            </w:pPr>
            <w:r>
              <w:rPr>
                <w:rFonts w:hint="eastAsia" w:ascii="微软雅黑" w:hAnsi="微软雅黑" w:eastAsia="微软雅黑" w:cs="微软雅黑"/>
                <w:sz w:val="18"/>
                <w:szCs w:val="18"/>
                <w:highlight w:val="none"/>
              </w:rPr>
              <w:t>5</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无环卫工人一人双岗现象的，得0.5分，发现一人双岗的每人次扣0.25分。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6</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工作人员统一穿工作服上岗，服装整齐，发现未穿工作服或穿着不规范的，每人次扣0.1分。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7</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发现工作人员脱岗的每次扣0.5分；未按承诺配足人员的每次扣1.5分。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8</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机械操作人员无证操作、车辆驾驶人员无证驾驶的每发现一次扣1分。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9</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对已通报的环境卫生问题，未在第二天内彻底整改的每发现一次扣1分；再次告知仍未彻底整改的，每发现一次扣2分；上级督查发现问题情节严重的每发生一次扣2分。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5" w:type="dxa"/>
            <w:gridSpan w:val="4"/>
            <w:noWrap/>
            <w:vAlign w:val="center"/>
          </w:tcPr>
          <w:p>
            <w:pPr>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小计</w:t>
            </w:r>
          </w:p>
        </w:tc>
        <w:tc>
          <w:tcPr>
            <w:tcW w:w="800" w:type="dxa"/>
            <w:noWrap/>
            <w:vAlign w:val="center"/>
          </w:tcPr>
          <w:p>
            <w:pPr>
              <w:jc w:val="center"/>
              <w:rPr>
                <w:rFonts w:ascii="微软雅黑" w:hAnsi="微软雅黑" w:eastAsia="微软雅黑" w:cs="微软雅黑"/>
                <w:sz w:val="18"/>
                <w:szCs w:val="18"/>
                <w:highlight w:val="none"/>
              </w:rPr>
            </w:pPr>
          </w:p>
        </w:tc>
        <w:tc>
          <w:tcPr>
            <w:tcW w:w="6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70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考核内容</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序号</w:t>
            </w:r>
          </w:p>
        </w:tc>
        <w:tc>
          <w:tcPr>
            <w:tcW w:w="517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评分标准</w:t>
            </w:r>
          </w:p>
        </w:tc>
        <w:tc>
          <w:tcPr>
            <w:tcW w:w="109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考核途径</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分值</w:t>
            </w:r>
          </w:p>
        </w:tc>
        <w:tc>
          <w:tcPr>
            <w:tcW w:w="6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得分</w:t>
            </w:r>
          </w:p>
        </w:tc>
        <w:tc>
          <w:tcPr>
            <w:tcW w:w="70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二、公厕保洁（共15分）</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未设置公厕管理制度牌的扣0.2分/次；制度牌破损、字迹不清晰、公示的信息缺项及不准确的扣0.1分/次。</w:t>
            </w:r>
          </w:p>
        </w:tc>
        <w:tc>
          <w:tcPr>
            <w:tcW w:w="109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占总分15%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无故关闭公厕的扣0.5分/次；无故关闭无障碍间男、女厕位的扣0.2分/次；未落实专职保洁员的扣0.5分/次。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作业时未设置警示牌的扣0.1分/次；冲洗厕所地面和雨雪冰冻天气时未铺设防滑垫的扣0.1分/次；保洁作业时未主动避让如厕人员的扣0.1分/次。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厕内外乱接水管电线的扣0.3分/次；公厕保洁人员上班期间在公厕公共区域从事家务等公厕保洁无关的事情的扣0.2分/次；上班时间在管理间内干杂活或睡觉等公厕保洁无关的事情的扣0.2分/次；管理间物品摆放杂乱、不洁的扣0.1分/次；在管理间内饮酒、吸烟的扣0.1分/次；私自利用公厕从事销售商品、废品回收等经营性活动的扣0.3分/次；公厕内饲养宠物的扣0.2分/次；用任何形式搞赌博活动的扣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b/>
                <w:bCs/>
                <w:sz w:val="18"/>
                <w:szCs w:val="18"/>
                <w:highlight w:val="none"/>
              </w:rPr>
            </w:pPr>
            <w:r>
              <w:rPr>
                <w:rFonts w:hint="eastAsia" w:ascii="微软雅黑" w:hAnsi="微软雅黑" w:eastAsia="微软雅黑" w:cs="微软雅黑"/>
                <w:sz w:val="18"/>
                <w:szCs w:val="18"/>
                <w:highlight w:val="none"/>
              </w:rPr>
              <w:t>5</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厕天花板、内外墙面、门窗、洗手池及台面、拖把池、大小便厕位隔断、搁物台、上下水管、镜子等不洁的每项扣0.1分/次；垃圾桶或纸篓破损不洁以及容器内垃圾量满溢的扣0.1分/次；公厕内堆放杂物、厕位内乱堆放作业工具的扣0.1分/次；公厕及厕位地面不洁、湿滑积水的每项扣0.1分/次；工具间环境不整洁的扣0.1分/次；公厕有明显臭味的扣0.2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6</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大便器（槽）污垢不洁的每处扣0.1分/次；有积粪的扣0.2分/次；堵塞规定时间内未及时疏通的扣0.3分/次。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7</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小便器（槽）有水锈、尿垢、垃圾等不洁的每项扣0.1分/次；沟眼、管道流水不通畅规定时间内未及时维修的每项扣0.3分/次。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8</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公厕外环境不洁，有作业工具乱放，垃圾、粪便、杂物堆放吊挂、晾晒衣物现象的每项扣0.1分/次。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9</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超过臭味监测报警监测值范围1小时内未整改到位每次扣0.1分。</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10</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公厕指向牌、公厕标识牌、夜间灯光指示牌、厕门男女标识牌、无障碍标识牌、管理间标识牌、工具间标识牌、坐厕位标识牌破损、遮挡、残缺、歪斜的规定时间内未及时维修的每缺失一块扣0.1分/次。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天花板、门窗及锁、窗栅、大小便厕位隔断、搁物台及金属扣件、镜子、挂衣钩、洗手池台面及水池、大小便器、水龙头、拖把池、上下水管、水箱、水阀缺失、破损、生锈或不能正常使用的规定时间内未及时维修的每项扣0.1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12</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存在用电安全隐患的扣0.2分/次；灯具、洗手液分配器、干手器、手纸架、除臭设备破损或不能正常使用的规定时间内未及时维修的每项扣0.1分/次；檀香未点的扣0.1分/次；灯具、除臭设备、夜间灯光指示牌调未按照规定启用的扣0.1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13</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无障碍通道不能正常使用、扶手（含靠墙厕位扶手）缺失破损或松动不牢固、无障碍间卫生洁具及辅助设施缺失破损的规定时间内未及时维修的扣0.3分/次。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0.5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14</w:t>
            </w:r>
          </w:p>
        </w:tc>
        <w:tc>
          <w:tcPr>
            <w:tcW w:w="5175" w:type="dxa"/>
            <w:noWrap/>
            <w:vAlign w:val="center"/>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给水、排污管道（含化粪池）堵塞、破损的规定时间内未及时维修的扣0.3分/次。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center"/>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15</w:t>
            </w:r>
          </w:p>
        </w:tc>
        <w:tc>
          <w:tcPr>
            <w:tcW w:w="5175" w:type="dxa"/>
            <w:noWrap/>
            <w:vAlign w:val="center"/>
          </w:tcPr>
          <w:p>
            <w:pPr>
              <w:spacing w:line="280" w:lineRule="exact"/>
              <w:jc w:val="left"/>
              <w:rPr>
                <w:rFonts w:ascii="微软雅黑" w:hAnsi="微软雅黑" w:eastAsia="微软雅黑" w:cs="微软雅黑"/>
                <w:sz w:val="20"/>
                <w:szCs w:val="20"/>
                <w:highlight w:val="none"/>
              </w:rPr>
            </w:pPr>
            <w:r>
              <w:rPr>
                <w:rFonts w:hint="eastAsia" w:ascii="微软雅黑" w:hAnsi="微软雅黑" w:eastAsia="微软雅黑" w:cs="微软雅黑"/>
                <w:sz w:val="18"/>
                <w:szCs w:val="18"/>
                <w:highlight w:val="none"/>
              </w:rPr>
              <w:t>化粪池、贮粪池、公厕粪池盖不密闭、缺失、破损、松动的规定时间内未及时维修的扣0.3分/次。</w:t>
            </w:r>
          </w:p>
        </w:tc>
        <w:tc>
          <w:tcPr>
            <w:tcW w:w="109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5" w:type="dxa"/>
            <w:gridSpan w:val="4"/>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小计</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三、道路清扫保洁及垃圾收集容器的清理、清洁、保养等（共30分）</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清扫范围内垃圾日产日清，并按要求送到指定地点，无存量垃圾，无就地焚烧现象，未达要求每次扣0.3分。</w:t>
            </w:r>
          </w:p>
        </w:tc>
        <w:tc>
          <w:tcPr>
            <w:tcW w:w="109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实地查看、查阅资料、调查核实。</w:t>
            </w: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3</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占总分30%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保洁质量要求，机动车道、非机动车道、人行道、绿化带、树池、隔离带、护栏底脚、三角岛、小区门口、小广场、小街小巷、村道、电线杆、墙体、公园与道路交界处及公共场地等保持整洁，每发现一处零星垃圾扣0.05分；每发现一处明显垃圾扣0.1分；每发现一处超0.5平方的成堆垃圾扣0.15分；每发现一处成堆连片垃圾的扣0.3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10</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人行道、墙角无杂草、呕吐物、人畜便，窨井表面无污垢沉积。有杂草、呕吐物、人畜便的，窨井有污垢沉积的每处扣0.05分。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泥沙、粉尘及时清扫倒入垃圾桶内，发现将泥沙、粉尘扫入窨井及倒入绿化带内的，每人次扣0.1分。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5</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保证清扫工具（扫帚、夹钳等）正常使用，不能正常使用（粉尘无法扫净）而不及时更换的，每次扣0.5分。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6</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清扫范围内建筑垃圾、有害垃圾、大件垃圾等未及时收运或不按要求运送到指定位置的每发现一处扣0.2分。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7</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果壳箱或垃圾桶无残损、破损、封闭性好，如有损坏及时维修或更换，如有丢失及时购置。未及时维修或更换的每只扣0.2分；垃圾桶数量不足的每少1只扣0.2分；未在采购人通知时间内更换或增设垃圾桶的每次扣2分。</w:t>
            </w:r>
          </w:p>
        </w:tc>
        <w:tc>
          <w:tcPr>
            <w:tcW w:w="1095"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8</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蝇、蚊孽生季节，做到果壳箱、垃圾桶定期喷洒药物消毒，箱体周围可视范围内苍蝇少于3只/次。发现一处蚊蝇群生扣0.2分；发现未消毒扣0.4分/次。</w:t>
            </w:r>
          </w:p>
        </w:tc>
        <w:tc>
          <w:tcPr>
            <w:tcW w:w="1095"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9</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果壳箱或垃圾桶无专职人员清洗的扣1.5分；有明显积灰或污物、摆放凌乱的，每发现一处扣0.2分。</w:t>
            </w:r>
          </w:p>
        </w:tc>
        <w:tc>
          <w:tcPr>
            <w:tcW w:w="1095"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3</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10</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果壳箱及垃圾桶做到日产日清，每天倒垃圾不少于两次。箱内垃圾满溢每只扣0.2分。</w:t>
            </w:r>
          </w:p>
        </w:tc>
        <w:tc>
          <w:tcPr>
            <w:tcW w:w="1095"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11</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果壳箱及垃圾桶周围1㎡内整洁，无果壳烟蒂，无散落、存留垃圾。周围不干净每处扣0.2分；垃圾桶盖打开后应及时关闭，发现一只未关盖扣0.02分。</w:t>
            </w:r>
          </w:p>
        </w:tc>
        <w:tc>
          <w:tcPr>
            <w:tcW w:w="1095" w:type="dxa"/>
            <w:vMerge w:val="continue"/>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5" w:type="dxa"/>
            <w:gridSpan w:val="4"/>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小计</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考核内容</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序号</w:t>
            </w:r>
          </w:p>
        </w:tc>
        <w:tc>
          <w:tcPr>
            <w:tcW w:w="517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评分标准</w:t>
            </w:r>
          </w:p>
        </w:tc>
        <w:tc>
          <w:tcPr>
            <w:tcW w:w="109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考核途径</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分值</w:t>
            </w:r>
          </w:p>
        </w:tc>
        <w:tc>
          <w:tcPr>
            <w:tcW w:w="6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得分</w:t>
            </w:r>
          </w:p>
        </w:tc>
        <w:tc>
          <w:tcPr>
            <w:tcW w:w="70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四、垃圾清运（共35分）</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管理好中转站内外场地、管理用房、宿舍楼及周围等环卫场所，要保持安全、整洁、卫生。未落实专职管理人员、清扫人员的每发现一次扣2分；中转站内乱倾倒、垃圾不及时清推、污水横流的每发现一次扣2分；环卫场所存在安全隐患每发现一次扣2分；环卫场所有散落垃圾、乱堆乱放、清扫保洁不到位的每发现一处扣0.5分；无关车辆进场停放的每发现一次扣2分；车辆乱停乱放的每发现一次扣0.5分；辖区外垃圾进场倾倒的、在中转站内焚烧垃圾的每发现一次扣5分。</w:t>
            </w:r>
          </w:p>
        </w:tc>
        <w:tc>
          <w:tcPr>
            <w:tcW w:w="109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实地查看、查阅资料、调查核实。</w:t>
            </w: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10</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占总分35%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垃圾原则上做到日产日清，日垃圾清运量达175吨/天以上。中转站场内有垃圾堆积但垃圾清运量未达到要求的扣5分/次；需增加清运车辆情况下，接采购人通知后3日内未按要求增加清运车辆的扣5分/次；垃圾乱倾倒的每发现一次扣15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各村及企业的拉臂箱未及时清运的每发现一次扣2分；在拉臂箱内焚烧垃圾的每发现一次扣5分。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清运车辆、车容不符合规定的每发现一次扣2分；作业过程中有抛、洒、滴、漏现象的每发现一次扣2分；违反规定被相关部门处罚或扣车的每发生一次扣5分。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5" w:type="dxa"/>
            <w:gridSpan w:val="4"/>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小计</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考核内容</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序号</w:t>
            </w:r>
          </w:p>
        </w:tc>
        <w:tc>
          <w:tcPr>
            <w:tcW w:w="517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评分标准</w:t>
            </w:r>
          </w:p>
        </w:tc>
        <w:tc>
          <w:tcPr>
            <w:tcW w:w="109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考核途径</w:t>
            </w:r>
          </w:p>
        </w:tc>
        <w:tc>
          <w:tcPr>
            <w:tcW w:w="800"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分值</w:t>
            </w:r>
          </w:p>
        </w:tc>
        <w:tc>
          <w:tcPr>
            <w:tcW w:w="6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得分</w:t>
            </w:r>
          </w:p>
        </w:tc>
        <w:tc>
          <w:tcPr>
            <w:tcW w:w="705"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restart"/>
            <w:noWrap/>
            <w:vAlign w:val="center"/>
          </w:tcPr>
          <w:p>
            <w:pPr>
              <w:tabs>
                <w:tab w:val="left" w:pos="5940"/>
              </w:tabs>
              <w:spacing w:line="360" w:lineRule="auto"/>
              <w:ind w:right="-89"/>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五、机械作业及智慧环卫（共10分）</w:t>
            </w: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高压冲洗车需每周一次全面对管辖范围内路面、人行道、侧石进行冲洗，未达到规定时间的每次扣0.5分。</w:t>
            </w:r>
          </w:p>
        </w:tc>
        <w:tc>
          <w:tcPr>
            <w:tcW w:w="109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实地查看、查阅资料、调查核实。</w:t>
            </w: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restart"/>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占总分10%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不按规定路线进行高压冲洗工作的，每次扣0.2分。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3</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人行道有油溃、污垢的每处扣0.2分，侧石5米长有污垢的扣0.1分。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1.5</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按要求落实智慧环卫平台运行，发生平台故障，包括车辆及其GPS设备故障等，应在当天向采购人申报，同时以书面形式提交采购人。采购人工作人员核实故障报告后，未及时申报或发现与申报事实不符的，每次扣0.5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5</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随意变更采购人规定的车辆作业范围、路线、时间的，每发现一次扣0.2分；故意停用投标承诺的车辆设备，每辆次扣0.3分。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2</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6</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机扫车作业行车速度超过规定时速（10km/h）的，每发现一次扣0.1分。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525" w:type="dxa"/>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7</w:t>
            </w:r>
          </w:p>
        </w:tc>
        <w:tc>
          <w:tcPr>
            <w:tcW w:w="5175" w:type="dxa"/>
            <w:noWrap/>
            <w:vAlign w:val="top"/>
          </w:tcPr>
          <w:p>
            <w:pP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车辆保持车身整洁，按规定做好台帐记录。每查处一次不达标扣0.2分。</w:t>
            </w:r>
          </w:p>
        </w:tc>
        <w:tc>
          <w:tcPr>
            <w:tcW w:w="109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800" w:type="dxa"/>
            <w:noWrap/>
            <w:vAlign w:val="center"/>
          </w:tcPr>
          <w:p>
            <w:pPr>
              <w:jc w:val="center"/>
              <w:textAlignment w:val="center"/>
              <w:rPr>
                <w:rFonts w:ascii="微软雅黑" w:hAnsi="微软雅黑" w:eastAsia="微软雅黑" w:cs="微软雅黑"/>
                <w:sz w:val="18"/>
                <w:szCs w:val="18"/>
                <w:highlight w:val="none"/>
              </w:rPr>
            </w:pPr>
            <w:r>
              <w:rPr>
                <w:rFonts w:hint="eastAsia" w:ascii="微软雅黑" w:hAnsi="微软雅黑" w:eastAsia="微软雅黑" w:cs="微软雅黑"/>
                <w:color w:val="000000"/>
                <w:kern w:val="0"/>
                <w:sz w:val="18"/>
                <w:szCs w:val="18"/>
                <w:highlight w:val="none"/>
              </w:rPr>
              <w:t>1</w:t>
            </w: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vMerge w:val="continue"/>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5" w:type="dxa"/>
            <w:gridSpan w:val="4"/>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小计</w:t>
            </w:r>
          </w:p>
        </w:tc>
        <w:tc>
          <w:tcPr>
            <w:tcW w:w="8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5" w:type="dxa"/>
            <w:gridSpan w:val="4"/>
            <w:noWrap/>
            <w:vAlign w:val="center"/>
          </w:tcPr>
          <w:p>
            <w:pPr>
              <w:tabs>
                <w:tab w:val="left" w:pos="5940"/>
              </w:tabs>
              <w:spacing w:line="360" w:lineRule="auto"/>
              <w:ind w:right="-89"/>
              <w:jc w:val="center"/>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总计</w:t>
            </w:r>
          </w:p>
        </w:tc>
        <w:tc>
          <w:tcPr>
            <w:tcW w:w="800" w:type="dxa"/>
            <w:noWrap/>
            <w:vAlign w:val="top"/>
          </w:tcPr>
          <w:p>
            <w:pPr>
              <w:tabs>
                <w:tab w:val="left" w:pos="5940"/>
              </w:tabs>
              <w:spacing w:line="360" w:lineRule="auto"/>
              <w:ind w:right="-89"/>
              <w:jc w:val="center"/>
              <w:rPr>
                <w:rFonts w:ascii="微软雅黑" w:hAnsi="微软雅黑" w:eastAsia="微软雅黑" w:cs="微软雅黑"/>
                <w:sz w:val="18"/>
                <w:szCs w:val="18"/>
                <w:highlight w:val="none"/>
              </w:rPr>
            </w:pPr>
          </w:p>
        </w:tc>
        <w:tc>
          <w:tcPr>
            <w:tcW w:w="600"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c>
          <w:tcPr>
            <w:tcW w:w="705" w:type="dxa"/>
            <w:noWrap/>
            <w:vAlign w:val="top"/>
          </w:tcPr>
          <w:p>
            <w:pPr>
              <w:tabs>
                <w:tab w:val="left" w:pos="5940"/>
              </w:tabs>
              <w:spacing w:line="360" w:lineRule="auto"/>
              <w:ind w:right="-89"/>
              <w:rPr>
                <w:rFonts w:ascii="微软雅黑" w:hAnsi="微软雅黑" w:eastAsia="微软雅黑" w:cs="微软雅黑"/>
                <w:sz w:val="18"/>
                <w:szCs w:val="18"/>
                <w:highlight w:val="none"/>
              </w:rPr>
            </w:pPr>
          </w:p>
        </w:tc>
      </w:tr>
    </w:tbl>
    <w:p>
      <w:pPr>
        <w:spacing w:line="400" w:lineRule="exact"/>
        <w:ind w:left="480" w:hanging="480" w:hangingChars="200"/>
        <w:jc w:val="left"/>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注：每项扣分以该项评分标准对应分值为限，扣完为止。</w:t>
      </w:r>
    </w:p>
    <w:p>
      <w:pPr>
        <w:numPr>
          <w:ilvl w:val="0"/>
          <w:numId w:val="39"/>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考核内容及方式</w:t>
      </w:r>
    </w:p>
    <w:p>
      <w:pPr>
        <w:widowControl w:val="0"/>
        <w:numPr>
          <w:ilvl w:val="0"/>
          <w:numId w:val="4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考核由日常巡查考核与固定月考核两块组成，采取定期和随机相结合、明查与暗访相结合的方式进行。</w:t>
      </w:r>
    </w:p>
    <w:p>
      <w:pPr>
        <w:widowControl w:val="0"/>
        <w:numPr>
          <w:ilvl w:val="0"/>
          <w:numId w:val="4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日常巡查考核由采购人环卫管理小组不定期组织巡查，固定月考核由采购人组织相关部门在每月月底最后三天中抽取一天进行考核。</w:t>
      </w:r>
    </w:p>
    <w:p>
      <w:pPr>
        <w:widowControl w:val="0"/>
        <w:numPr>
          <w:ilvl w:val="0"/>
          <w:numId w:val="4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现场考核内容包括道路清扫保洁质量、环卫设施维护、垃圾清运情况、规范化作业考核等；智慧环卫平台考核包括信息采集员报送、车辆轨迹、人员信息、管理制度及实施方案执行情况、相关台账资料等。</w:t>
      </w:r>
    </w:p>
    <w:p>
      <w:pPr>
        <w:widowControl w:val="0"/>
        <w:numPr>
          <w:ilvl w:val="0"/>
          <w:numId w:val="4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考核人员依据《考核评分细则》进行打分，考核分每月统计，在次月5日前完成。</w:t>
      </w:r>
    </w:p>
    <w:p>
      <w:pPr>
        <w:widowControl w:val="0"/>
        <w:numPr>
          <w:ilvl w:val="0"/>
          <w:numId w:val="40"/>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采购人对每月考核结果进行通报，通过每月例会的形式，告知中标单位该月考核得分和存在问题。日常考核检查记录可以通过考核微信群等途径，及时反馈给中标单位。</w:t>
      </w:r>
    </w:p>
    <w:p>
      <w:pPr>
        <w:numPr>
          <w:ilvl w:val="0"/>
          <w:numId w:val="39"/>
        </w:numPr>
        <w:spacing w:line="40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考核结果运用</w:t>
      </w:r>
    </w:p>
    <w:p>
      <w:pPr>
        <w:pStyle w:val="76"/>
        <w:shd w:val="clear" w:color="auto" w:fill="FFFFFF"/>
        <w:adjustRightInd w:val="0"/>
        <w:snapToGrid w:val="0"/>
        <w:spacing w:before="0" w:beforeAutospacing="0" w:after="0" w:afterAutospacing="0" w:line="400" w:lineRule="exact"/>
        <w:ind w:firstLine="480" w:firstLineChars="200"/>
        <w:rPr>
          <w:rFonts w:ascii="微软雅黑" w:hAnsi="微软雅黑" w:eastAsia="微软雅黑" w:cs="微软雅黑"/>
          <w:b/>
          <w:highlight w:val="none"/>
        </w:rPr>
      </w:pPr>
      <w:r>
        <w:rPr>
          <w:rFonts w:hint="eastAsia" w:ascii="微软雅黑" w:hAnsi="微软雅黑" w:eastAsia="微软雅黑" w:cs="微软雅黑"/>
          <w:b/>
          <w:highlight w:val="none"/>
        </w:rPr>
        <w:t>本项目每月考核满分为100分，月达标平均分为80分（含），低于80分的为不达标。月考核金的计算以考核计分为准，按以下标准计算：</w:t>
      </w:r>
    </w:p>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月服务费金额：以中标单价为基础，分为月基础服务费和月考核金；月考核金金额为</w:t>
      </w:r>
      <w:r>
        <w:rPr>
          <w:rFonts w:hint="eastAsia" w:ascii="微软雅黑" w:hAnsi="微软雅黑" w:eastAsia="微软雅黑" w:cs="微软雅黑"/>
          <w:sz w:val="24"/>
          <w:szCs w:val="24"/>
          <w:highlight w:val="none"/>
          <w:u w:val="single"/>
        </w:rPr>
        <w:t>15万元/月</w:t>
      </w:r>
      <w:r>
        <w:rPr>
          <w:rFonts w:hint="eastAsia" w:ascii="微软雅黑" w:hAnsi="微软雅黑" w:eastAsia="微软雅黑" w:cs="微软雅黑"/>
          <w:sz w:val="24"/>
          <w:szCs w:val="24"/>
          <w:highlight w:val="none"/>
        </w:rPr>
        <w:t>，月基础服务费金额为中标单价扣除</w:t>
      </w:r>
      <w:r>
        <w:rPr>
          <w:rFonts w:hint="eastAsia" w:ascii="微软雅黑" w:hAnsi="微软雅黑" w:eastAsia="微软雅黑" w:cs="微软雅黑"/>
          <w:sz w:val="24"/>
          <w:szCs w:val="24"/>
          <w:highlight w:val="none"/>
          <w:u w:val="single"/>
        </w:rPr>
        <w:t>15万元</w:t>
      </w:r>
      <w:r>
        <w:rPr>
          <w:rFonts w:hint="eastAsia" w:ascii="微软雅黑" w:hAnsi="微软雅黑" w:eastAsia="微软雅黑" w:cs="微软雅黑"/>
          <w:sz w:val="24"/>
          <w:szCs w:val="24"/>
          <w:highlight w:val="none"/>
        </w:rPr>
        <w:t>后余下的金额。</w:t>
      </w:r>
    </w:p>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月基础服务费结算方式：月基础服务费每月全额支付。</w:t>
      </w:r>
    </w:p>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月考核金结算方式：月考核金于每季度结算支付一次，结算支付金额=</w:t>
      </w:r>
      <w:r>
        <w:rPr>
          <w:rFonts w:hint="eastAsia" w:ascii="微软雅黑" w:hAnsi="微软雅黑" w:eastAsia="微软雅黑" w:cs="微软雅黑"/>
          <w:sz w:val="24"/>
          <w:szCs w:val="24"/>
          <w:highlight w:val="none"/>
          <w:u w:val="single"/>
        </w:rPr>
        <w:t>45万元</w:t>
      </w:r>
      <w:r>
        <w:rPr>
          <w:rFonts w:hint="eastAsia" w:ascii="微软雅黑" w:hAnsi="微软雅黑" w:eastAsia="微软雅黑" w:cs="微软雅黑"/>
          <w:sz w:val="24"/>
          <w:szCs w:val="24"/>
          <w:highlight w:val="none"/>
        </w:rPr>
        <w:t>-该季度月考核金扣罚金额汇总。</w:t>
      </w:r>
    </w:p>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rPr>
        <w:t>考核计算方式及标准</w:t>
      </w:r>
      <w:r>
        <w:rPr>
          <w:rFonts w:hint="eastAsia" w:ascii="微软雅黑" w:hAnsi="微软雅黑" w:eastAsia="微软雅黑" w:cs="微软雅黑"/>
          <w:sz w:val="24"/>
          <w:szCs w:val="24"/>
          <w:highlight w:val="none"/>
        </w:rPr>
        <w:t>：按采购人出具的《</w:t>
      </w:r>
      <w:r>
        <w:rPr>
          <w:rFonts w:hint="eastAsia" w:ascii="微软雅黑" w:hAnsi="微软雅黑" w:eastAsia="微软雅黑" w:cs="微软雅黑"/>
          <w:b/>
          <w:bCs/>
          <w:sz w:val="24"/>
          <w:szCs w:val="24"/>
          <w:highlight w:val="none"/>
        </w:rPr>
        <w:t>考核评分细则</w:t>
      </w:r>
      <w:r>
        <w:rPr>
          <w:rFonts w:hint="eastAsia" w:ascii="微软雅黑" w:hAnsi="微软雅黑" w:eastAsia="微软雅黑" w:cs="微软雅黑"/>
          <w:sz w:val="24"/>
          <w:szCs w:val="24"/>
          <w:highlight w:val="none"/>
        </w:rPr>
        <w:t>》采取日常巡查、固定月考核相结合的方式，当月日常巡查平均分占60%，固定月考核得分占40%，即月考核平均分=日常巡查平均分*60%+固定月考核得分*40%，计算结果四舍五入保留整数作为月考核平均分，具体对应情况如下：</w:t>
      </w:r>
    </w:p>
    <w:tbl>
      <w:tblPr>
        <w:tblStyle w:val="2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835"/>
        <w:gridCol w:w="2325"/>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8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序号</w:t>
            </w:r>
          </w:p>
        </w:tc>
        <w:tc>
          <w:tcPr>
            <w:tcW w:w="2835"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月考核平均分</w:t>
            </w:r>
          </w:p>
        </w:tc>
        <w:tc>
          <w:tcPr>
            <w:tcW w:w="2325"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计算标准</w:t>
            </w: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月考核金计算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w:t>
            </w:r>
          </w:p>
        </w:tc>
        <w:tc>
          <w:tcPr>
            <w:tcW w:w="2835"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90分以上（含90分）</w:t>
            </w:r>
          </w:p>
        </w:tc>
        <w:tc>
          <w:tcPr>
            <w:tcW w:w="2325"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w:t>
            </w: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全额支付月考核金。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w:t>
            </w:r>
          </w:p>
        </w:tc>
        <w:tc>
          <w:tcPr>
            <w:tcW w:w="2835" w:type="dxa"/>
            <w:vMerge w:val="restart"/>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85分以上（含85分）-90分（不含90分）</w:t>
            </w:r>
          </w:p>
        </w:tc>
        <w:tc>
          <w:tcPr>
            <w:tcW w:w="2325" w:type="dxa"/>
            <w:vMerge w:val="restart"/>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每低1分扣3000元</w:t>
            </w: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89分，扣3000元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w:t>
            </w:r>
          </w:p>
        </w:tc>
        <w:tc>
          <w:tcPr>
            <w:tcW w:w="2835" w:type="dxa"/>
            <w:vMerge w:val="continue"/>
            <w:noWrap/>
            <w:vAlign w:val="top"/>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88分，扣6000元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87分，扣9000元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5</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86分，扣12000元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6</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85分，扣15000元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7</w:t>
            </w:r>
          </w:p>
        </w:tc>
        <w:tc>
          <w:tcPr>
            <w:tcW w:w="2835" w:type="dxa"/>
            <w:vMerge w:val="restart"/>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80分以上（含80分）-85分（不含85分）</w:t>
            </w:r>
          </w:p>
        </w:tc>
        <w:tc>
          <w:tcPr>
            <w:tcW w:w="2325" w:type="dxa"/>
            <w:vMerge w:val="restart"/>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每低1分扣5000元</w:t>
            </w: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84分，扣20000元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83分，扣25000元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9</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82分，扣30000元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10</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81分，扣35000元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11</w:t>
            </w:r>
          </w:p>
        </w:tc>
        <w:tc>
          <w:tcPr>
            <w:tcW w:w="2835" w:type="dxa"/>
            <w:vMerge w:val="continue"/>
            <w:noWrap/>
            <w:vAlign w:val="center"/>
          </w:tcPr>
          <w:p>
            <w:pPr>
              <w:pStyle w:val="10"/>
              <w:spacing w:line="400" w:lineRule="exact"/>
              <w:rPr>
                <w:rFonts w:ascii="微软雅黑" w:hAnsi="微软雅黑" w:eastAsia="微软雅黑" w:cs="微软雅黑"/>
                <w:sz w:val="21"/>
                <w:szCs w:val="21"/>
                <w:highlight w:val="none"/>
              </w:rPr>
            </w:pPr>
          </w:p>
        </w:tc>
        <w:tc>
          <w:tcPr>
            <w:tcW w:w="2325" w:type="dxa"/>
            <w:vMerge w:val="continue"/>
            <w:noWrap/>
            <w:vAlign w:val="center"/>
          </w:tcPr>
          <w:p>
            <w:pPr>
              <w:pStyle w:val="10"/>
              <w:spacing w:line="400" w:lineRule="exact"/>
              <w:jc w:val="center"/>
              <w:rPr>
                <w:rFonts w:ascii="微软雅黑" w:hAnsi="微软雅黑" w:eastAsia="微软雅黑" w:cs="微软雅黑"/>
                <w:sz w:val="21"/>
                <w:szCs w:val="21"/>
                <w:highlight w:val="none"/>
              </w:rPr>
            </w:pP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80分，扣40000元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89"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12</w:t>
            </w:r>
          </w:p>
        </w:tc>
        <w:tc>
          <w:tcPr>
            <w:tcW w:w="2835"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80分以下（不含80分）</w:t>
            </w:r>
          </w:p>
        </w:tc>
        <w:tc>
          <w:tcPr>
            <w:tcW w:w="2325" w:type="dxa"/>
            <w:noWrap/>
            <w:vAlign w:val="center"/>
          </w:tcPr>
          <w:p>
            <w:pPr>
              <w:pStyle w:val="10"/>
              <w:spacing w:line="400" w:lineRule="exact"/>
              <w:jc w:val="center"/>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全额扣款</w:t>
            </w:r>
          </w:p>
        </w:tc>
        <w:tc>
          <w:tcPr>
            <w:tcW w:w="2869" w:type="dxa"/>
            <w:noWrap/>
            <w:vAlign w:val="center"/>
          </w:tcPr>
          <w:p>
            <w:pPr>
              <w:pStyle w:val="10"/>
              <w:spacing w:line="400" w:lineRule="exact"/>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不支付月考核金。</w:t>
            </w:r>
          </w:p>
        </w:tc>
      </w:tr>
    </w:tbl>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考核平均分低于80分（不含80分）的，在不支付月考核金15万元的基础上，每下降1分另外扣除月服务费的0.5%作为违约金，采购人将责令其限期予以改正并发书面通知书以示警告，全年出现连续两次或者累计三次被警告的，采购人有权单方面无责任终止合同并没收履约保证金。</w:t>
      </w:r>
    </w:p>
    <w:p>
      <w:pPr>
        <w:widowControl w:val="0"/>
        <w:numPr>
          <w:ilvl w:val="0"/>
          <w:numId w:val="41"/>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u w:val="single"/>
        </w:rPr>
        <w:t>▲中标单位在承包期内，出现环卫工人集体上访的，采购人可以直接认定当月考核平均分为不合格，情节严重的，采购人有权终止合同并不予返还履约保证金。</w:t>
      </w:r>
    </w:p>
    <w:p>
      <w:pPr>
        <w:widowControl w:val="0"/>
        <w:numPr>
          <w:ilvl w:val="0"/>
          <w:numId w:val="0"/>
        </w:numPr>
        <w:spacing w:line="400" w:lineRule="exact"/>
        <w:ind w:left="567"/>
        <w:textAlignment w:val="auto"/>
        <w:rPr>
          <w:rStyle w:val="62"/>
          <w:rFonts w:ascii="微软雅黑" w:hAnsi="微软雅黑" w:eastAsia="微软雅黑" w:cs="微软雅黑"/>
          <w:b/>
          <w:bCs/>
          <w:color w:val="000000"/>
          <w:kern w:val="2"/>
          <w:sz w:val="32"/>
          <w:szCs w:val="32"/>
          <w:highlight w:val="none"/>
        </w:rPr>
      </w:pPr>
      <w:r>
        <w:rPr>
          <w:b/>
          <w:bCs/>
          <w:sz w:val="24"/>
          <w:szCs w:val="24"/>
          <w:highlight w:val="none"/>
        </w:rPr>
        <w:br w:type="page"/>
      </w:r>
    </w:p>
    <w:p>
      <w:pPr>
        <w:snapToGrid w:val="0"/>
        <w:spacing w:line="400" w:lineRule="exact"/>
        <w:jc w:val="center"/>
        <w:rPr>
          <w:rStyle w:val="62"/>
          <w:rFonts w:ascii="微软雅黑" w:hAnsi="微软雅黑" w:eastAsia="微软雅黑"/>
          <w:color w:val="000000"/>
          <w:szCs w:val="24"/>
          <w:highlight w:val="none"/>
          <w:lang w:bidi="en-US"/>
        </w:rPr>
      </w:pPr>
      <w:r>
        <w:rPr>
          <w:rStyle w:val="62"/>
          <w:rFonts w:ascii="微软雅黑" w:hAnsi="微软雅黑" w:eastAsia="微软雅黑" w:cs="微软雅黑"/>
          <w:b/>
          <w:bCs/>
          <w:color w:val="000000"/>
          <w:kern w:val="2"/>
          <w:sz w:val="32"/>
          <w:szCs w:val="32"/>
          <w:highlight w:val="none"/>
        </w:rPr>
        <w:t>第五章    政府采购合同主要条款指引</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甲方：（采购人）</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乙方：（供应商）</w:t>
      </w:r>
    </w:p>
    <w:p>
      <w:pPr>
        <w:widowControl w:val="0"/>
        <w:spacing w:line="40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根据 年 月日          （项目编号：        ）招标结果和招标文件要求，并依照《中华人民共和国民法典》</w:t>
      </w: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rPr>
        <w:t>《中华人民共和国政府采购法》及其他等有关法律、行政法规的规定，同时在平等、公平、诚实和信用的原则下，经双方协商一致，订立本合同。</w:t>
      </w:r>
    </w:p>
    <w:p>
      <w:pPr>
        <w:numPr>
          <w:ilvl w:val="0"/>
          <w:numId w:val="42"/>
        </w:numPr>
        <w:adjustRightInd w:val="0"/>
        <w:spacing w:line="340" w:lineRule="exact"/>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合同范围及内容：</w:t>
      </w:r>
    </w:p>
    <w:p>
      <w:pPr>
        <w:numPr>
          <w:ilvl w:val="0"/>
          <w:numId w:val="43"/>
        </w:numPr>
        <w:spacing w:line="340" w:lineRule="exact"/>
        <w:ind w:firstLine="480" w:firstLineChars="200"/>
        <w:jc w:val="left"/>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项目服务内容为温岭市城北街道道路清扫保洁、垃圾清运及公厕保洁。</w:t>
      </w:r>
    </w:p>
    <w:p>
      <w:pPr>
        <w:spacing w:line="340" w:lineRule="exact"/>
        <w:ind w:firstLine="480" w:firstLineChars="200"/>
        <w:jc w:val="left"/>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 乙方对面积或垃圾清运量有争议的，不影响本项目合同金额。</w:t>
      </w:r>
    </w:p>
    <w:p>
      <w:pPr>
        <w:widowControl w:val="0"/>
        <w:spacing w:line="360" w:lineRule="exact"/>
        <w:ind w:firstLine="480" w:firstLineChars="200"/>
        <w:textAlignment w:val="auto"/>
        <w:rPr>
          <w:rFonts w:ascii="微软雅黑" w:hAnsi="微软雅黑" w:eastAsia="微软雅黑" w:cs="微软雅黑"/>
          <w:b/>
          <w:sz w:val="24"/>
          <w:szCs w:val="24"/>
          <w:highlight w:val="none"/>
        </w:rPr>
      </w:pPr>
      <w:r>
        <w:rPr>
          <w:rFonts w:hint="eastAsia" w:ascii="微软雅黑" w:hAnsi="微软雅黑" w:eastAsia="微软雅黑" w:cs="微软雅黑"/>
          <w:sz w:val="24"/>
          <w:szCs w:val="24"/>
          <w:highlight w:val="none"/>
        </w:rPr>
        <w:t>3. 具体要求及内容详见招标文件中采购需求，招标文件为本合同的重要组成部分。</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合同期限：</w:t>
      </w:r>
    </w:p>
    <w:p>
      <w:pPr>
        <w:pStyle w:val="12"/>
        <w:spacing w:line="34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 本合同有效期为     年，自      年     月    日至       年     月    日止。</w:t>
      </w:r>
    </w:p>
    <w:p>
      <w:pPr>
        <w:pStyle w:val="12"/>
        <w:spacing w:line="34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w:t>
      </w: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rPr>
        <w:t>本次报价2年内有效，1年合同履行完毕后，采购人有权根据考核情况决定是否续签下一年度合同。</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合同总价及明细：</w:t>
      </w:r>
    </w:p>
    <w:p>
      <w:pPr>
        <w:pStyle w:val="12"/>
        <w:spacing w:line="34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 中标单价：   元/月，合同总价人民币：元整。</w:t>
      </w:r>
    </w:p>
    <w:p>
      <w:pPr>
        <w:pStyle w:val="12"/>
        <w:spacing w:line="34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 合同价包括质量标准规定的所有工作内容在内的全体工作人员费用（如工资、保险、高温补贴、福利等）、设施购置费（如车辆及机械设备的购置费用、更换或增设垃圾桶及果壳箱的购置费用等）、设施运行维护费（如拉臂箱的修理保养费用、设备的修理保养及保险费用、设备风险及管理费、设备运行的油费等）、安全文明生产装备费（包括工作服、反光衣、雨衣等）、工具及耗材购置费（如保洁工具、打包工具、一次性用品、清洁材料等）、外运的垃圾处理费、过磅费、过路费、水电费、施工技术措施费、开办费、企业管理费、利润、税金及合同包含的所有风险、责任等各项所有费用。如有遗漏处，视同包含在本合同价内，甲方将不再另行支付。</w:t>
      </w:r>
    </w:p>
    <w:p>
      <w:pPr>
        <w:pStyle w:val="12"/>
        <w:spacing w:line="340" w:lineRule="exact"/>
        <w:ind w:firstLine="480" w:firstLineChars="200"/>
        <w:textAlignment w:val="auto"/>
        <w:rPr>
          <w:rFonts w:ascii="微软雅黑" w:hAnsi="微软雅黑" w:eastAsia="微软雅黑" w:cs="微软雅黑"/>
          <w:b/>
          <w:sz w:val="24"/>
          <w:szCs w:val="24"/>
          <w:highlight w:val="none"/>
        </w:rPr>
      </w:pPr>
      <w:r>
        <w:rPr>
          <w:rFonts w:hint="eastAsia" w:ascii="微软雅黑" w:hAnsi="微软雅黑" w:eastAsia="微软雅黑" w:cs="微软雅黑"/>
          <w:sz w:val="24"/>
          <w:szCs w:val="24"/>
          <w:highlight w:val="none"/>
        </w:rPr>
        <w:t>3. 合同总价不作任何调整，任何计算错误皆视为已获双方接受；亦不会因人工、物价或汇率等变动而作任何调整。</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环卫资产</w:t>
      </w:r>
      <w:r>
        <w:rPr>
          <w:rFonts w:hint="eastAsia" w:ascii="微软雅黑" w:hAnsi="微软雅黑" w:eastAsia="微软雅黑" w:cs="微软雅黑"/>
          <w:b/>
          <w:sz w:val="24"/>
          <w:szCs w:val="24"/>
          <w:highlight w:val="none"/>
          <w:lang w:val="en-US" w:eastAsia="zh-CN"/>
        </w:rPr>
        <w:t>移交事项</w:t>
      </w:r>
    </w:p>
    <w:p>
      <w:pPr>
        <w:pStyle w:val="12"/>
        <w:numPr>
          <w:ilvl w:val="0"/>
          <w:numId w:val="44"/>
        </w:numPr>
        <w:spacing w:line="340" w:lineRule="exact"/>
        <w:ind w:firstLine="480" w:firstLineChars="200"/>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甲方</w:t>
      </w:r>
      <w:r>
        <w:rPr>
          <w:rFonts w:hint="eastAsia" w:ascii="微软雅黑" w:hAnsi="微软雅黑" w:eastAsia="微软雅黑" w:cs="微软雅黑"/>
          <w:sz w:val="24"/>
          <w:szCs w:val="24"/>
          <w:highlight w:val="none"/>
        </w:rPr>
        <w:t>原用于本项目范围的环卫设备</w:t>
      </w:r>
      <w:r>
        <w:rPr>
          <w:rFonts w:hint="eastAsia" w:ascii="微软雅黑" w:hAnsi="微软雅黑" w:eastAsia="微软雅黑" w:cs="微软雅黑"/>
          <w:sz w:val="24"/>
          <w:szCs w:val="24"/>
          <w:highlight w:val="none"/>
          <w:lang w:val="en-US" w:eastAsia="zh-CN"/>
        </w:rPr>
        <w:t>转让给乙方，具体清单详见</w:t>
      </w:r>
      <w:r>
        <w:rPr>
          <w:rFonts w:hint="eastAsia" w:ascii="微软雅黑" w:hAnsi="微软雅黑" w:eastAsia="微软雅黑" w:cs="微软雅黑"/>
          <w:sz w:val="24"/>
          <w:szCs w:val="24"/>
          <w:highlight w:val="none"/>
        </w:rPr>
        <w:t>《资产评估明细表</w:t>
      </w: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lang w:val="en-US" w:eastAsia="zh-CN"/>
        </w:rPr>
        <w:t>；</w:t>
      </w:r>
    </w:p>
    <w:p>
      <w:pPr>
        <w:pStyle w:val="12"/>
        <w:numPr>
          <w:ilvl w:val="0"/>
          <w:numId w:val="44"/>
        </w:numPr>
        <w:spacing w:line="340" w:lineRule="exact"/>
        <w:ind w:firstLine="480" w:firstLineChars="200"/>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设备款总计：人民币玖拾陆万柒仟柒佰元整（</w:t>
      </w:r>
      <w:r>
        <w:rPr>
          <w:rFonts w:hint="eastAsia" w:ascii="微软雅黑" w:hAnsi="微软雅黑" w:eastAsia="微软雅黑" w:cs="微软雅黑"/>
          <w:sz w:val="24"/>
          <w:szCs w:val="24"/>
          <w:highlight w:val="none"/>
          <w:lang w:val="zh-CN" w:eastAsia="zh-CN"/>
        </w:rPr>
        <w:t>￥</w:t>
      </w:r>
      <w:r>
        <w:rPr>
          <w:rFonts w:hint="eastAsia" w:ascii="微软雅黑" w:hAnsi="微软雅黑" w:eastAsia="微软雅黑" w:cs="微软雅黑"/>
          <w:sz w:val="24"/>
          <w:szCs w:val="24"/>
          <w:highlight w:val="none"/>
          <w:lang w:val="en-US" w:eastAsia="zh-CN"/>
        </w:rPr>
        <w:t>967,700.00元）</w:t>
      </w:r>
    </w:p>
    <w:p>
      <w:pPr>
        <w:pStyle w:val="12"/>
        <w:numPr>
          <w:ilvl w:val="0"/>
          <w:numId w:val="44"/>
        </w:numPr>
        <w:spacing w:line="340" w:lineRule="exact"/>
        <w:ind w:firstLine="480" w:firstLineChars="200"/>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乙方于合同生效之日起一个月内办理过户手续；</w:t>
      </w:r>
    </w:p>
    <w:p>
      <w:pPr>
        <w:pStyle w:val="12"/>
        <w:numPr>
          <w:ilvl w:val="0"/>
          <w:numId w:val="44"/>
        </w:numPr>
        <w:spacing w:line="340" w:lineRule="exact"/>
        <w:ind w:firstLine="480" w:firstLineChars="200"/>
        <w:textAlignment w:val="auto"/>
        <w:rPr>
          <w:rFonts w:hint="eastAsia" w:ascii="微软雅黑" w:hAnsi="微软雅黑" w:eastAsia="微软雅黑" w:cs="微软雅黑"/>
          <w:sz w:val="24"/>
          <w:szCs w:val="24"/>
          <w:highlight w:val="none"/>
          <w:lang w:val="en-US" w:eastAsia="zh-CN"/>
        </w:rPr>
      </w:pPr>
      <w:r>
        <w:rPr>
          <w:rFonts w:hint="eastAsia" w:ascii="微软雅黑" w:hAnsi="微软雅黑" w:eastAsia="微软雅黑" w:cs="微软雅黑"/>
          <w:sz w:val="24"/>
          <w:szCs w:val="24"/>
          <w:highlight w:val="none"/>
          <w:lang w:val="en-US" w:eastAsia="zh-CN"/>
        </w:rPr>
        <w:t>乙方于合同生效之日起三个月内一次性向甲方支付所有设备款，乙方逾期支付设备款的，甲方有权拒绝支付逾期期间的服务费。</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履约保证金：</w:t>
      </w:r>
    </w:p>
    <w:p>
      <w:pPr>
        <w:widowControl w:val="0"/>
        <w:numPr>
          <w:ilvl w:val="0"/>
          <w:numId w:val="45"/>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乙方在合同签订前向甲方提交履约保证金：人民币</w:t>
      </w:r>
      <w:r>
        <w:rPr>
          <w:rFonts w:hint="eastAsia" w:ascii="微软雅黑" w:hAnsi="微软雅黑" w:eastAsia="微软雅黑" w:cs="微软雅黑"/>
          <w:sz w:val="24"/>
          <w:szCs w:val="24"/>
          <w:highlight w:val="none"/>
          <w:u w:val="single"/>
          <w:lang w:val="en-US" w:eastAsia="zh-CN"/>
        </w:rPr>
        <w:t xml:space="preserve">        </w:t>
      </w:r>
      <w:r>
        <w:rPr>
          <w:rFonts w:hint="eastAsia" w:ascii="微软雅黑" w:hAnsi="微软雅黑" w:eastAsia="微软雅黑" w:cs="微软雅黑"/>
          <w:sz w:val="24"/>
          <w:szCs w:val="24"/>
          <w:highlight w:val="none"/>
        </w:rPr>
        <w:t>元；</w:t>
      </w:r>
    </w:p>
    <w:p>
      <w:pPr>
        <w:widowControl w:val="0"/>
        <w:numPr>
          <w:ilvl w:val="0"/>
          <w:numId w:val="45"/>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退还方式：在合同期满后30天内无息退还。如合同实施期内乙方未按照要求履行合同则履约保证金不予退还。在合同实施期内如因乙方原因造成甲方财产损失的，甲方有权在履约保证金中扣除。</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 xml:space="preserve">结算及付款方式： </w:t>
      </w:r>
    </w:p>
    <w:p>
      <w:pPr>
        <w:widowControl w:val="0"/>
        <w:numPr>
          <w:ilvl w:val="0"/>
          <w:numId w:val="46"/>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月服务费金额：以中标单价为基础，分为月基础服务费和月考核金；月考核金金额为</w:t>
      </w:r>
      <w:r>
        <w:rPr>
          <w:rFonts w:hint="eastAsia" w:ascii="微软雅黑" w:hAnsi="微软雅黑" w:eastAsia="微软雅黑" w:cs="微软雅黑"/>
          <w:sz w:val="24"/>
          <w:szCs w:val="24"/>
          <w:highlight w:val="none"/>
          <w:u w:val="single"/>
        </w:rPr>
        <w:t>15万元/月</w:t>
      </w:r>
      <w:r>
        <w:rPr>
          <w:rFonts w:hint="eastAsia" w:ascii="微软雅黑" w:hAnsi="微软雅黑" w:eastAsia="微软雅黑" w:cs="微软雅黑"/>
          <w:sz w:val="24"/>
          <w:szCs w:val="24"/>
          <w:highlight w:val="none"/>
        </w:rPr>
        <w:t>，月基础服务费金额为中标单价扣除</w:t>
      </w:r>
      <w:r>
        <w:rPr>
          <w:rFonts w:hint="eastAsia" w:ascii="微软雅黑" w:hAnsi="微软雅黑" w:eastAsia="微软雅黑" w:cs="微软雅黑"/>
          <w:sz w:val="24"/>
          <w:szCs w:val="24"/>
          <w:highlight w:val="none"/>
          <w:u w:val="single"/>
        </w:rPr>
        <w:t>15万元</w:t>
      </w:r>
      <w:r>
        <w:rPr>
          <w:rFonts w:hint="eastAsia" w:ascii="微软雅黑" w:hAnsi="微软雅黑" w:eastAsia="微软雅黑" w:cs="微软雅黑"/>
          <w:sz w:val="24"/>
          <w:szCs w:val="24"/>
          <w:highlight w:val="none"/>
        </w:rPr>
        <w:t>后余下的金额。</w:t>
      </w:r>
    </w:p>
    <w:p>
      <w:pPr>
        <w:widowControl w:val="0"/>
        <w:numPr>
          <w:ilvl w:val="0"/>
          <w:numId w:val="46"/>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月基础服务费结算方式：月基础服务费每月全额支付。</w:t>
      </w:r>
    </w:p>
    <w:p>
      <w:pPr>
        <w:widowControl w:val="0"/>
        <w:numPr>
          <w:ilvl w:val="0"/>
          <w:numId w:val="46"/>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月考核金结算方式：月考核金于每季度结算支付一次，结算支付金额=</w:t>
      </w:r>
      <w:r>
        <w:rPr>
          <w:rFonts w:hint="eastAsia" w:ascii="微软雅黑" w:hAnsi="微软雅黑" w:eastAsia="微软雅黑" w:cs="微软雅黑"/>
          <w:sz w:val="24"/>
          <w:szCs w:val="24"/>
          <w:highlight w:val="none"/>
          <w:u w:val="single"/>
        </w:rPr>
        <w:t>45万元</w:t>
      </w:r>
      <w:r>
        <w:rPr>
          <w:rFonts w:hint="eastAsia" w:ascii="微软雅黑" w:hAnsi="微软雅黑" w:eastAsia="微软雅黑" w:cs="微软雅黑"/>
          <w:sz w:val="24"/>
          <w:szCs w:val="24"/>
          <w:highlight w:val="none"/>
        </w:rPr>
        <w:t>-该季度月考核金扣罚汇总。</w:t>
      </w:r>
    </w:p>
    <w:p>
      <w:pPr>
        <w:widowControl w:val="0"/>
        <w:numPr>
          <w:ilvl w:val="0"/>
          <w:numId w:val="46"/>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考核方式及评分细则详见考核方法。</w:t>
      </w:r>
    </w:p>
    <w:p>
      <w:pPr>
        <w:widowControl w:val="0"/>
        <w:numPr>
          <w:ilvl w:val="0"/>
          <w:numId w:val="46"/>
        </w:numPr>
        <w:spacing w:line="360" w:lineRule="exact"/>
        <w:ind w:right="70"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付款前乙方须提供合规发票。</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考核方法：</w:t>
      </w:r>
    </w:p>
    <w:p>
      <w:pPr>
        <w:pStyle w:val="12"/>
        <w:spacing w:line="34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甲方按招标文件要求及细则展开考核，甲方有权根据实际情况对考核细则适当调整。</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分包与转包：</w:t>
      </w:r>
    </w:p>
    <w:p>
      <w:pPr>
        <w:widowControl w:val="0"/>
        <w:spacing w:line="360" w:lineRule="exact"/>
        <w:ind w:left="420" w:leftChars="200"/>
        <w:textAlignment w:val="auto"/>
        <w:rPr>
          <w:sz w:val="24"/>
          <w:szCs w:val="24"/>
          <w:highlight w:val="none"/>
        </w:rPr>
      </w:pPr>
      <w:r>
        <w:rPr>
          <w:rFonts w:hint="eastAsia" w:ascii="微软雅黑" w:hAnsi="微软雅黑" w:eastAsia="微软雅黑" w:cs="微软雅黑"/>
          <w:sz w:val="24"/>
          <w:szCs w:val="24"/>
          <w:highlight w:val="none"/>
        </w:rPr>
        <w:t>乙方不得将本项目分包、转包、内部经济承包及变相经济转承包。</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违约责任：</w:t>
      </w:r>
    </w:p>
    <w:p>
      <w:pPr>
        <w:widowControl w:val="0"/>
        <w:numPr>
          <w:ilvl w:val="0"/>
          <w:numId w:val="4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服务期内出现以下情况的，情节较轻的，甲方对乙方作出批评教育、警告及扣罚处理；情节严重的，甲方有权单方无责任终止合同、没收履约保证金，由乙方承担一切经济损失和法律责任，甲方保留向乙方索赔的权利，乙方三年内不得再参与城北街道类似项目：</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乙方违反甲方具体要求、《招标文件》规定及《投标文件》承诺的；</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乙方道路清扫车弄虚作假没有实际扫地的；</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项目负责人在温岭其它项目中担任项目负责人或未经甲方同意变更项目负责人的，扣罚10万元履约保证金；</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乙方无正当理由停止作业的；</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乙方在承包期内，出现环卫工人集体上访的，甲方可以直接认定当月考核平均分为不合格；</w:t>
      </w:r>
    </w:p>
    <w:p>
      <w:pPr>
        <w:widowControl w:val="0"/>
        <w:numPr>
          <w:ilvl w:val="0"/>
          <w:numId w:val="48"/>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经省、市级新闻媒体曝光或发生其他影响温岭城市形象的事件，经查属乙方责任的。</w:t>
      </w:r>
    </w:p>
    <w:p>
      <w:pPr>
        <w:widowControl w:val="0"/>
        <w:numPr>
          <w:ilvl w:val="0"/>
          <w:numId w:val="4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服务期出现以下情况的，甲方有权不续签或单方无责任终止合同。责任归属于乙方的，甲方有权没收履约保证金，由乙方承担一切经济损失和法律责任，甲方保留向乙方索赔的权利，乙方三年内不得再参与城北街道类似项目：</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乙方私自将本项目分包或转包的；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乙方对监管人员、考核成员有行贿或其他利益输送行为的；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全年出现连续两次或者累计三次被警告的（警告情形具体见考核办法）；</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全年平均考核得分率低于80%（不含）的；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违反安全管理、规范作业规定，造成重大伤亡或重大损失的；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经有关部门认定严重违反劳动法，造成恶劣影响的；或其它因违法经营受到刑事处罚或者责令停产停业、吊销许可证或者执照、较大数额罚款等行政处罚的；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发生其它弄虚作假及其他不正当行为的；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合同履约期间，乙方法人组织破产，或重组变更法人主体的；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本项目遇不可抗力影响或法律、法规、国家政策重大调整影响合同无法执行的；</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根据招标文件及合同约定，其它不续签或终止合同的规定，其它法律规定的终止情形；</w:t>
      </w:r>
    </w:p>
    <w:p>
      <w:pPr>
        <w:widowControl w:val="0"/>
        <w:numPr>
          <w:ilvl w:val="0"/>
          <w:numId w:val="49"/>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合同期限届满时自行终止。</w:t>
      </w:r>
    </w:p>
    <w:p>
      <w:pPr>
        <w:widowControl w:val="0"/>
        <w:numPr>
          <w:ilvl w:val="0"/>
          <w:numId w:val="4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乙方在合同签订之日起一个月内</w:t>
      </w:r>
      <w:r>
        <w:rPr>
          <w:rFonts w:hint="eastAsia" w:ascii="微软雅黑" w:hAnsi="微软雅黑" w:eastAsia="微软雅黑" w:cs="微软雅黑"/>
          <w:sz w:val="24"/>
          <w:szCs w:val="24"/>
          <w:highlight w:val="none"/>
          <w:lang w:val="en-US" w:eastAsia="zh-CN"/>
        </w:rPr>
        <w:t>未</w:t>
      </w:r>
      <w:r>
        <w:rPr>
          <w:rFonts w:hint="eastAsia" w:ascii="微软雅黑" w:hAnsi="微软雅黑" w:eastAsia="微软雅黑" w:cs="微软雅黑"/>
          <w:sz w:val="24"/>
          <w:szCs w:val="24"/>
          <w:highlight w:val="none"/>
        </w:rPr>
        <w:t>设立项目公司或在温岭市城北街道完税的，</w:t>
      </w:r>
      <w:r>
        <w:rPr>
          <w:rFonts w:hint="eastAsia" w:ascii="微软雅黑" w:hAnsi="微软雅黑" w:eastAsia="微软雅黑" w:cs="微软雅黑"/>
          <w:sz w:val="24"/>
          <w:szCs w:val="24"/>
          <w:highlight w:val="none"/>
          <w:lang w:val="en-US" w:eastAsia="zh-CN"/>
        </w:rPr>
        <w:t>甲方</w:t>
      </w:r>
      <w:r>
        <w:rPr>
          <w:rFonts w:hint="eastAsia" w:ascii="微软雅黑" w:hAnsi="微软雅黑" w:eastAsia="微软雅黑" w:cs="微软雅黑"/>
          <w:sz w:val="24"/>
          <w:szCs w:val="24"/>
          <w:highlight w:val="none"/>
        </w:rPr>
        <w:t>有权扣罚一年合同金额的5%作为违约金。</w:t>
      </w: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lang w:val="en-US" w:eastAsia="zh-CN"/>
        </w:rPr>
        <w:t>若乙方营业执照注册地址为温岭市外</w:t>
      </w:r>
      <w:r>
        <w:rPr>
          <w:rFonts w:hint="eastAsia" w:ascii="微软雅黑" w:hAnsi="微软雅黑" w:eastAsia="微软雅黑" w:cs="微软雅黑"/>
          <w:sz w:val="24"/>
          <w:szCs w:val="24"/>
          <w:highlight w:val="none"/>
          <w:lang w:eastAsia="zh-CN"/>
        </w:rPr>
        <w:t>）</w:t>
      </w:r>
      <w:r>
        <w:rPr>
          <w:rFonts w:hint="eastAsia" w:ascii="微软雅黑" w:hAnsi="微软雅黑" w:eastAsia="微软雅黑" w:cs="微软雅黑"/>
          <w:sz w:val="24"/>
          <w:szCs w:val="24"/>
          <w:highlight w:val="none"/>
        </w:rPr>
        <w:t>。</w:t>
      </w:r>
    </w:p>
    <w:p>
      <w:pPr>
        <w:widowControl w:val="0"/>
        <w:numPr>
          <w:ilvl w:val="0"/>
          <w:numId w:val="47"/>
        </w:numPr>
        <w:spacing w:line="400" w:lineRule="exact"/>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专用车辆与设施等作业器具要求在合同签订后，进场作业前一周全部到位，投入并持续运行；进场作业前一周车辆不到位的，合同终止。</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争议的解决：</w:t>
      </w:r>
    </w:p>
    <w:p>
      <w:pPr>
        <w:widowControl w:val="0"/>
        <w:spacing w:line="360" w:lineRule="exact"/>
        <w:ind w:firstLine="480" w:firstLineChars="200"/>
        <w:textAlignment w:val="auto"/>
        <w:rPr>
          <w:rFonts w:ascii="微软雅黑" w:hAnsi="微软雅黑" w:eastAsia="微软雅黑" w:cs="微软雅黑"/>
          <w:b/>
          <w:bCs/>
          <w:sz w:val="24"/>
          <w:szCs w:val="24"/>
          <w:highlight w:val="none"/>
        </w:rPr>
      </w:pPr>
      <w:r>
        <w:rPr>
          <w:rFonts w:hint="eastAsia" w:ascii="微软雅黑" w:hAnsi="微软雅黑" w:eastAsia="微软雅黑" w:cs="微软雅黑"/>
          <w:sz w:val="24"/>
          <w:szCs w:val="24"/>
          <w:highlight w:val="none"/>
        </w:rPr>
        <w:t>双方在执行合同发生争议时，双方协商解决，如协商未果，双方可向合同履行地温岭市人民法院提起诉讼。</w:t>
      </w:r>
    </w:p>
    <w:p>
      <w:pPr>
        <w:widowControl w:val="0"/>
        <w:numPr>
          <w:ilvl w:val="0"/>
          <w:numId w:val="42"/>
        </w:numPr>
        <w:spacing w:line="360" w:lineRule="exact"/>
        <w:textAlignment w:val="auto"/>
        <w:rPr>
          <w:rFonts w:ascii="微软雅黑" w:hAnsi="微软雅黑" w:eastAsia="微软雅黑" w:cs="微软雅黑"/>
          <w:b/>
          <w:sz w:val="24"/>
          <w:szCs w:val="24"/>
          <w:highlight w:val="none"/>
        </w:rPr>
      </w:pPr>
      <w:r>
        <w:rPr>
          <w:rFonts w:hint="eastAsia" w:ascii="微软雅黑" w:hAnsi="微软雅黑" w:eastAsia="微软雅黑" w:cs="微软雅黑"/>
          <w:b/>
          <w:sz w:val="24"/>
          <w:szCs w:val="24"/>
          <w:highlight w:val="none"/>
        </w:rPr>
        <w:t>合同的生效：</w:t>
      </w:r>
    </w:p>
    <w:p>
      <w:pPr>
        <w:widowControl w:val="0"/>
        <w:spacing w:line="36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1、本合同经甲方、乙方法定代表人或其委托人签字并加盖公章后生效。</w:t>
      </w:r>
    </w:p>
    <w:p>
      <w:pPr>
        <w:widowControl w:val="0"/>
        <w:spacing w:line="360" w:lineRule="exact"/>
        <w:ind w:firstLine="480" w:firstLineChars="200"/>
        <w:textAlignment w:val="auto"/>
        <w:rPr>
          <w:rFonts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2、本合同一式六份，甲方、乙方双方执二份，其余存档。</w:t>
      </w:r>
    </w:p>
    <w:p>
      <w:pPr>
        <w:widowControl w:val="0"/>
        <w:spacing w:line="360" w:lineRule="exact"/>
        <w:ind w:firstLine="480" w:firstLineChars="200"/>
        <w:textAlignment w:val="auto"/>
        <w:rPr>
          <w:rFonts w:ascii="微软雅黑" w:hAnsi="微软雅黑" w:eastAsia="微软雅黑" w:cs="微软雅黑"/>
          <w:kern w:val="0"/>
          <w:sz w:val="24"/>
          <w:szCs w:val="24"/>
          <w:highlight w:val="none"/>
        </w:rPr>
      </w:pPr>
      <w:r>
        <w:rPr>
          <w:rFonts w:hint="eastAsia" w:ascii="微软雅黑" w:hAnsi="微软雅黑" w:eastAsia="微软雅黑" w:cs="微软雅黑"/>
          <w:sz w:val="24"/>
          <w:szCs w:val="24"/>
          <w:highlight w:val="none"/>
        </w:rPr>
        <w:t>3、相关招标文件、投标文件与本合同具有同等法律效力。</w:t>
      </w:r>
    </w:p>
    <w:p>
      <w:pPr>
        <w:spacing w:line="480" w:lineRule="auto"/>
        <w:ind w:firstLine="4920" w:firstLineChars="2050"/>
        <w:jc w:val="center"/>
        <w:rPr>
          <w:rFonts w:ascii="微软雅黑" w:hAnsi="微软雅黑" w:eastAsia="微软雅黑" w:cs="微软雅黑"/>
          <w:sz w:val="24"/>
          <w:highlight w:val="no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2945"/>
        <w:gridCol w:w="1854"/>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91" w:type="dxa"/>
            <w:noWrap/>
            <w:vAlign w:val="top"/>
          </w:tcPr>
          <w:p>
            <w:pPr>
              <w:spacing w:line="480" w:lineRule="auto"/>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 xml:space="preserve">甲方（公章）: </w:t>
            </w:r>
          </w:p>
        </w:tc>
        <w:tc>
          <w:tcPr>
            <w:tcW w:w="2945" w:type="dxa"/>
            <w:noWrap/>
            <w:vAlign w:val="top"/>
          </w:tcPr>
          <w:p>
            <w:pPr>
              <w:spacing w:line="480" w:lineRule="auto"/>
              <w:jc w:val="center"/>
              <w:rPr>
                <w:rFonts w:ascii="微软雅黑" w:hAnsi="微软雅黑" w:eastAsia="微软雅黑" w:cs="微软雅黑"/>
                <w:szCs w:val="16"/>
                <w:highlight w:val="none"/>
              </w:rPr>
            </w:pPr>
          </w:p>
        </w:tc>
        <w:tc>
          <w:tcPr>
            <w:tcW w:w="1854" w:type="dxa"/>
            <w:noWrap/>
            <w:vAlign w:val="top"/>
          </w:tcPr>
          <w:p>
            <w:pPr>
              <w:spacing w:line="480" w:lineRule="auto"/>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 xml:space="preserve"> 乙方（公章）：</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291" w:type="dxa"/>
            <w:noWrap/>
            <w:vAlign w:val="top"/>
          </w:tcPr>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法定代表人签字</w:t>
            </w:r>
          </w:p>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（签字或盖章）：</w:t>
            </w:r>
          </w:p>
        </w:tc>
        <w:tc>
          <w:tcPr>
            <w:tcW w:w="2945" w:type="dxa"/>
            <w:noWrap/>
            <w:vAlign w:val="top"/>
          </w:tcPr>
          <w:p>
            <w:pPr>
              <w:spacing w:line="480" w:lineRule="auto"/>
              <w:jc w:val="center"/>
              <w:rPr>
                <w:rFonts w:ascii="微软雅黑" w:hAnsi="微软雅黑" w:eastAsia="微软雅黑" w:cs="微软雅黑"/>
                <w:szCs w:val="16"/>
                <w:highlight w:val="none"/>
              </w:rPr>
            </w:pPr>
          </w:p>
        </w:tc>
        <w:tc>
          <w:tcPr>
            <w:tcW w:w="1854" w:type="dxa"/>
            <w:noWrap/>
            <w:vAlign w:val="top"/>
          </w:tcPr>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法定代表人</w:t>
            </w:r>
          </w:p>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（签字或盖章）：</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291" w:type="dxa"/>
            <w:noWrap/>
            <w:vAlign w:val="top"/>
          </w:tcPr>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委托代理人</w:t>
            </w:r>
          </w:p>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 xml:space="preserve">（签字或盖章）： </w:t>
            </w:r>
          </w:p>
        </w:tc>
        <w:tc>
          <w:tcPr>
            <w:tcW w:w="2945" w:type="dxa"/>
            <w:noWrap/>
            <w:vAlign w:val="top"/>
          </w:tcPr>
          <w:p>
            <w:pPr>
              <w:spacing w:line="480" w:lineRule="auto"/>
              <w:jc w:val="center"/>
              <w:rPr>
                <w:rFonts w:ascii="微软雅黑" w:hAnsi="微软雅黑" w:eastAsia="微软雅黑" w:cs="微软雅黑"/>
                <w:szCs w:val="16"/>
                <w:highlight w:val="none"/>
              </w:rPr>
            </w:pPr>
          </w:p>
        </w:tc>
        <w:tc>
          <w:tcPr>
            <w:tcW w:w="1854" w:type="dxa"/>
            <w:noWrap/>
            <w:vAlign w:val="top"/>
          </w:tcPr>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委托代理人</w:t>
            </w:r>
          </w:p>
          <w:p>
            <w:pPr>
              <w:spacing w:line="320" w:lineRule="exact"/>
              <w:jc w:val="center"/>
              <w:rPr>
                <w:rFonts w:ascii="微软雅黑" w:hAnsi="微软雅黑" w:eastAsia="微软雅黑" w:cs="微软雅黑"/>
                <w:szCs w:val="16"/>
                <w:highlight w:val="none"/>
              </w:rPr>
            </w:pPr>
            <w:r>
              <w:rPr>
                <w:rFonts w:hint="eastAsia" w:ascii="微软雅黑" w:hAnsi="微软雅黑" w:eastAsia="微软雅黑" w:cs="微软雅黑"/>
                <w:szCs w:val="16"/>
                <w:highlight w:val="none"/>
              </w:rPr>
              <w:t xml:space="preserve">（签字或盖章）： </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91"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地址：</w:t>
            </w:r>
          </w:p>
        </w:tc>
        <w:tc>
          <w:tcPr>
            <w:tcW w:w="2945" w:type="dxa"/>
            <w:noWrap/>
            <w:vAlign w:val="top"/>
          </w:tcPr>
          <w:p>
            <w:pPr>
              <w:spacing w:line="480" w:lineRule="auto"/>
              <w:jc w:val="center"/>
              <w:rPr>
                <w:rFonts w:ascii="微软雅黑" w:hAnsi="微软雅黑" w:eastAsia="微软雅黑" w:cs="微软雅黑"/>
                <w:sz w:val="22"/>
                <w:szCs w:val="18"/>
                <w:highlight w:val="none"/>
              </w:rPr>
            </w:pPr>
          </w:p>
        </w:tc>
        <w:tc>
          <w:tcPr>
            <w:tcW w:w="1854"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地址：</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91"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 xml:space="preserve">电话： </w:t>
            </w:r>
          </w:p>
        </w:tc>
        <w:tc>
          <w:tcPr>
            <w:tcW w:w="2945" w:type="dxa"/>
            <w:noWrap/>
            <w:vAlign w:val="top"/>
          </w:tcPr>
          <w:p>
            <w:pPr>
              <w:spacing w:line="480" w:lineRule="auto"/>
              <w:jc w:val="center"/>
              <w:rPr>
                <w:rFonts w:ascii="微软雅黑" w:hAnsi="微软雅黑" w:eastAsia="微软雅黑" w:cs="微软雅黑"/>
                <w:sz w:val="22"/>
                <w:szCs w:val="18"/>
                <w:highlight w:val="none"/>
              </w:rPr>
            </w:pPr>
          </w:p>
        </w:tc>
        <w:tc>
          <w:tcPr>
            <w:tcW w:w="1854"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 xml:space="preserve">电话： </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291"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开户银行：</w:t>
            </w:r>
          </w:p>
        </w:tc>
        <w:tc>
          <w:tcPr>
            <w:tcW w:w="2945" w:type="dxa"/>
            <w:noWrap/>
            <w:vAlign w:val="top"/>
          </w:tcPr>
          <w:p>
            <w:pPr>
              <w:spacing w:line="480" w:lineRule="auto"/>
              <w:jc w:val="center"/>
              <w:rPr>
                <w:rFonts w:ascii="微软雅黑" w:hAnsi="微软雅黑" w:eastAsia="微软雅黑" w:cs="微软雅黑"/>
                <w:sz w:val="22"/>
                <w:szCs w:val="18"/>
                <w:highlight w:val="none"/>
              </w:rPr>
            </w:pPr>
          </w:p>
        </w:tc>
        <w:tc>
          <w:tcPr>
            <w:tcW w:w="1854"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开户银行：</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91"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 xml:space="preserve">   账号：</w:t>
            </w:r>
          </w:p>
        </w:tc>
        <w:tc>
          <w:tcPr>
            <w:tcW w:w="2945" w:type="dxa"/>
            <w:noWrap/>
            <w:vAlign w:val="top"/>
          </w:tcPr>
          <w:p>
            <w:pPr>
              <w:spacing w:line="480" w:lineRule="auto"/>
              <w:jc w:val="center"/>
              <w:rPr>
                <w:rFonts w:ascii="微软雅黑" w:hAnsi="微软雅黑" w:eastAsia="微软雅黑" w:cs="微软雅黑"/>
                <w:sz w:val="22"/>
                <w:szCs w:val="18"/>
                <w:highlight w:val="none"/>
              </w:rPr>
            </w:pPr>
          </w:p>
        </w:tc>
        <w:tc>
          <w:tcPr>
            <w:tcW w:w="1854" w:type="dxa"/>
            <w:noWrap/>
            <w:vAlign w:val="top"/>
          </w:tcPr>
          <w:p>
            <w:pPr>
              <w:spacing w:line="480" w:lineRule="auto"/>
              <w:jc w:val="center"/>
              <w:rPr>
                <w:rFonts w:ascii="微软雅黑" w:hAnsi="微软雅黑" w:eastAsia="微软雅黑" w:cs="微软雅黑"/>
                <w:sz w:val="22"/>
                <w:szCs w:val="18"/>
                <w:highlight w:val="none"/>
              </w:rPr>
            </w:pPr>
            <w:r>
              <w:rPr>
                <w:rFonts w:hint="eastAsia" w:ascii="微软雅黑" w:hAnsi="微软雅黑" w:eastAsia="微软雅黑" w:cs="微软雅黑"/>
                <w:sz w:val="22"/>
                <w:szCs w:val="18"/>
                <w:highlight w:val="none"/>
              </w:rPr>
              <w:t xml:space="preserve">   账号：</w:t>
            </w:r>
          </w:p>
        </w:tc>
        <w:tc>
          <w:tcPr>
            <w:tcW w:w="2848" w:type="dxa"/>
            <w:noWrap/>
            <w:vAlign w:val="top"/>
          </w:tcPr>
          <w:p>
            <w:pPr>
              <w:spacing w:line="480" w:lineRule="auto"/>
              <w:jc w:val="center"/>
              <w:rPr>
                <w:rFonts w:ascii="微软雅黑" w:hAnsi="微软雅黑" w:eastAsia="微软雅黑" w:cs="微软雅黑"/>
                <w:sz w:val="22"/>
                <w:szCs w:val="18"/>
                <w:highlight w:val="none"/>
              </w:rPr>
            </w:pPr>
          </w:p>
        </w:tc>
      </w:tr>
    </w:tbl>
    <w:p>
      <w:pPr>
        <w:spacing w:line="480" w:lineRule="auto"/>
        <w:ind w:firstLine="4920" w:firstLineChars="2050"/>
        <w:rPr>
          <w:rFonts w:ascii="微软雅黑" w:hAnsi="微软雅黑" w:eastAsia="微软雅黑" w:cs="微软雅黑"/>
          <w:sz w:val="24"/>
          <w:highlight w:val="none"/>
          <w:u w:val="single"/>
        </w:rPr>
      </w:pPr>
      <w:r>
        <w:rPr>
          <w:rFonts w:hint="eastAsia" w:ascii="微软雅黑" w:hAnsi="微软雅黑" w:eastAsia="微软雅黑" w:cs="微软雅黑"/>
          <w:sz w:val="24"/>
          <w:highlight w:val="none"/>
        </w:rPr>
        <w:t xml:space="preserve">签约地址： </w:t>
      </w:r>
    </w:p>
    <w:p>
      <w:pPr>
        <w:spacing w:line="480" w:lineRule="auto"/>
        <w:ind w:firstLine="4920" w:firstLineChars="2050"/>
        <w:rPr>
          <w:rFonts w:ascii="微软雅黑" w:hAnsi="微软雅黑" w:eastAsia="微软雅黑" w:cs="微软雅黑"/>
          <w:sz w:val="24"/>
          <w:highlight w:val="none"/>
        </w:rPr>
      </w:pPr>
      <w:r>
        <w:rPr>
          <w:rFonts w:hint="eastAsia" w:ascii="微软雅黑" w:hAnsi="微软雅黑" w:eastAsia="微软雅黑" w:cs="微软雅黑"/>
          <w:sz w:val="24"/>
          <w:highlight w:val="none"/>
        </w:rPr>
        <w:t>签约时间：      年   月   日</w:t>
      </w:r>
    </w:p>
    <w:p>
      <w:pPr>
        <w:jc w:val="center"/>
        <w:rPr>
          <w:rFonts w:hint="eastAsia" w:ascii="微软雅黑" w:hAnsi="微软雅黑" w:eastAsia="微软雅黑" w:cs="微软雅黑"/>
          <w:b/>
          <w:bCs/>
          <w:sz w:val="36"/>
          <w:szCs w:val="36"/>
          <w:highlight w:val="none"/>
        </w:rPr>
      </w:pPr>
      <w:r>
        <w:rPr>
          <w:rFonts w:hint="eastAsia" w:ascii="黑体" w:hAnsi="黑体" w:eastAsia="黑体"/>
          <w:sz w:val="24"/>
          <w:highlight w:val="none"/>
        </w:rPr>
        <w:br w:type="page"/>
      </w:r>
    </w:p>
    <w:p>
      <w:pPr>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sz w:val="36"/>
          <w:szCs w:val="36"/>
          <w:highlight w:val="none"/>
        </w:rPr>
        <w:t>第六章 投标文件格式附件</w:t>
      </w:r>
    </w:p>
    <w:p>
      <w:pPr>
        <w:keepNext w:val="0"/>
        <w:keepLines w:val="0"/>
        <w:pageBreakBefore w:val="0"/>
        <w:kinsoku/>
        <w:wordWrap/>
        <w:overflowPunct/>
        <w:topLinePunct w:val="0"/>
        <w:bidi w:val="0"/>
        <w:snapToGrid/>
        <w:spacing w:afterAutospacing="0"/>
        <w:textAlignment w:val="auto"/>
        <w:rPr>
          <w:rFonts w:hint="eastAsia" w:ascii="微软雅黑" w:hAnsi="微软雅黑" w:eastAsia="微软雅黑" w:cs="微软雅黑"/>
          <w:sz w:val="30"/>
          <w:szCs w:val="30"/>
          <w:highlight w:val="none"/>
        </w:rPr>
      </w:pPr>
      <w:r>
        <w:rPr>
          <w:rFonts w:hint="eastAsia" w:ascii="微软雅黑" w:hAnsi="微软雅黑" w:eastAsia="微软雅黑" w:cs="微软雅黑"/>
          <w:b/>
          <w:bCs/>
          <w:kern w:val="0"/>
          <w:sz w:val="28"/>
          <w:szCs w:val="28"/>
          <w:highlight w:val="none"/>
        </w:rPr>
        <w:t>附件1</w:t>
      </w:r>
      <w:r>
        <w:rPr>
          <w:rFonts w:hint="eastAsia" w:ascii="微软雅黑" w:hAnsi="微软雅黑" w:eastAsia="微软雅黑" w:cs="微软雅黑"/>
          <w:sz w:val="30"/>
          <w:szCs w:val="30"/>
          <w:highlight w:val="none"/>
        </w:rPr>
        <w:t xml:space="preserve"> </w:t>
      </w:r>
    </w:p>
    <w:p>
      <w:pPr>
        <w:keepNext w:val="0"/>
        <w:keepLines w:val="0"/>
        <w:pageBreakBefore w:val="0"/>
        <w:kinsoku/>
        <w:wordWrap/>
        <w:overflowPunct/>
        <w:topLinePunct w:val="0"/>
        <w:bidi w:val="0"/>
        <w:snapToGrid/>
        <w:spacing w:afterAutospacing="0"/>
        <w:jc w:val="center"/>
        <w:textAlignment w:val="auto"/>
        <w:rPr>
          <w:rFonts w:hint="eastAsia" w:ascii="微软雅黑" w:hAnsi="微软雅黑" w:eastAsia="微软雅黑" w:cs="微软雅黑"/>
          <w:spacing w:val="40"/>
          <w:sz w:val="52"/>
          <w:szCs w:val="52"/>
          <w:highlight w:val="none"/>
        </w:rPr>
      </w:pPr>
      <w:r>
        <w:rPr>
          <w:rFonts w:hint="eastAsia" w:ascii="微软雅黑" w:hAnsi="微软雅黑" w:eastAsia="微软雅黑" w:cs="微软雅黑"/>
          <w:spacing w:val="40"/>
          <w:sz w:val="52"/>
          <w:szCs w:val="52"/>
          <w:highlight w:val="none"/>
        </w:rPr>
        <w:t>项目名称</w:t>
      </w:r>
    </w:p>
    <w:p>
      <w:pPr>
        <w:keepNext w:val="0"/>
        <w:keepLines w:val="0"/>
        <w:pageBreakBefore w:val="0"/>
        <w:kinsoku/>
        <w:wordWrap/>
        <w:overflowPunct/>
        <w:topLinePunct w:val="0"/>
        <w:bidi w:val="0"/>
        <w:snapToGrid/>
        <w:spacing w:afterAutospacing="0" w:line="360" w:lineRule="auto"/>
        <w:ind w:right="-108"/>
        <w:jc w:val="center"/>
        <w:textAlignment w:val="auto"/>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项目编号：</w:t>
      </w:r>
    </w:p>
    <w:p>
      <w:pPr>
        <w:keepNext w:val="0"/>
        <w:keepLines w:val="0"/>
        <w:pageBreakBefore w:val="0"/>
        <w:kinsoku/>
        <w:wordWrap/>
        <w:overflowPunct/>
        <w:topLinePunct w:val="0"/>
        <w:autoSpaceDE w:val="0"/>
        <w:autoSpaceDN w:val="0"/>
        <w:bidi w:val="0"/>
        <w:adjustRightInd w:val="0"/>
        <w:snapToGrid/>
        <w:spacing w:afterAutospacing="0" w:line="360" w:lineRule="auto"/>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投</w:t>
      </w:r>
    </w:p>
    <w:p>
      <w:pPr>
        <w:keepNext w:val="0"/>
        <w:keepLines w:val="0"/>
        <w:pageBreakBefore w:val="0"/>
        <w:kinsoku/>
        <w:wordWrap/>
        <w:overflowPunct/>
        <w:topLinePunct w:val="0"/>
        <w:autoSpaceDE w:val="0"/>
        <w:autoSpaceDN w:val="0"/>
        <w:bidi w:val="0"/>
        <w:adjustRightInd w:val="0"/>
        <w:snapToGrid/>
        <w:spacing w:afterAutospacing="0" w:line="360" w:lineRule="auto"/>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标</w:t>
      </w:r>
    </w:p>
    <w:p>
      <w:pPr>
        <w:keepNext w:val="0"/>
        <w:keepLines w:val="0"/>
        <w:pageBreakBefore w:val="0"/>
        <w:kinsoku/>
        <w:wordWrap/>
        <w:overflowPunct/>
        <w:topLinePunct w:val="0"/>
        <w:autoSpaceDE w:val="0"/>
        <w:autoSpaceDN w:val="0"/>
        <w:bidi w:val="0"/>
        <w:adjustRightInd w:val="0"/>
        <w:snapToGrid/>
        <w:spacing w:afterAutospacing="0" w:line="360" w:lineRule="auto"/>
        <w:jc w:val="center"/>
        <w:textAlignment w:val="auto"/>
        <w:rPr>
          <w:rFonts w:hint="eastAsia" w:ascii="微软雅黑" w:hAnsi="微软雅黑" w:eastAsia="微软雅黑" w:cs="微软雅黑"/>
          <w:sz w:val="72"/>
          <w:szCs w:val="72"/>
          <w:highlight w:val="none"/>
        </w:rPr>
      </w:pPr>
      <w:r>
        <w:rPr>
          <w:rFonts w:hint="eastAsia" w:ascii="微软雅黑" w:hAnsi="微软雅黑" w:eastAsia="微软雅黑" w:cs="微软雅黑"/>
          <w:sz w:val="72"/>
          <w:szCs w:val="72"/>
          <w:highlight w:val="none"/>
          <w:lang w:val="zh-CN"/>
        </w:rPr>
        <w:t>文</w:t>
      </w:r>
    </w:p>
    <w:p>
      <w:pPr>
        <w:keepNext w:val="0"/>
        <w:keepLines w:val="0"/>
        <w:pageBreakBefore w:val="0"/>
        <w:kinsoku/>
        <w:wordWrap/>
        <w:overflowPunct/>
        <w:topLinePunct w:val="0"/>
        <w:bidi w:val="0"/>
        <w:snapToGrid/>
        <w:spacing w:afterAutospacing="0" w:line="360" w:lineRule="auto"/>
        <w:ind w:right="-108"/>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件</w:t>
      </w:r>
    </w:p>
    <w:p>
      <w:pPr>
        <w:keepNext w:val="0"/>
        <w:keepLines w:val="0"/>
        <w:pageBreakBefore w:val="0"/>
        <w:kinsoku/>
        <w:wordWrap/>
        <w:overflowPunct/>
        <w:topLinePunct w:val="0"/>
        <w:bidi w:val="0"/>
        <w:snapToGrid/>
        <w:spacing w:afterAutospacing="0" w:line="360" w:lineRule="auto"/>
        <w:ind w:right="-108"/>
        <w:jc w:val="center"/>
        <w:textAlignment w:val="auto"/>
        <w:rPr>
          <w:rFonts w:hint="eastAsia" w:ascii="微软雅黑" w:hAnsi="微软雅黑" w:eastAsia="微软雅黑" w:cs="微软雅黑"/>
          <w:b/>
          <w:bCs/>
          <w:spacing w:val="40"/>
          <w:sz w:val="28"/>
          <w:szCs w:val="28"/>
          <w:highlight w:val="none"/>
        </w:rPr>
      </w:pPr>
      <w:r>
        <w:rPr>
          <w:rFonts w:hint="eastAsia" w:ascii="微软雅黑" w:hAnsi="微软雅黑" w:eastAsia="微软雅黑" w:cs="微软雅黑"/>
          <w:sz w:val="28"/>
          <w:szCs w:val="28"/>
          <w:highlight w:val="none"/>
          <w:lang w:val="zh-CN"/>
        </w:rPr>
        <w:t>（</w:t>
      </w:r>
      <w:r>
        <w:rPr>
          <w:rFonts w:hint="eastAsia" w:ascii="微软雅黑" w:hAnsi="微软雅黑" w:eastAsia="微软雅黑" w:cs="微软雅黑"/>
          <w:b/>
          <w:bCs/>
          <w:spacing w:val="40"/>
          <w:sz w:val="28"/>
          <w:szCs w:val="28"/>
          <w:highlight w:val="none"/>
        </w:rPr>
        <w:t>资格证明文件）</w:t>
      </w:r>
    </w:p>
    <w:p>
      <w:pPr>
        <w:keepNext w:val="0"/>
        <w:keepLines w:val="0"/>
        <w:pageBreakBefore w:val="0"/>
        <w:kinsoku/>
        <w:wordWrap/>
        <w:overflowPunct/>
        <w:topLinePunct w:val="0"/>
        <w:bidi w:val="0"/>
        <w:snapToGrid/>
        <w:spacing w:afterAutospacing="0" w:line="360" w:lineRule="auto"/>
        <w:ind w:right="532" w:firstLine="720" w:firstLineChars="200"/>
        <w:textAlignment w:val="auto"/>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投标人名称（盖</w:t>
      </w:r>
      <w:r>
        <w:rPr>
          <w:rFonts w:hint="eastAsia" w:ascii="微软雅黑" w:hAnsi="微软雅黑" w:eastAsia="微软雅黑" w:cs="微软雅黑"/>
          <w:sz w:val="36"/>
          <w:szCs w:val="36"/>
          <w:highlight w:val="none"/>
          <w:lang w:val="en-US" w:eastAsia="zh-CN"/>
        </w:rPr>
        <w:t>公</w:t>
      </w:r>
      <w:r>
        <w:rPr>
          <w:rFonts w:hint="eastAsia" w:ascii="微软雅黑" w:hAnsi="微软雅黑" w:eastAsia="微软雅黑" w:cs="微软雅黑"/>
          <w:sz w:val="36"/>
          <w:szCs w:val="36"/>
          <w:highlight w:val="none"/>
        </w:rPr>
        <w:t>章）：</w:t>
      </w:r>
    </w:p>
    <w:p>
      <w:pPr>
        <w:spacing w:line="360" w:lineRule="auto"/>
        <w:ind w:right="532"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地    址：</w:t>
      </w:r>
    </w:p>
    <w:p>
      <w:pPr>
        <w:spacing w:line="360" w:lineRule="auto"/>
        <w:ind w:right="532"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时    间：</w:t>
      </w:r>
    </w:p>
    <w:p>
      <w:pPr>
        <w:snapToGrid w:val="0"/>
        <w:spacing w:before="50" w:after="50" w:line="360" w:lineRule="auto"/>
        <w:rPr>
          <w:rFonts w:hint="eastAsia" w:ascii="微软雅黑" w:hAnsi="微软雅黑" w:eastAsia="微软雅黑" w:cs="微软雅黑"/>
          <w:b/>
          <w:bCs/>
          <w:sz w:val="36"/>
          <w:szCs w:val="36"/>
          <w:highlight w:val="none"/>
        </w:rPr>
      </w:pPr>
    </w:p>
    <w:p>
      <w:pPr>
        <w:snapToGrid w:val="0"/>
        <w:spacing w:before="50" w:after="50" w:line="360" w:lineRule="auto"/>
        <w:jc w:val="center"/>
        <w:rPr>
          <w:rFonts w:hint="eastAsia" w:ascii="微软雅黑" w:hAnsi="微软雅黑" w:eastAsia="微软雅黑" w:cs="微软雅黑"/>
          <w:b/>
          <w:bCs/>
          <w:sz w:val="36"/>
          <w:szCs w:val="36"/>
          <w:highlight w:val="none"/>
        </w:rPr>
      </w:pPr>
      <w:r>
        <w:rPr>
          <w:rFonts w:hint="eastAsia" w:ascii="微软雅黑" w:hAnsi="微软雅黑" w:eastAsia="微软雅黑" w:cs="微软雅黑"/>
          <w:b/>
          <w:bCs/>
          <w:sz w:val="36"/>
          <w:szCs w:val="36"/>
          <w:highlight w:val="none"/>
        </w:rPr>
        <w:t>资格证明文件目录</w:t>
      </w:r>
    </w:p>
    <w:p>
      <w:pPr>
        <w:keepNext w:val="0"/>
        <w:keepLines w:val="0"/>
        <w:pageBreakBefore w:val="0"/>
        <w:widowControl w:val="0"/>
        <w:numPr>
          <w:ilvl w:val="0"/>
          <w:numId w:val="50"/>
        </w:numPr>
        <w:kinsoku/>
        <w:wordWrap/>
        <w:overflowPunct/>
        <w:topLinePunct w:val="0"/>
        <w:autoSpaceDE/>
        <w:autoSpaceDN/>
        <w:bidi w:val="0"/>
        <w:adjustRightInd/>
        <w:snapToGrid w:val="0"/>
        <w:spacing w:line="560" w:lineRule="exact"/>
        <w:ind w:left="0" w:leftChars="0" w:firstLine="548" w:firstLineChars="196"/>
        <w:textAlignment w:val="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投标声明书（附件2）</w:t>
      </w:r>
    </w:p>
    <w:p>
      <w:pPr>
        <w:keepNext w:val="0"/>
        <w:keepLines w:val="0"/>
        <w:pageBreakBefore w:val="0"/>
        <w:widowControl w:val="0"/>
        <w:numPr>
          <w:ilvl w:val="0"/>
          <w:numId w:val="50"/>
        </w:numPr>
        <w:kinsoku/>
        <w:wordWrap/>
        <w:overflowPunct/>
        <w:topLinePunct w:val="0"/>
        <w:autoSpaceDE/>
        <w:autoSpaceDN/>
        <w:bidi w:val="0"/>
        <w:adjustRightInd/>
        <w:snapToGrid w:val="0"/>
        <w:spacing w:line="560" w:lineRule="exact"/>
        <w:ind w:left="0" w:leftChars="0" w:firstLine="548" w:firstLineChars="196"/>
        <w:textAlignment w:val="auto"/>
        <w:rPr>
          <w:rFonts w:hint="eastAsia" w:ascii="微软雅黑" w:hAnsi="微软雅黑" w:eastAsia="微软雅黑" w:cs="微软雅黑"/>
          <w:kern w:val="0"/>
          <w:sz w:val="28"/>
          <w:szCs w:val="28"/>
          <w:highlight w:val="none"/>
        </w:rPr>
      </w:pPr>
      <w:r>
        <w:rPr>
          <w:rFonts w:hint="eastAsia" w:ascii="微软雅黑" w:hAnsi="微软雅黑" w:eastAsia="微软雅黑" w:cs="微软雅黑"/>
          <w:sz w:val="28"/>
          <w:szCs w:val="28"/>
          <w:highlight w:val="none"/>
        </w:rPr>
        <w:t>授权委托书（附件3）</w:t>
      </w:r>
      <w:r>
        <w:rPr>
          <w:rFonts w:hint="eastAsia" w:ascii="微软雅黑" w:hAnsi="微软雅黑" w:eastAsia="微软雅黑" w:cs="微软雅黑"/>
          <w:kern w:val="0"/>
          <w:sz w:val="24"/>
          <w:szCs w:val="24"/>
          <w:highlight w:val="none"/>
          <w:lang w:eastAsia="zh-CN"/>
        </w:rPr>
        <w:t>（附上法定代表人及代理人的身份证正反面复印件）</w:t>
      </w:r>
    </w:p>
    <w:p>
      <w:pPr>
        <w:keepNext w:val="0"/>
        <w:keepLines w:val="0"/>
        <w:pageBreakBefore w:val="0"/>
        <w:widowControl w:val="0"/>
        <w:numPr>
          <w:ilvl w:val="0"/>
          <w:numId w:val="50"/>
        </w:numPr>
        <w:kinsoku/>
        <w:wordWrap/>
        <w:overflowPunct/>
        <w:topLinePunct w:val="0"/>
        <w:autoSpaceDE/>
        <w:autoSpaceDN/>
        <w:bidi w:val="0"/>
        <w:adjustRightInd/>
        <w:snapToGrid w:val="0"/>
        <w:spacing w:line="560" w:lineRule="exact"/>
        <w:ind w:left="0" w:leftChars="0" w:firstLine="548" w:firstLineChars="196"/>
        <w:textAlignment w:val="auto"/>
        <w:rPr>
          <w:rFonts w:hint="eastAsia" w:ascii="微软雅黑" w:hAnsi="微软雅黑" w:eastAsia="微软雅黑" w:cs="微软雅黑"/>
          <w:kern w:val="0"/>
          <w:sz w:val="28"/>
          <w:szCs w:val="28"/>
          <w:highlight w:val="none"/>
        </w:rPr>
      </w:pPr>
      <w:r>
        <w:rPr>
          <w:rFonts w:hint="eastAsia" w:ascii="微软雅黑" w:hAnsi="微软雅黑" w:eastAsia="微软雅黑" w:cs="微软雅黑"/>
          <w:sz w:val="28"/>
          <w:szCs w:val="28"/>
          <w:highlight w:val="none"/>
        </w:rPr>
        <w:t>法人或者其他组织的营业执照等</w:t>
      </w:r>
      <w:r>
        <w:rPr>
          <w:rFonts w:hint="eastAsia" w:ascii="微软雅黑" w:hAnsi="微软雅黑" w:eastAsia="微软雅黑" w:cs="微软雅黑"/>
          <w:sz w:val="28"/>
          <w:szCs w:val="28"/>
          <w:highlight w:val="none"/>
          <w:lang w:val="en-US" w:eastAsia="zh-CN"/>
        </w:rPr>
        <w:t>复印件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560" w:firstLineChars="200"/>
        <w:textAlignment w:val="auto"/>
        <w:rPr>
          <w:rFonts w:hint="eastAsia" w:ascii="微软雅黑" w:hAnsi="微软雅黑" w:eastAsia="微软雅黑" w:cs="微软雅黑"/>
          <w:kern w:val="0"/>
          <w:sz w:val="28"/>
          <w:szCs w:val="28"/>
          <w:highlight w:val="none"/>
        </w:rPr>
      </w:pPr>
      <w:r>
        <w:rPr>
          <w:rFonts w:hint="eastAsia" w:ascii="微软雅黑" w:hAnsi="微软雅黑" w:eastAsia="微软雅黑" w:cs="微软雅黑"/>
          <w:kern w:val="0"/>
          <w:sz w:val="28"/>
          <w:szCs w:val="28"/>
          <w:highlight w:val="none"/>
        </w:rPr>
        <w:t>4、</w:t>
      </w:r>
      <w:r>
        <w:rPr>
          <w:rFonts w:hint="eastAsia" w:ascii="微软雅黑" w:hAnsi="微软雅黑" w:eastAsia="微软雅黑" w:cs="微软雅黑"/>
          <w:sz w:val="28"/>
          <w:szCs w:val="28"/>
          <w:highlight w:val="none"/>
        </w:rPr>
        <w:t>财务状况报告，依法缴纳税收和社会保障资金的相关材料</w:t>
      </w:r>
    </w:p>
    <w:p>
      <w:pPr>
        <w:snapToGrid w:val="0"/>
        <w:spacing w:line="560" w:lineRule="exact"/>
        <w:ind w:firstLine="560" w:firstLineChars="200"/>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5、具备履行合同所必需的设备和专业技术能力的证明材料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548" w:firstLineChars="196"/>
        <w:textAlignment w:val="auto"/>
        <w:rPr>
          <w:rFonts w:hint="default" w:ascii="微软雅黑" w:hAnsi="微软雅黑" w:eastAsia="微软雅黑" w:cs="微软雅黑"/>
          <w:kern w:val="0"/>
          <w:sz w:val="28"/>
          <w:szCs w:val="28"/>
          <w:highlight w:val="none"/>
          <w:lang w:val="en-US" w:eastAsia="zh-CN"/>
        </w:rPr>
      </w:pPr>
      <w:r>
        <w:rPr>
          <w:rFonts w:hint="eastAsia" w:ascii="微软雅黑" w:hAnsi="微软雅黑" w:eastAsia="微软雅黑" w:cs="微软雅黑"/>
          <w:sz w:val="28"/>
          <w:szCs w:val="28"/>
          <w:highlight w:val="none"/>
          <w:lang w:val="en-US" w:eastAsia="zh-CN"/>
        </w:rPr>
        <w:t>6</w:t>
      </w:r>
      <w:r>
        <w:rPr>
          <w:rFonts w:hint="eastAsia" w:ascii="微软雅黑" w:hAnsi="微软雅黑" w:eastAsia="微软雅黑" w:cs="微软雅黑"/>
          <w:sz w:val="28"/>
          <w:szCs w:val="28"/>
          <w:highlight w:val="none"/>
        </w:rPr>
        <w:t>、</w:t>
      </w:r>
      <w:r>
        <w:rPr>
          <w:rFonts w:hint="eastAsia" w:ascii="微软雅黑" w:hAnsi="微软雅黑" w:eastAsia="微软雅黑" w:cs="微软雅黑"/>
          <w:kern w:val="0"/>
          <w:sz w:val="28"/>
          <w:szCs w:val="28"/>
          <w:highlight w:val="none"/>
        </w:rPr>
        <w:t>本项目要求的特定资质证书</w:t>
      </w:r>
      <w:r>
        <w:rPr>
          <w:rFonts w:hint="eastAsia" w:ascii="微软雅黑" w:hAnsi="微软雅黑" w:eastAsia="微软雅黑" w:cs="微软雅黑"/>
          <w:kern w:val="0"/>
          <w:sz w:val="28"/>
          <w:szCs w:val="28"/>
          <w:highlight w:val="none"/>
          <w:lang w:val="en-US" w:eastAsia="zh-CN"/>
        </w:rPr>
        <w:t>以及其他投标人认为需要提供的资料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spacing w:line="360" w:lineRule="auto"/>
        <w:ind w:left="420"/>
        <w:rPr>
          <w:rFonts w:hint="eastAsia" w:ascii="微软雅黑" w:hAnsi="微软雅黑" w:eastAsia="微软雅黑" w:cs="微软雅黑"/>
          <w:b/>
          <w:bCs/>
          <w:sz w:val="28"/>
          <w:szCs w:val="28"/>
          <w:highlight w:val="none"/>
        </w:rPr>
      </w:pPr>
    </w:p>
    <w:p>
      <w:pPr>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br w:type="page"/>
      </w:r>
    </w:p>
    <w:p>
      <w:pPr>
        <w:widowControl/>
        <w:jc w:val="left"/>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t>附件2</w:t>
      </w:r>
    </w:p>
    <w:p>
      <w:pPr>
        <w:adjustRightInd w:val="0"/>
        <w:snapToGrid w:val="0"/>
        <w:spacing w:line="440" w:lineRule="exact"/>
        <w:ind w:firstLine="640" w:firstLineChars="200"/>
        <w:jc w:val="center"/>
        <w:rPr>
          <w:rFonts w:hint="eastAsia" w:ascii="微软雅黑" w:hAnsi="微软雅黑" w:eastAsia="微软雅黑" w:cs="微软雅黑"/>
          <w:b/>
          <w:bCs/>
          <w:kern w:val="0"/>
          <w:sz w:val="32"/>
          <w:szCs w:val="32"/>
          <w:highlight w:val="none"/>
          <w:lang w:val="zh-CN"/>
        </w:rPr>
      </w:pPr>
      <w:r>
        <w:rPr>
          <w:rFonts w:hint="eastAsia" w:ascii="微软雅黑" w:hAnsi="微软雅黑" w:eastAsia="微软雅黑" w:cs="微软雅黑"/>
          <w:b/>
          <w:bCs/>
          <w:kern w:val="0"/>
          <w:sz w:val="32"/>
          <w:szCs w:val="32"/>
          <w:highlight w:val="none"/>
          <w:lang w:val="zh-CN"/>
        </w:rPr>
        <w:t>投标声明书</w:t>
      </w:r>
    </w:p>
    <w:p>
      <w:pPr>
        <w:snapToGrid w:val="0"/>
        <w:spacing w:line="440" w:lineRule="exact"/>
        <w:ind w:firstLine="480" w:firstLineChars="200"/>
        <w:rPr>
          <w:rFonts w:hint="eastAsia" w:ascii="微软雅黑" w:hAnsi="微软雅黑" w:eastAsia="微软雅黑" w:cs="微软雅黑"/>
          <w:sz w:val="24"/>
          <w:szCs w:val="24"/>
          <w:highlight w:val="none"/>
          <w:u w:val="single"/>
          <w:lang w:val="en-US" w:eastAsia="zh-CN"/>
        </w:rPr>
      </w:pPr>
    </w:p>
    <w:p>
      <w:pPr>
        <w:snapToGrid w:val="0"/>
        <w:spacing w:line="44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sz w:val="24"/>
          <w:szCs w:val="24"/>
          <w:highlight w:val="none"/>
          <w:u w:val="single"/>
          <w:lang w:val="en-US" w:eastAsia="zh-CN"/>
        </w:rPr>
        <w:t>台州诚创招标代理有限公司</w:t>
      </w:r>
      <w:r>
        <w:rPr>
          <w:rFonts w:hint="eastAsia" w:ascii="微软雅黑" w:hAnsi="微软雅黑" w:eastAsia="微软雅黑" w:cs="微软雅黑"/>
          <w:kern w:val="0"/>
          <w:sz w:val="24"/>
          <w:szCs w:val="24"/>
          <w:highlight w:val="none"/>
        </w:rPr>
        <w:t>（采购代理机构名称）：</w:t>
      </w:r>
    </w:p>
    <w:p>
      <w:pPr>
        <w:snapToGrid w:val="0"/>
        <w:spacing w:line="44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（投标人名称）系中华人民共和国合法企业，（经营地址）。</w:t>
      </w:r>
    </w:p>
    <w:p>
      <w:pPr>
        <w:snapToGrid w:val="0"/>
        <w:spacing w:line="44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我（</w:t>
      </w:r>
      <w:r>
        <w:rPr>
          <w:rFonts w:hint="eastAsia" w:ascii="微软雅黑" w:hAnsi="微软雅黑" w:eastAsia="微软雅黑" w:cs="微软雅黑"/>
          <w:kern w:val="0"/>
          <w:sz w:val="24"/>
          <w:szCs w:val="24"/>
          <w:highlight w:val="none"/>
          <w:u w:val="single"/>
        </w:rPr>
        <w:t xml:space="preserve"> 姓名 </w:t>
      </w:r>
      <w:r>
        <w:rPr>
          <w:rFonts w:hint="eastAsia" w:ascii="微软雅黑" w:hAnsi="微软雅黑" w:eastAsia="微软雅黑" w:cs="微软雅黑"/>
          <w:kern w:val="0"/>
          <w:sz w:val="24"/>
          <w:szCs w:val="24"/>
          <w:highlight w:val="none"/>
        </w:rPr>
        <w:t>）系（</w:t>
      </w:r>
      <w:r>
        <w:rPr>
          <w:rFonts w:hint="eastAsia" w:ascii="微软雅黑" w:hAnsi="微软雅黑" w:eastAsia="微软雅黑" w:cs="微软雅黑"/>
          <w:kern w:val="0"/>
          <w:sz w:val="24"/>
          <w:szCs w:val="24"/>
          <w:highlight w:val="none"/>
          <w:u w:val="single"/>
        </w:rPr>
        <w:t xml:space="preserve"> 投标人名称 </w:t>
      </w:r>
      <w:r>
        <w:rPr>
          <w:rFonts w:hint="eastAsia" w:ascii="微软雅黑" w:hAnsi="微软雅黑" w:eastAsia="微软雅黑" w:cs="微软雅黑"/>
          <w:kern w:val="0"/>
          <w:sz w:val="24"/>
          <w:szCs w:val="24"/>
          <w:highlight w:val="none"/>
        </w:rPr>
        <w:t>）的法定代表人，我公司自愿参加贵方组织的（</w:t>
      </w:r>
      <w:r>
        <w:rPr>
          <w:rFonts w:hint="eastAsia" w:ascii="微软雅黑" w:hAnsi="微软雅黑" w:eastAsia="微软雅黑" w:cs="微软雅黑"/>
          <w:kern w:val="0"/>
          <w:sz w:val="24"/>
          <w:szCs w:val="24"/>
          <w:highlight w:val="none"/>
          <w:u w:val="single"/>
        </w:rPr>
        <w:t>招标项目名称</w:t>
      </w:r>
      <w:r>
        <w:rPr>
          <w:rFonts w:hint="eastAsia" w:ascii="微软雅黑" w:hAnsi="微软雅黑" w:eastAsia="微软雅黑" w:cs="微软雅黑"/>
          <w:kern w:val="0"/>
          <w:sz w:val="24"/>
          <w:szCs w:val="24"/>
          <w:highlight w:val="none"/>
        </w:rPr>
        <w:t>）（编号为）的投标，为此，我公司就本次投标有关事项郑重声明如下：</w:t>
      </w:r>
    </w:p>
    <w:p>
      <w:pPr>
        <w:snapToGrid w:val="0"/>
        <w:spacing w:line="440" w:lineRule="exact"/>
        <w:ind w:firstLine="480" w:firstLineChars="200"/>
        <w:rPr>
          <w:rFonts w:hint="eastAsia" w:ascii="微软雅黑" w:hAnsi="微软雅黑" w:eastAsia="微软雅黑" w:cs="微软雅黑"/>
          <w:b/>
          <w:bCs/>
          <w:kern w:val="0"/>
          <w:sz w:val="24"/>
          <w:szCs w:val="24"/>
          <w:highlight w:val="none"/>
        </w:rPr>
      </w:pPr>
      <w:r>
        <w:rPr>
          <w:rFonts w:hint="eastAsia" w:ascii="微软雅黑" w:hAnsi="微软雅黑" w:eastAsia="微软雅黑" w:cs="微软雅黑"/>
          <w:kern w:val="0"/>
          <w:sz w:val="24"/>
          <w:szCs w:val="24"/>
          <w:highlight w:val="none"/>
        </w:rPr>
        <w:t>1</w:t>
      </w:r>
      <w:r>
        <w:rPr>
          <w:rFonts w:hint="eastAsia" w:ascii="微软雅黑" w:hAnsi="微软雅黑" w:eastAsia="微软雅黑" w:cs="微软雅黑"/>
          <w:kern w:val="0"/>
          <w:sz w:val="24"/>
          <w:szCs w:val="24"/>
          <w:highlight w:val="none"/>
          <w:lang w:val="en-US" w:eastAsia="zh-CN"/>
        </w:rPr>
        <w:t>.</w:t>
      </w:r>
      <w:r>
        <w:rPr>
          <w:rFonts w:hint="eastAsia" w:ascii="微软雅黑" w:hAnsi="微软雅黑" w:eastAsia="微软雅黑" w:cs="微软雅黑"/>
          <w:sz w:val="24"/>
          <w:szCs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440" w:lineRule="exact"/>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2</w:t>
      </w:r>
      <w:r>
        <w:rPr>
          <w:rFonts w:hint="eastAsia" w:ascii="微软雅黑" w:hAnsi="微软雅黑" w:eastAsia="微软雅黑" w:cs="微软雅黑"/>
          <w:kern w:val="0"/>
          <w:sz w:val="24"/>
          <w:szCs w:val="24"/>
          <w:highlight w:val="none"/>
          <w:lang w:val="en-US" w:eastAsia="zh-CN"/>
        </w:rPr>
        <w:t>.</w:t>
      </w:r>
      <w:r>
        <w:rPr>
          <w:rFonts w:hint="eastAsia" w:ascii="微软雅黑" w:hAnsi="微软雅黑" w:eastAsia="微软雅黑" w:cs="微软雅黑"/>
          <w:kern w:val="0"/>
          <w:sz w:val="24"/>
          <w:szCs w:val="24"/>
          <w:highlight w:val="none"/>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4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highlight w:val="none"/>
        </w:rPr>
        <w:t>我</w:t>
      </w:r>
      <w:r>
        <w:rPr>
          <w:rFonts w:hint="eastAsia" w:ascii="微软雅黑" w:hAnsi="微软雅黑" w:eastAsia="微软雅黑" w:cs="微软雅黑"/>
          <w:kern w:val="0"/>
          <w:sz w:val="24"/>
          <w:szCs w:val="24"/>
          <w:highlight w:val="none"/>
          <w:lang w:val="zh-CN"/>
        </w:rPr>
        <w:t>公司</w:t>
      </w:r>
      <w:r>
        <w:rPr>
          <w:rFonts w:hint="eastAsia" w:ascii="微软雅黑" w:hAnsi="微软雅黑" w:eastAsia="微软雅黑" w:cs="微软雅黑"/>
          <w:sz w:val="24"/>
          <w:szCs w:val="24"/>
          <w:highlight w:val="none"/>
        </w:rPr>
        <w:t>不是采购人的附属机构；在获知本项目采购信息后，与采购人聘请的为此项目提供咨询服务的公司及其附属机构没有任何联系。</w:t>
      </w:r>
    </w:p>
    <w:p>
      <w:pPr>
        <w:snapToGrid w:val="0"/>
        <w:spacing w:line="440" w:lineRule="exact"/>
        <w:ind w:firstLine="480" w:firstLineChars="200"/>
        <w:rPr>
          <w:rFonts w:hint="eastAsia" w:ascii="微软雅黑" w:hAnsi="微软雅黑" w:eastAsia="微软雅黑" w:cs="微软雅黑"/>
          <w:kern w:val="0"/>
          <w:sz w:val="24"/>
          <w:szCs w:val="24"/>
          <w:highlight w:val="none"/>
          <w:lang w:val="af-ZA"/>
        </w:rPr>
      </w:pPr>
      <w:r>
        <w:rPr>
          <w:rFonts w:hint="eastAsia" w:ascii="微软雅黑" w:hAnsi="微软雅黑" w:eastAsia="微软雅黑" w:cs="微软雅黑"/>
          <w:sz w:val="24"/>
          <w:szCs w:val="24"/>
          <w:highlight w:val="none"/>
        </w:rPr>
        <w:t>4</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kern w:val="0"/>
          <w:sz w:val="24"/>
          <w:szCs w:val="24"/>
          <w:highlight w:val="none"/>
        </w:rPr>
        <w:t>我</w:t>
      </w:r>
      <w:r>
        <w:rPr>
          <w:rFonts w:hint="eastAsia" w:ascii="微软雅黑" w:hAnsi="微软雅黑" w:eastAsia="微软雅黑" w:cs="微软雅黑"/>
          <w:kern w:val="0"/>
          <w:sz w:val="24"/>
          <w:szCs w:val="24"/>
          <w:highlight w:val="none"/>
          <w:lang w:val="zh-CN"/>
        </w:rPr>
        <w:t>公司</w:t>
      </w:r>
      <w:r>
        <w:rPr>
          <w:rFonts w:hint="eastAsia" w:ascii="微软雅黑" w:hAnsi="微软雅黑" w:eastAsia="微软雅黑" w:cs="微软雅黑"/>
          <w:kern w:val="0"/>
          <w:sz w:val="24"/>
          <w:szCs w:val="24"/>
          <w:highlight w:val="none"/>
        </w:rPr>
        <w:t>保证，</w:t>
      </w:r>
      <w:r>
        <w:rPr>
          <w:rFonts w:hint="eastAsia" w:ascii="微软雅黑" w:hAnsi="微软雅黑" w:eastAsia="微软雅黑" w:cs="微软雅黑"/>
          <w:kern w:val="0"/>
          <w:sz w:val="24"/>
          <w:szCs w:val="24"/>
          <w:highlight w:val="none"/>
          <w:lang w:val="af-ZA"/>
        </w:rPr>
        <w:t>采购人在中华人民共和国境内使用</w:t>
      </w:r>
      <w:r>
        <w:rPr>
          <w:rFonts w:hint="eastAsia" w:ascii="微软雅黑" w:hAnsi="微软雅黑" w:eastAsia="微软雅黑" w:cs="微软雅黑"/>
          <w:kern w:val="0"/>
          <w:sz w:val="24"/>
          <w:szCs w:val="24"/>
          <w:highlight w:val="none"/>
        </w:rPr>
        <w:t>我</w:t>
      </w:r>
      <w:r>
        <w:rPr>
          <w:rFonts w:hint="eastAsia" w:ascii="微软雅黑" w:hAnsi="微软雅黑" w:eastAsia="微软雅黑" w:cs="微软雅黑"/>
          <w:kern w:val="0"/>
          <w:sz w:val="24"/>
          <w:szCs w:val="24"/>
          <w:highlight w:val="none"/>
          <w:lang w:val="zh-CN"/>
        </w:rPr>
        <w:t>公司</w:t>
      </w:r>
      <w:r>
        <w:rPr>
          <w:rFonts w:hint="eastAsia" w:ascii="微软雅黑" w:hAnsi="微软雅黑" w:eastAsia="微软雅黑" w:cs="微软雅黑"/>
          <w:kern w:val="0"/>
          <w:sz w:val="24"/>
          <w:szCs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4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kern w:val="0"/>
          <w:sz w:val="24"/>
          <w:szCs w:val="24"/>
          <w:highlight w:val="none"/>
          <w:lang w:val="af-ZA"/>
        </w:rPr>
        <w:t>5</w:t>
      </w:r>
      <w:r>
        <w:rPr>
          <w:rFonts w:hint="eastAsia" w:ascii="微软雅黑" w:hAnsi="微软雅黑" w:eastAsia="微软雅黑" w:cs="微软雅黑"/>
          <w:kern w:val="0"/>
          <w:sz w:val="24"/>
          <w:szCs w:val="24"/>
          <w:highlight w:val="none"/>
          <w:lang w:val="en-US" w:eastAsia="zh-CN"/>
        </w:rPr>
        <w:t>.</w:t>
      </w:r>
      <w:r>
        <w:rPr>
          <w:rFonts w:hint="eastAsia" w:ascii="微软雅黑" w:hAnsi="微软雅黑" w:eastAsia="微软雅黑" w:cs="微软雅黑"/>
          <w:kern w:val="0"/>
          <w:sz w:val="24"/>
          <w:szCs w:val="24"/>
          <w:highlight w:val="none"/>
          <w:lang w:val="af-ZA"/>
        </w:rPr>
        <w:t>我</w:t>
      </w:r>
      <w:r>
        <w:rPr>
          <w:rFonts w:hint="eastAsia" w:ascii="微软雅黑" w:hAnsi="微软雅黑" w:eastAsia="微软雅黑" w:cs="微软雅黑"/>
          <w:kern w:val="0"/>
          <w:sz w:val="24"/>
          <w:szCs w:val="24"/>
          <w:highlight w:val="none"/>
          <w:lang w:val="zh-CN"/>
        </w:rPr>
        <w:t>公司</w:t>
      </w:r>
      <w:r>
        <w:rPr>
          <w:rFonts w:hint="eastAsia" w:ascii="微软雅黑" w:hAnsi="微软雅黑" w:eastAsia="微软雅黑" w:cs="微软雅黑"/>
          <w:kern w:val="0"/>
          <w:sz w:val="24"/>
          <w:szCs w:val="24"/>
          <w:highlight w:val="none"/>
          <w:lang w:val="af-ZA"/>
        </w:rPr>
        <w:t>严格履行政府采购合同，不降低合同约定的产品质量和服务，不擅自变更、中止、终止合同，或拒绝履行合同义务；</w:t>
      </w:r>
    </w:p>
    <w:p>
      <w:pPr>
        <w:snapToGrid w:val="0"/>
        <w:spacing w:line="44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6</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highlight w:val="none"/>
        </w:rPr>
        <w:t>以上事项如有虚假或隐瞒，我</w:t>
      </w:r>
      <w:r>
        <w:rPr>
          <w:rFonts w:hint="eastAsia" w:ascii="微软雅黑" w:hAnsi="微软雅黑" w:eastAsia="微软雅黑" w:cs="微软雅黑"/>
          <w:kern w:val="0"/>
          <w:sz w:val="24"/>
          <w:szCs w:val="24"/>
          <w:highlight w:val="none"/>
          <w:lang w:val="zh-CN"/>
        </w:rPr>
        <w:t>公司</w:t>
      </w:r>
      <w:r>
        <w:rPr>
          <w:rFonts w:hint="eastAsia" w:ascii="微软雅黑" w:hAnsi="微软雅黑" w:eastAsia="微软雅黑" w:cs="微软雅黑"/>
          <w:sz w:val="24"/>
          <w:szCs w:val="24"/>
          <w:highlight w:val="none"/>
        </w:rPr>
        <w:t>愿意承担一切后果，并不再寻求任何旨在减轻或免除法律责任的辩解。</w:t>
      </w:r>
    </w:p>
    <w:p>
      <w:pPr>
        <w:adjustRightInd w:val="0"/>
        <w:snapToGrid w:val="0"/>
        <w:spacing w:line="440" w:lineRule="exact"/>
        <w:ind w:firstLine="480" w:firstLineChars="200"/>
        <w:rPr>
          <w:rFonts w:hint="eastAsia" w:ascii="微软雅黑" w:hAnsi="微软雅黑" w:eastAsia="微软雅黑" w:cs="微软雅黑"/>
          <w:kern w:val="0"/>
          <w:sz w:val="24"/>
          <w:szCs w:val="24"/>
          <w:highlight w:val="none"/>
        </w:rPr>
      </w:pPr>
    </w:p>
    <w:p>
      <w:pPr>
        <w:adjustRightInd w:val="0"/>
        <w:snapToGrid w:val="0"/>
        <w:spacing w:line="440" w:lineRule="exact"/>
        <w:ind w:firstLine="480" w:firstLineChars="200"/>
        <w:rPr>
          <w:rFonts w:hint="eastAsia" w:ascii="微软雅黑" w:hAnsi="微软雅黑" w:eastAsia="微软雅黑" w:cs="微软雅黑"/>
          <w:kern w:val="0"/>
          <w:sz w:val="24"/>
          <w:szCs w:val="24"/>
          <w:highlight w:val="none"/>
        </w:rPr>
      </w:pPr>
    </w:p>
    <w:p>
      <w:pPr>
        <w:adjustRightInd w:val="0"/>
        <w:snapToGrid w:val="0"/>
        <w:spacing w:line="440" w:lineRule="exact"/>
        <w:ind w:firstLine="480" w:firstLineChars="200"/>
        <w:rPr>
          <w:rFonts w:hint="eastAsia" w:ascii="微软雅黑" w:hAnsi="微软雅黑" w:eastAsia="微软雅黑" w:cs="微软雅黑"/>
          <w:kern w:val="0"/>
          <w:sz w:val="24"/>
          <w:szCs w:val="24"/>
          <w:highlight w:val="none"/>
          <w:lang w:val="zh-CN"/>
        </w:rPr>
      </w:pPr>
      <w:r>
        <w:rPr>
          <w:rFonts w:hint="eastAsia" w:ascii="微软雅黑" w:hAnsi="微软雅黑" w:eastAsia="微软雅黑" w:cs="微软雅黑"/>
          <w:kern w:val="0"/>
          <w:sz w:val="24"/>
          <w:szCs w:val="24"/>
          <w:highlight w:val="none"/>
          <w:lang w:val="zh-CN"/>
        </w:rPr>
        <w:t xml:space="preserve">                                        投标人名称(</w:t>
      </w:r>
      <w:r>
        <w:rPr>
          <w:rFonts w:hint="eastAsia" w:ascii="微软雅黑" w:hAnsi="微软雅黑" w:eastAsia="微软雅黑" w:cs="微软雅黑"/>
          <w:kern w:val="0"/>
          <w:sz w:val="24"/>
          <w:szCs w:val="24"/>
          <w:highlight w:val="none"/>
          <w:lang w:val="en-US" w:eastAsia="zh-CN"/>
        </w:rPr>
        <w:t>盖</w:t>
      </w:r>
      <w:r>
        <w:rPr>
          <w:rFonts w:hint="eastAsia" w:ascii="微软雅黑" w:hAnsi="微软雅黑" w:eastAsia="微软雅黑" w:cs="微软雅黑"/>
          <w:kern w:val="0"/>
          <w:sz w:val="24"/>
          <w:szCs w:val="24"/>
          <w:highlight w:val="none"/>
          <w:lang w:val="zh-CN"/>
        </w:rPr>
        <w:t>公章)：</w:t>
      </w:r>
    </w:p>
    <w:p>
      <w:pPr>
        <w:adjustRightInd w:val="0"/>
        <w:snapToGrid w:val="0"/>
        <w:spacing w:line="440" w:lineRule="exact"/>
        <w:ind w:firstLine="480" w:firstLineChars="200"/>
        <w:rPr>
          <w:rFonts w:hint="eastAsia" w:ascii="微软雅黑" w:hAnsi="微软雅黑" w:eastAsia="微软雅黑" w:cs="微软雅黑"/>
          <w:kern w:val="0"/>
          <w:sz w:val="24"/>
          <w:szCs w:val="24"/>
          <w:highlight w:val="none"/>
          <w:lang w:val="zh-CN"/>
        </w:rPr>
      </w:pPr>
      <w:r>
        <w:rPr>
          <w:rFonts w:hint="eastAsia" w:ascii="微软雅黑" w:hAnsi="微软雅黑" w:eastAsia="微软雅黑" w:cs="微软雅黑"/>
          <w:kern w:val="0"/>
          <w:sz w:val="24"/>
          <w:szCs w:val="24"/>
          <w:highlight w:val="none"/>
          <w:lang w:val="zh-CN"/>
        </w:rPr>
        <w:t xml:space="preserve">                                   法定代表人或授权委托人(签字)：</w:t>
      </w:r>
    </w:p>
    <w:p>
      <w:pPr>
        <w:adjustRightInd w:val="0"/>
        <w:snapToGrid w:val="0"/>
        <w:spacing w:line="440" w:lineRule="exact"/>
        <w:ind w:firstLine="480" w:firstLineChars="200"/>
        <w:jc w:val="center"/>
        <w:rPr>
          <w:rFonts w:hint="eastAsia" w:ascii="微软雅黑" w:hAnsi="微软雅黑" w:eastAsia="微软雅黑" w:cs="微软雅黑"/>
          <w:kern w:val="0"/>
          <w:sz w:val="24"/>
          <w:szCs w:val="24"/>
          <w:highlight w:val="none"/>
          <w:lang w:val="zh-CN" w:eastAsia="zh-CN"/>
        </w:rPr>
      </w:pPr>
      <w:r>
        <w:rPr>
          <w:rFonts w:hint="eastAsia" w:ascii="微软雅黑" w:hAnsi="微软雅黑" w:eastAsia="微软雅黑" w:cs="微软雅黑"/>
          <w:kern w:val="0"/>
          <w:sz w:val="24"/>
          <w:szCs w:val="24"/>
          <w:highlight w:val="none"/>
          <w:lang w:val="zh-CN"/>
        </w:rPr>
        <w:t xml:space="preserve">                                  日期：</w:t>
      </w:r>
      <w:r>
        <w:rPr>
          <w:rFonts w:hint="eastAsia" w:ascii="微软雅黑" w:hAnsi="微软雅黑" w:eastAsia="微软雅黑" w:cs="微软雅黑"/>
          <w:sz w:val="24"/>
          <w:szCs w:val="24"/>
          <w:highlight w:val="none"/>
          <w:lang w:val="en-US" w:eastAsia="zh-CN"/>
        </w:rPr>
        <w:t xml:space="preserve"> </w:t>
      </w:r>
    </w:p>
    <w:p>
      <w:pPr>
        <w:adjustRightInd w:val="0"/>
        <w:snapToGrid w:val="0"/>
        <w:spacing w:line="360" w:lineRule="auto"/>
        <w:ind w:right="480"/>
        <w:rPr>
          <w:rFonts w:hint="eastAsia" w:ascii="微软雅黑" w:hAnsi="微软雅黑" w:eastAsia="微软雅黑" w:cs="微软雅黑"/>
          <w:b/>
          <w:bCs/>
          <w:sz w:val="30"/>
          <w:szCs w:val="30"/>
          <w:highlight w:val="none"/>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8"/>
          <w:szCs w:val="28"/>
          <w:highlight w:val="none"/>
        </w:rPr>
        <w:t>附件3</w:t>
      </w:r>
    </w:p>
    <w:p>
      <w:pPr>
        <w:spacing w:line="360" w:lineRule="auto"/>
        <w:ind w:firstLine="640" w:firstLineChars="200"/>
        <w:jc w:val="center"/>
        <w:rPr>
          <w:rFonts w:hint="eastAsia" w:ascii="微软雅黑" w:hAnsi="微软雅黑" w:eastAsia="微软雅黑" w:cs="微软雅黑"/>
          <w:b/>
          <w:bCs/>
          <w:kern w:val="0"/>
          <w:sz w:val="32"/>
          <w:szCs w:val="32"/>
          <w:highlight w:val="none"/>
          <w:lang w:val="zh-CN"/>
        </w:rPr>
      </w:pPr>
      <w:r>
        <w:rPr>
          <w:rFonts w:hint="eastAsia" w:ascii="微软雅黑" w:hAnsi="微软雅黑" w:eastAsia="微软雅黑" w:cs="微软雅黑"/>
          <w:b/>
          <w:bCs/>
          <w:kern w:val="0"/>
          <w:sz w:val="32"/>
          <w:szCs w:val="32"/>
          <w:highlight w:val="none"/>
          <w:lang w:val="zh-CN"/>
        </w:rPr>
        <w:t>授权委托书</w:t>
      </w:r>
    </w:p>
    <w:p>
      <w:pPr>
        <w:spacing w:line="360" w:lineRule="auto"/>
        <w:ind w:firstLine="420" w:firstLineChars="200"/>
        <w:rPr>
          <w:rFonts w:hint="eastAsia" w:ascii="微软雅黑" w:hAnsi="微软雅黑" w:eastAsia="微软雅黑" w:cs="微软雅黑"/>
          <w:highlight w:val="non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w:t>
      </w:r>
      <w:r>
        <w:rPr>
          <w:rFonts w:hint="eastAsia" w:ascii="微软雅黑" w:hAnsi="微软雅黑" w:eastAsia="微软雅黑" w:cs="微软雅黑"/>
          <w:sz w:val="24"/>
          <w:szCs w:val="24"/>
          <w:highlight w:val="none"/>
          <w:u w:val="single"/>
          <w:lang w:val="en-US" w:eastAsia="zh-CN"/>
        </w:rPr>
        <w:t xml:space="preserve">            </w:t>
      </w:r>
      <w:r>
        <w:rPr>
          <w:rFonts w:hint="eastAsia" w:ascii="微软雅黑" w:hAnsi="微软雅黑" w:eastAsia="微软雅黑" w:cs="微软雅黑"/>
          <w:sz w:val="24"/>
          <w:szCs w:val="24"/>
          <w:highlight w:val="none"/>
          <w:u w:val="single"/>
          <w:lang w:eastAsia="zh-CN"/>
        </w:rPr>
        <w:t>（</w:t>
      </w:r>
      <w:r>
        <w:rPr>
          <w:rFonts w:hint="eastAsia" w:ascii="微软雅黑" w:hAnsi="微软雅黑" w:eastAsia="微软雅黑" w:cs="微软雅黑"/>
          <w:sz w:val="24"/>
          <w:szCs w:val="24"/>
          <w:highlight w:val="none"/>
          <w:u w:val="single"/>
          <w:lang w:val="en-US" w:eastAsia="zh-CN"/>
        </w:rPr>
        <w:t>填写采购人单位名称</w:t>
      </w:r>
      <w:r>
        <w:rPr>
          <w:rFonts w:hint="eastAsia" w:ascii="微软雅黑" w:hAnsi="微软雅黑" w:eastAsia="微软雅黑" w:cs="微软雅黑"/>
          <w:sz w:val="24"/>
          <w:szCs w:val="24"/>
          <w:highlight w:val="none"/>
          <w:u w:val="single"/>
          <w:lang w:eastAsia="zh-CN"/>
        </w:rPr>
        <w:t>）</w:t>
      </w:r>
      <w:r>
        <w:rPr>
          <w:rFonts w:hint="eastAsia" w:ascii="微软雅黑" w:hAnsi="微软雅黑" w:eastAsia="微软雅黑" w:cs="微软雅黑"/>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我单位全权委托</w:t>
      </w:r>
      <w:r>
        <w:rPr>
          <w:rFonts w:hint="eastAsia" w:ascii="微软雅黑" w:hAnsi="微软雅黑" w:eastAsia="微软雅黑" w:cs="微软雅黑"/>
          <w:kern w:val="0"/>
          <w:sz w:val="24"/>
          <w:szCs w:val="24"/>
          <w:highlight w:val="none"/>
          <w:u w:val="single"/>
        </w:rPr>
        <w:t xml:space="preserve">       </w:t>
      </w:r>
      <w:r>
        <w:rPr>
          <w:rFonts w:hint="eastAsia" w:ascii="微软雅黑" w:hAnsi="微软雅黑" w:eastAsia="微软雅黑" w:cs="微软雅黑"/>
          <w:kern w:val="0"/>
          <w:sz w:val="24"/>
          <w:szCs w:val="24"/>
          <w:highlight w:val="none"/>
        </w:rPr>
        <w:t>（身份证号</w:t>
      </w:r>
      <w:r>
        <w:rPr>
          <w:rFonts w:hint="eastAsia" w:ascii="微软雅黑" w:hAnsi="微软雅黑" w:eastAsia="微软雅黑" w:cs="微软雅黑"/>
          <w:kern w:val="0"/>
          <w:sz w:val="24"/>
          <w:szCs w:val="24"/>
          <w:highlight w:val="none"/>
          <w:u w:val="single"/>
        </w:rPr>
        <w:t xml:space="preserve">：              </w:t>
      </w:r>
      <w:r>
        <w:rPr>
          <w:rFonts w:hint="eastAsia" w:ascii="微软雅黑" w:hAnsi="微软雅黑" w:eastAsia="微软雅黑" w:cs="微软雅黑"/>
          <w:kern w:val="0"/>
          <w:sz w:val="24"/>
          <w:szCs w:val="24"/>
          <w:highlight w:val="none"/>
        </w:rPr>
        <w:t>）作为我单位合法代理人，参加                   （填写政府采购项目名称及编号）投标活动，并办理上述项目所涉的投标文件签署、合同签订及项目实施等与之相关的投标全程各事项。该代理人的上述行为，均代表本单位，与本单位的行为具有同等法律效力,本单位将承担该代理人行为的全部法律后果和法律责任。代理人无权转换委托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特此委托</w:t>
      </w:r>
    </w:p>
    <w:p>
      <w:pPr>
        <w:widowControl/>
        <w:shd w:val="clear" w:color="auto" w:fill="FFFFFF"/>
        <w:spacing w:line="360" w:lineRule="auto"/>
        <w:ind w:firstLine="480" w:firstLineChars="200"/>
        <w:rPr>
          <w:rFonts w:hint="eastAsia" w:ascii="微软雅黑" w:hAnsi="微软雅黑" w:eastAsia="微软雅黑" w:cs="微软雅黑"/>
          <w:kern w:val="0"/>
          <w:sz w:val="24"/>
          <w:szCs w:val="24"/>
          <w:highlight w:val="none"/>
        </w:rPr>
      </w:pPr>
    </w:p>
    <w:p>
      <w:pPr>
        <w:widowControl/>
        <w:shd w:val="clear" w:color="auto" w:fill="FFFFFF"/>
        <w:spacing w:line="360" w:lineRule="auto"/>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代理人姓名（签字）：　　　　　日期：　　年　　月　　日</w:t>
      </w:r>
    </w:p>
    <w:p>
      <w:pPr>
        <w:widowControl/>
        <w:shd w:val="clear" w:color="auto" w:fill="FFFFFF"/>
        <w:spacing w:line="360" w:lineRule="auto"/>
        <w:ind w:firstLine="480" w:firstLineChars="200"/>
        <w:rPr>
          <w:rFonts w:hint="eastAsia" w:ascii="微软雅黑" w:hAnsi="微软雅黑" w:eastAsia="微软雅黑" w:cs="微软雅黑"/>
          <w:kern w:val="0"/>
          <w:sz w:val="24"/>
          <w:szCs w:val="24"/>
          <w:highlight w:val="none"/>
        </w:rPr>
      </w:pPr>
    </w:p>
    <w:p>
      <w:pPr>
        <w:widowControl/>
        <w:shd w:val="clear" w:color="auto" w:fill="FFFFFF"/>
        <w:spacing w:line="360" w:lineRule="auto"/>
        <w:ind w:firstLine="480" w:firstLineChars="200"/>
        <w:rPr>
          <w:rFonts w:hint="eastAsia" w:ascii="微软雅黑" w:hAnsi="微软雅黑" w:eastAsia="微软雅黑" w:cs="微软雅黑"/>
          <w:kern w:val="0"/>
          <w:sz w:val="24"/>
          <w:szCs w:val="24"/>
          <w:highlight w:val="none"/>
        </w:rPr>
      </w:pPr>
    </w:p>
    <w:p>
      <w:pPr>
        <w:widowControl/>
        <w:shd w:val="clear" w:color="auto" w:fill="FFFFFF"/>
        <w:spacing w:line="360" w:lineRule="auto"/>
        <w:ind w:firstLine="480" w:firstLineChars="200"/>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法定代表人（签字）：　　　　　日期：　　年　　月　　日</w:t>
      </w:r>
    </w:p>
    <w:p>
      <w:pPr>
        <w:widowControl/>
        <w:shd w:val="clear" w:color="auto" w:fill="FFFFFF"/>
        <w:spacing w:line="360" w:lineRule="auto"/>
        <w:ind w:firstLine="480" w:firstLineChars="200"/>
        <w:jc w:val="right"/>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（委托单位加盖公章）</w:t>
      </w:r>
    </w:p>
    <w:p>
      <w:pPr>
        <w:spacing w:line="360" w:lineRule="auto"/>
        <w:ind w:firstLine="480" w:firstLineChars="200"/>
        <w:jc w:val="left"/>
        <w:rPr>
          <w:rFonts w:hint="eastAsia" w:ascii="微软雅黑" w:hAnsi="微软雅黑" w:eastAsia="微软雅黑" w:cs="微软雅黑"/>
          <w:kern w:val="0"/>
          <w:sz w:val="24"/>
          <w:szCs w:val="24"/>
          <w:highlight w:val="none"/>
        </w:rPr>
      </w:pPr>
    </w:p>
    <w:p>
      <w:pPr>
        <w:spacing w:line="360" w:lineRule="auto"/>
        <w:ind w:firstLine="480" w:firstLineChars="200"/>
        <w:jc w:val="left"/>
        <w:rPr>
          <w:rFonts w:hint="eastAsia" w:ascii="微软雅黑" w:hAnsi="微软雅黑" w:eastAsia="微软雅黑" w:cs="微软雅黑"/>
          <w:kern w:val="0"/>
          <w:sz w:val="24"/>
          <w:szCs w:val="24"/>
          <w:highlight w:val="none"/>
        </w:rPr>
      </w:pPr>
    </w:p>
    <w:p>
      <w:pPr>
        <w:spacing w:line="360" w:lineRule="auto"/>
        <w:ind w:firstLine="480" w:firstLineChars="200"/>
        <w:jc w:val="left"/>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附：1、代理人身份证</w:t>
      </w:r>
      <w:r>
        <w:rPr>
          <w:rFonts w:hint="eastAsia" w:ascii="微软雅黑" w:hAnsi="微软雅黑" w:eastAsia="微软雅黑" w:cs="微软雅黑"/>
          <w:kern w:val="0"/>
          <w:sz w:val="24"/>
          <w:szCs w:val="24"/>
          <w:highlight w:val="none"/>
          <w:lang w:val="en-US" w:eastAsia="zh-CN"/>
        </w:rPr>
        <w:t>正反面</w:t>
      </w:r>
      <w:r>
        <w:rPr>
          <w:rFonts w:hint="eastAsia" w:ascii="微软雅黑" w:hAnsi="微软雅黑" w:eastAsia="微软雅黑" w:cs="微软雅黑"/>
          <w:kern w:val="0"/>
          <w:sz w:val="24"/>
          <w:szCs w:val="24"/>
          <w:highlight w:val="none"/>
        </w:rPr>
        <w:t>复印件（本人签名、日期，单位加盖公章）</w:t>
      </w:r>
    </w:p>
    <w:p>
      <w:pPr>
        <w:spacing w:line="360" w:lineRule="auto"/>
        <w:ind w:firstLine="480" w:firstLineChars="200"/>
        <w:jc w:val="left"/>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2、法定代表人身份证</w:t>
      </w:r>
      <w:r>
        <w:rPr>
          <w:rFonts w:hint="eastAsia" w:ascii="微软雅黑" w:hAnsi="微软雅黑" w:eastAsia="微软雅黑" w:cs="微软雅黑"/>
          <w:kern w:val="0"/>
          <w:sz w:val="24"/>
          <w:szCs w:val="24"/>
          <w:highlight w:val="none"/>
          <w:lang w:val="en-US" w:eastAsia="zh-CN"/>
        </w:rPr>
        <w:t>正反面</w:t>
      </w:r>
      <w:r>
        <w:rPr>
          <w:rFonts w:hint="eastAsia" w:ascii="微软雅黑" w:hAnsi="微软雅黑" w:eastAsia="微软雅黑" w:cs="微软雅黑"/>
          <w:kern w:val="0"/>
          <w:sz w:val="24"/>
          <w:szCs w:val="24"/>
          <w:highlight w:val="none"/>
        </w:rPr>
        <w:t>复印件（本人签名、日期，单位加盖公章）</w:t>
      </w:r>
    </w:p>
    <w:p>
      <w:pPr>
        <w:pStyle w:val="19"/>
        <w:spacing w:before="0" w:beforeAutospacing="0" w:after="0" w:afterAutospacing="0" w:line="360" w:lineRule="auto"/>
        <w:rPr>
          <w:rFonts w:hint="eastAsia" w:ascii="微软雅黑" w:hAnsi="微软雅黑" w:eastAsia="微软雅黑" w:cs="微软雅黑"/>
          <w:b/>
          <w:sz w:val="21"/>
          <w:szCs w:val="21"/>
          <w:highlight w:val="none"/>
          <w:lang w:val="en-US" w:eastAsia="zh-CN"/>
        </w:rPr>
      </w:pPr>
      <w:r>
        <w:rPr>
          <w:rFonts w:hint="eastAsia" w:ascii="微软雅黑" w:hAnsi="微软雅黑" w:eastAsia="微软雅黑" w:cs="微软雅黑"/>
          <w:b/>
          <w:bCs/>
          <w:sz w:val="28"/>
          <w:szCs w:val="28"/>
          <w:highlight w:val="none"/>
        </w:rPr>
        <w:br w:type="page"/>
      </w:r>
    </w:p>
    <w:p>
      <w:pPr>
        <w:widowControl/>
        <w:jc w:val="left"/>
        <w:rPr>
          <w:rFonts w:hint="eastAsia" w:ascii="微软雅黑" w:hAnsi="微软雅黑" w:eastAsia="微软雅黑" w:cs="微软雅黑"/>
          <w:b/>
          <w:bCs/>
          <w:color w:val="auto"/>
          <w:sz w:val="28"/>
          <w:szCs w:val="28"/>
          <w:highlight w:val="none"/>
          <w:lang w:eastAsia="zh-CN"/>
        </w:rPr>
      </w:pP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4</w:t>
      </w:r>
    </w:p>
    <w:p>
      <w:pPr>
        <w:widowControl/>
        <w:jc w:val="left"/>
        <w:rPr>
          <w:rFonts w:hint="eastAsia" w:ascii="微软雅黑" w:hAnsi="微软雅黑" w:eastAsia="微软雅黑" w:cs="微软雅黑"/>
          <w:b/>
          <w:bCs/>
          <w:color w:val="auto"/>
          <w:sz w:val="28"/>
          <w:szCs w:val="28"/>
          <w:highlight w:val="none"/>
        </w:rPr>
      </w:pPr>
    </w:p>
    <w:p>
      <w:pPr>
        <w:spacing w:line="360" w:lineRule="auto"/>
        <w:ind w:right="-110" w:firstLine="960" w:firstLineChars="400"/>
        <w:jc w:val="both"/>
        <w:rPr>
          <w:rFonts w:hint="eastAsia" w:ascii="微软雅黑" w:hAnsi="微软雅黑" w:eastAsia="微软雅黑" w:cs="微软雅黑"/>
          <w:spacing w:val="40"/>
          <w:sz w:val="52"/>
          <w:szCs w:val="52"/>
          <w:highlight w:val="none"/>
        </w:rPr>
      </w:pP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pacing w:val="40"/>
          <w:sz w:val="52"/>
          <w:szCs w:val="52"/>
          <w:highlight w:val="none"/>
        </w:rPr>
        <w:t>项目名称</w:t>
      </w:r>
    </w:p>
    <w:p>
      <w:pPr>
        <w:spacing w:beforeLines="100" w:line="360" w:lineRule="auto"/>
        <w:ind w:right="-108"/>
        <w:jc w:val="center"/>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项目编号：</w:t>
      </w:r>
    </w:p>
    <w:p>
      <w:pPr>
        <w:keepNext w:val="0"/>
        <w:keepLines w:val="0"/>
        <w:pageBreakBefore w:val="0"/>
        <w:widowControl w:val="0"/>
        <w:kinsoku/>
        <w:wordWrap/>
        <w:overflowPunct/>
        <w:topLinePunct w:val="0"/>
        <w:autoSpaceDE w:val="0"/>
        <w:autoSpaceDN w:val="0"/>
        <w:bidi w:val="0"/>
        <w:adjustRightInd w:val="0"/>
        <w:snapToGrid/>
        <w:spacing w:afterAutospacing="0" w:line="240" w:lineRule="auto"/>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投</w:t>
      </w:r>
    </w:p>
    <w:p>
      <w:pPr>
        <w:keepNext w:val="0"/>
        <w:keepLines w:val="0"/>
        <w:pageBreakBefore w:val="0"/>
        <w:widowControl w:val="0"/>
        <w:kinsoku/>
        <w:wordWrap/>
        <w:overflowPunct/>
        <w:topLinePunct w:val="0"/>
        <w:autoSpaceDE w:val="0"/>
        <w:autoSpaceDN w:val="0"/>
        <w:bidi w:val="0"/>
        <w:adjustRightInd w:val="0"/>
        <w:snapToGrid/>
        <w:spacing w:afterAutospacing="0" w:line="240" w:lineRule="auto"/>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标</w:t>
      </w:r>
    </w:p>
    <w:p>
      <w:pPr>
        <w:keepNext w:val="0"/>
        <w:keepLines w:val="0"/>
        <w:pageBreakBefore w:val="0"/>
        <w:widowControl w:val="0"/>
        <w:kinsoku/>
        <w:wordWrap/>
        <w:overflowPunct/>
        <w:topLinePunct w:val="0"/>
        <w:autoSpaceDE w:val="0"/>
        <w:autoSpaceDN w:val="0"/>
        <w:bidi w:val="0"/>
        <w:adjustRightInd w:val="0"/>
        <w:snapToGrid/>
        <w:spacing w:afterAutospacing="0" w:line="240" w:lineRule="auto"/>
        <w:jc w:val="center"/>
        <w:textAlignment w:val="auto"/>
        <w:rPr>
          <w:rFonts w:hint="eastAsia" w:ascii="微软雅黑" w:hAnsi="微软雅黑" w:eastAsia="微软雅黑" w:cs="微软雅黑"/>
          <w:sz w:val="72"/>
          <w:szCs w:val="72"/>
          <w:highlight w:val="none"/>
        </w:rPr>
      </w:pPr>
      <w:r>
        <w:rPr>
          <w:rFonts w:hint="eastAsia" w:ascii="微软雅黑" w:hAnsi="微软雅黑" w:eastAsia="微软雅黑" w:cs="微软雅黑"/>
          <w:sz w:val="72"/>
          <w:szCs w:val="72"/>
          <w:highlight w:val="none"/>
          <w:lang w:val="zh-CN"/>
        </w:rPr>
        <w:t>文</w:t>
      </w:r>
    </w:p>
    <w:p>
      <w:pPr>
        <w:keepNext w:val="0"/>
        <w:keepLines w:val="0"/>
        <w:pageBreakBefore w:val="0"/>
        <w:widowControl w:val="0"/>
        <w:kinsoku/>
        <w:wordWrap/>
        <w:overflowPunct/>
        <w:topLinePunct w:val="0"/>
        <w:bidi w:val="0"/>
        <w:snapToGrid/>
        <w:spacing w:afterAutospacing="0" w:line="240" w:lineRule="auto"/>
        <w:ind w:right="-108"/>
        <w:jc w:val="center"/>
        <w:textAlignment w:val="auto"/>
        <w:rPr>
          <w:rFonts w:hint="eastAsia" w:ascii="微软雅黑" w:hAnsi="微软雅黑" w:eastAsia="微软雅黑" w:cs="微软雅黑"/>
          <w:sz w:val="72"/>
          <w:szCs w:val="72"/>
          <w:highlight w:val="none"/>
          <w:lang w:val="zh-CN"/>
        </w:rPr>
      </w:pPr>
      <w:r>
        <w:rPr>
          <w:rFonts w:hint="eastAsia" w:ascii="微软雅黑" w:hAnsi="微软雅黑" w:eastAsia="微软雅黑" w:cs="微软雅黑"/>
          <w:sz w:val="72"/>
          <w:szCs w:val="72"/>
          <w:highlight w:val="none"/>
          <w:lang w:val="zh-CN"/>
        </w:rPr>
        <w:t>件</w:t>
      </w:r>
    </w:p>
    <w:p>
      <w:pPr>
        <w:spacing w:after="100" w:afterAutospacing="1" w:line="360" w:lineRule="auto"/>
        <w:ind w:right="-108"/>
        <w:jc w:val="center"/>
        <w:rPr>
          <w:rFonts w:hint="eastAsia" w:ascii="微软雅黑" w:hAnsi="微软雅黑" w:eastAsia="微软雅黑" w:cs="微软雅黑"/>
          <w:b/>
          <w:bCs/>
          <w:spacing w:val="40"/>
          <w:sz w:val="28"/>
          <w:szCs w:val="28"/>
          <w:highlight w:val="none"/>
        </w:rPr>
      </w:pPr>
      <w:r>
        <w:rPr>
          <w:rFonts w:hint="eastAsia" w:ascii="微软雅黑" w:hAnsi="微软雅黑" w:eastAsia="微软雅黑" w:cs="微软雅黑"/>
          <w:sz w:val="28"/>
          <w:szCs w:val="28"/>
          <w:highlight w:val="none"/>
          <w:lang w:val="zh-CN"/>
        </w:rPr>
        <w:t>（</w:t>
      </w:r>
      <w:r>
        <w:rPr>
          <w:rFonts w:hint="eastAsia" w:ascii="微软雅黑" w:hAnsi="微软雅黑" w:eastAsia="微软雅黑" w:cs="微软雅黑"/>
          <w:sz w:val="24"/>
          <w:szCs w:val="24"/>
          <w:highlight w:val="none"/>
          <w:lang w:val="zh-CN"/>
        </w:rPr>
        <w:t>商务技术文件</w:t>
      </w:r>
      <w:r>
        <w:rPr>
          <w:rFonts w:hint="eastAsia" w:ascii="微软雅黑" w:hAnsi="微软雅黑" w:eastAsia="微软雅黑" w:cs="微软雅黑"/>
          <w:b/>
          <w:bCs/>
          <w:spacing w:val="40"/>
          <w:sz w:val="28"/>
          <w:szCs w:val="28"/>
          <w:highlight w:val="none"/>
        </w:rPr>
        <w:t>）</w:t>
      </w:r>
    </w:p>
    <w:p>
      <w:pPr>
        <w:spacing w:line="240" w:lineRule="auto"/>
        <w:ind w:right="532"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投标人名称（盖</w:t>
      </w:r>
      <w:r>
        <w:rPr>
          <w:rFonts w:hint="eastAsia" w:ascii="微软雅黑" w:hAnsi="微软雅黑" w:eastAsia="微软雅黑" w:cs="微软雅黑"/>
          <w:sz w:val="36"/>
          <w:szCs w:val="36"/>
          <w:highlight w:val="none"/>
          <w:lang w:val="en-US" w:eastAsia="zh-CN"/>
        </w:rPr>
        <w:t>公</w:t>
      </w:r>
      <w:r>
        <w:rPr>
          <w:rFonts w:hint="eastAsia" w:ascii="微软雅黑" w:hAnsi="微软雅黑" w:eastAsia="微软雅黑" w:cs="微软雅黑"/>
          <w:sz w:val="36"/>
          <w:szCs w:val="36"/>
          <w:highlight w:val="none"/>
        </w:rPr>
        <w:t>章）：</w:t>
      </w:r>
    </w:p>
    <w:p>
      <w:pPr>
        <w:spacing w:line="240" w:lineRule="auto"/>
        <w:ind w:right="532"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地    址：</w:t>
      </w:r>
    </w:p>
    <w:p>
      <w:pPr>
        <w:spacing w:line="240" w:lineRule="auto"/>
        <w:ind w:right="532" w:firstLine="720" w:firstLineChars="200"/>
        <w:jc w:val="both"/>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时    间：</w:t>
      </w:r>
    </w:p>
    <w:p>
      <w:pPr>
        <w:spacing w:line="240" w:lineRule="auto"/>
        <w:ind w:right="532"/>
        <w:jc w:val="center"/>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32"/>
          <w:szCs w:val="32"/>
          <w:highlight w:val="none"/>
          <w:lang w:val="zh-CN"/>
        </w:rPr>
        <w:t>商务技术文件</w:t>
      </w:r>
      <w:r>
        <w:rPr>
          <w:rFonts w:hint="eastAsia" w:ascii="微软雅黑" w:hAnsi="微软雅黑" w:eastAsia="微软雅黑" w:cs="微软雅黑"/>
          <w:b/>
          <w:bCs/>
          <w:sz w:val="32"/>
          <w:szCs w:val="32"/>
          <w:highlight w:val="none"/>
        </w:rPr>
        <w:t>目录</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微软雅黑" w:hAnsi="微软雅黑" w:eastAsia="微软雅黑" w:cs="微软雅黑"/>
          <w:kern w:val="0"/>
          <w:sz w:val="28"/>
          <w:szCs w:val="28"/>
          <w:highlight w:val="none"/>
        </w:rPr>
      </w:pPr>
      <w:r>
        <w:rPr>
          <w:rFonts w:hint="eastAsia" w:ascii="微软雅黑" w:hAnsi="微软雅黑" w:eastAsia="微软雅黑" w:cs="微软雅黑"/>
          <w:kern w:val="0"/>
          <w:sz w:val="28"/>
          <w:szCs w:val="28"/>
          <w:highlight w:val="none"/>
        </w:rPr>
        <w:t>（</w:t>
      </w:r>
      <w:r>
        <w:rPr>
          <w:rFonts w:hint="eastAsia" w:ascii="微软雅黑" w:hAnsi="微软雅黑" w:eastAsia="微软雅黑" w:cs="微软雅黑"/>
          <w:kern w:val="0"/>
          <w:sz w:val="28"/>
          <w:szCs w:val="28"/>
          <w:highlight w:val="none"/>
          <w:lang w:val="en-US" w:eastAsia="zh-CN"/>
        </w:rPr>
        <w:t>投标人根据投标文件内容自行编制</w:t>
      </w:r>
      <w:r>
        <w:rPr>
          <w:rFonts w:hint="eastAsia" w:ascii="微软雅黑" w:hAnsi="微软雅黑" w:eastAsia="微软雅黑" w:cs="微软雅黑"/>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color w:val="000000"/>
          <w:kern w:val="0"/>
          <w:sz w:val="34"/>
          <w:szCs w:val="20"/>
          <w:highlight w:val="none"/>
          <w:lang w:val="en-US" w:eastAsia="zh-CN" w:bidi="ar"/>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4"/>
          <w:szCs w:val="24"/>
          <w:highlight w:val="none"/>
        </w:rPr>
        <w:t>附件5</w:t>
      </w:r>
      <w:r>
        <w:rPr>
          <w:rFonts w:hint="eastAsia" w:ascii="微软雅黑" w:hAnsi="微软雅黑" w:eastAsia="微软雅黑" w:cs="微软雅黑"/>
          <w:color w:val="000000"/>
          <w:kern w:val="0"/>
          <w:sz w:val="34"/>
          <w:szCs w:val="20"/>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b/>
          <w:color w:val="000000"/>
          <w:sz w:val="32"/>
          <w:szCs w:val="32"/>
          <w:highlight w:val="none"/>
          <w:lang w:bidi="ar"/>
        </w:rPr>
      </w:pPr>
      <w:r>
        <w:rPr>
          <w:rFonts w:hint="eastAsia" w:ascii="微软雅黑" w:hAnsi="微软雅黑" w:eastAsia="微软雅黑" w:cs="微软雅黑"/>
          <w:b/>
          <w:color w:val="000000"/>
          <w:sz w:val="32"/>
          <w:szCs w:val="32"/>
          <w:highlight w:val="none"/>
          <w:lang w:bidi="ar"/>
        </w:rPr>
        <w:t>供应商自评表</w:t>
      </w:r>
    </w:p>
    <w:p>
      <w:pPr>
        <w:pStyle w:val="10"/>
        <w:rPr>
          <w:rFonts w:hint="eastAsia"/>
          <w:highlight w:val="none"/>
        </w:rPr>
      </w:pPr>
    </w:p>
    <w:tbl>
      <w:tblPr>
        <w:tblStyle w:val="23"/>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915"/>
        <w:gridCol w:w="744"/>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jc w:val="center"/>
        </w:trPr>
        <w:tc>
          <w:tcPr>
            <w:tcW w:w="76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微软雅黑" w:hAnsi="微软雅黑" w:eastAsia="微软雅黑" w:cs="微软雅黑"/>
                <w:b/>
                <w:color w:val="000000"/>
                <w:kern w:val="2"/>
                <w:sz w:val="21"/>
                <w:szCs w:val="21"/>
                <w:highlight w:val="none"/>
                <w:lang w:val="en-US" w:eastAsia="zh-CN" w:bidi="ar"/>
              </w:rPr>
            </w:pPr>
            <w:r>
              <w:rPr>
                <w:rFonts w:hint="eastAsia" w:ascii="微软雅黑" w:hAnsi="微软雅黑" w:eastAsia="微软雅黑" w:cs="微软雅黑"/>
                <w:b/>
                <w:color w:val="000000"/>
                <w:kern w:val="2"/>
                <w:sz w:val="21"/>
                <w:szCs w:val="21"/>
                <w:highlight w:val="none"/>
                <w:lang w:val="en-US" w:eastAsia="zh-CN" w:bidi="ar"/>
              </w:rPr>
              <w:t>序号</w:t>
            </w:r>
          </w:p>
        </w:tc>
        <w:tc>
          <w:tcPr>
            <w:tcW w:w="7915"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b/>
                <w:color w:val="000000"/>
                <w:sz w:val="21"/>
                <w:szCs w:val="21"/>
                <w:highlight w:val="none"/>
                <w:lang w:bidi="ar"/>
              </w:rPr>
            </w:pPr>
            <w:r>
              <w:rPr>
                <w:rFonts w:hint="eastAsia" w:ascii="微软雅黑" w:hAnsi="微软雅黑" w:eastAsia="微软雅黑" w:cs="微软雅黑"/>
                <w:b/>
                <w:color w:val="000000"/>
                <w:sz w:val="21"/>
                <w:szCs w:val="21"/>
                <w:highlight w:val="none"/>
                <w:lang w:bidi="ar"/>
              </w:rPr>
              <w:t>评分内容</w:t>
            </w:r>
          </w:p>
        </w:tc>
        <w:tc>
          <w:tcPr>
            <w:tcW w:w="744"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b/>
                <w:color w:val="000000"/>
                <w:sz w:val="21"/>
                <w:szCs w:val="21"/>
                <w:highlight w:val="none"/>
                <w:lang w:bidi="ar"/>
              </w:rPr>
            </w:pPr>
            <w:r>
              <w:rPr>
                <w:rFonts w:hint="eastAsia" w:ascii="微软雅黑" w:hAnsi="微软雅黑" w:eastAsia="微软雅黑" w:cs="微软雅黑"/>
                <w:b/>
                <w:color w:val="000000"/>
                <w:sz w:val="21"/>
                <w:szCs w:val="21"/>
                <w:highlight w:val="none"/>
                <w:lang w:bidi="ar"/>
              </w:rPr>
              <w:t>自评分值</w:t>
            </w:r>
          </w:p>
        </w:tc>
        <w:tc>
          <w:tcPr>
            <w:tcW w:w="7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w:hAnsi="微软雅黑" w:eastAsia="微软雅黑" w:cs="微软雅黑"/>
                <w:b/>
                <w:color w:val="000000"/>
                <w:sz w:val="21"/>
                <w:szCs w:val="21"/>
                <w:highlight w:val="none"/>
                <w:lang w:bidi="ar"/>
              </w:rPr>
            </w:pPr>
            <w:r>
              <w:rPr>
                <w:rFonts w:hint="eastAsia" w:ascii="微软雅黑" w:hAnsi="微软雅黑" w:eastAsia="微软雅黑" w:cs="微软雅黑"/>
                <w:b/>
                <w:color w:val="000000"/>
                <w:sz w:val="21"/>
                <w:szCs w:val="21"/>
                <w:highlight w:val="none"/>
                <w:lang w:bidi="ar"/>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63" w:type="dxa"/>
            <w:noWrap w:val="0"/>
            <w:vAlign w:val="center"/>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r>
              <w:rPr>
                <w:rFonts w:hint="eastAsia" w:ascii="微软雅黑" w:hAnsi="微软雅黑" w:eastAsia="微软雅黑" w:cs="微软雅黑"/>
                <w:b/>
                <w:color w:val="000000"/>
                <w:sz w:val="21"/>
                <w:szCs w:val="21"/>
                <w:highlight w:val="none"/>
                <w:lang w:bidi="ar"/>
              </w:rPr>
              <w:t>1</w:t>
            </w:r>
          </w:p>
        </w:tc>
        <w:tc>
          <w:tcPr>
            <w:tcW w:w="7915" w:type="dxa"/>
            <w:noWrap w:val="0"/>
            <w:vAlign w:val="center"/>
          </w:tcPr>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投标人具有信息安全服务资质认证，软件安全开发达到</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级及以上服务资质的得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kern w:val="2"/>
                <w:sz w:val="22"/>
                <w:szCs w:val="22"/>
                <w:highlight w:val="none"/>
                <w:lang w:val="en-US" w:eastAsia="zh-CN" w:bidi="ar-SA"/>
              </w:rPr>
            </w:pPr>
            <w:r>
              <w:rPr>
                <w:rFonts w:hint="eastAsia" w:ascii="微软雅黑" w:hAnsi="微软雅黑" w:eastAsia="微软雅黑" w:cs="微软雅黑"/>
                <w:b w:val="0"/>
                <w:bCs w:val="0"/>
                <w:color w:val="auto"/>
                <w:sz w:val="22"/>
                <w:szCs w:val="22"/>
                <w:highlight w:val="none"/>
              </w:rPr>
              <w:t>（投标人需在商务技术文件中提供认证证书扫描件及该证书在全国认证认可信息公共服务平台（http://cx.cnca.cn）上证书状态为“有效”的查询结果网页或截图，否则不得分）</w:t>
            </w:r>
          </w:p>
        </w:tc>
        <w:tc>
          <w:tcPr>
            <w:tcW w:w="744"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c>
          <w:tcPr>
            <w:tcW w:w="716"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3" w:type="dxa"/>
            <w:noWrap w:val="0"/>
            <w:vAlign w:val="center"/>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val="en-US" w:eastAsia="zh-CN" w:bidi="ar"/>
              </w:rPr>
            </w:pPr>
            <w:r>
              <w:rPr>
                <w:rFonts w:hint="eastAsia" w:ascii="微软雅黑" w:hAnsi="微软雅黑" w:eastAsia="微软雅黑" w:cs="微软雅黑"/>
                <w:b/>
                <w:color w:val="000000"/>
                <w:sz w:val="21"/>
                <w:szCs w:val="21"/>
                <w:highlight w:val="none"/>
                <w:lang w:val="en-US" w:eastAsia="zh-CN" w:bidi="ar"/>
              </w:rPr>
              <w:t>2</w:t>
            </w:r>
          </w:p>
        </w:tc>
        <w:tc>
          <w:tcPr>
            <w:tcW w:w="7915" w:type="dxa"/>
            <w:noWrap w:val="0"/>
            <w:vAlign w:val="center"/>
          </w:tcPr>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投标人</w:t>
            </w:r>
            <w:r>
              <w:rPr>
                <w:rFonts w:hint="eastAsia" w:ascii="微软雅黑" w:hAnsi="微软雅黑" w:eastAsia="微软雅黑" w:cs="微软雅黑"/>
                <w:color w:val="auto"/>
                <w:sz w:val="22"/>
                <w:szCs w:val="22"/>
                <w:highlight w:val="none"/>
                <w:lang w:val="en-US" w:eastAsia="zh-CN"/>
              </w:rPr>
              <w:t>具有</w:t>
            </w:r>
            <w:r>
              <w:rPr>
                <w:rFonts w:hint="eastAsia" w:ascii="微软雅黑" w:hAnsi="微软雅黑" w:eastAsia="微软雅黑" w:cs="微软雅黑"/>
                <w:color w:val="auto"/>
                <w:sz w:val="22"/>
                <w:szCs w:val="22"/>
                <w:highlight w:val="none"/>
              </w:rPr>
              <w:t>信息技术服务运行维护</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级及以上标准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提供信息技术服务运行维护标准符合性</w:t>
            </w:r>
            <w:r>
              <w:rPr>
                <w:rFonts w:hint="eastAsia" w:ascii="微软雅黑" w:hAnsi="微软雅黑" w:eastAsia="微软雅黑" w:cs="微软雅黑"/>
                <w:color w:val="auto"/>
                <w:sz w:val="22"/>
                <w:szCs w:val="22"/>
                <w:highlight w:val="none"/>
                <w:lang w:val="en-US" w:eastAsia="zh-CN"/>
              </w:rPr>
              <w:t>叁</w:t>
            </w:r>
            <w:r>
              <w:rPr>
                <w:rFonts w:hint="eastAsia" w:ascii="微软雅黑" w:hAnsi="微软雅黑" w:eastAsia="微软雅黑" w:cs="微软雅黑"/>
                <w:color w:val="auto"/>
                <w:sz w:val="22"/>
                <w:szCs w:val="22"/>
                <w:highlight w:val="none"/>
              </w:rPr>
              <w:t>级证书，得</w:t>
            </w:r>
            <w:r>
              <w:rPr>
                <w:rFonts w:hint="eastAsia" w:ascii="微软雅黑" w:hAnsi="微软雅黑" w:eastAsia="微软雅黑" w:cs="微软雅黑"/>
                <w:color w:val="auto"/>
                <w:sz w:val="22"/>
                <w:szCs w:val="22"/>
                <w:highlight w:val="none"/>
                <w:lang w:val="en-US" w:eastAsia="zh-CN"/>
              </w:rPr>
              <w:t>1</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lang w:eastAsia="zh-CN"/>
              </w:rPr>
            </w:pPr>
            <w:r>
              <w:rPr>
                <w:rFonts w:hint="eastAsia" w:ascii="微软雅黑" w:hAnsi="微软雅黑" w:eastAsia="微软雅黑" w:cs="微软雅黑"/>
                <w:color w:val="auto"/>
                <w:sz w:val="22"/>
                <w:szCs w:val="22"/>
                <w:highlight w:val="none"/>
              </w:rPr>
              <w:t>提供信息技术服务运行维护标准符合性</w:t>
            </w:r>
            <w:r>
              <w:rPr>
                <w:rFonts w:hint="eastAsia" w:ascii="微软雅黑" w:hAnsi="微软雅黑" w:eastAsia="微软雅黑" w:cs="微软雅黑"/>
                <w:color w:val="auto"/>
                <w:sz w:val="22"/>
                <w:szCs w:val="22"/>
                <w:highlight w:val="none"/>
                <w:lang w:val="en-US" w:eastAsia="zh-CN"/>
              </w:rPr>
              <w:t>贰</w:t>
            </w:r>
            <w:r>
              <w:rPr>
                <w:rFonts w:hint="eastAsia" w:ascii="微软雅黑" w:hAnsi="微软雅黑" w:eastAsia="微软雅黑" w:cs="微软雅黑"/>
                <w:color w:val="auto"/>
                <w:sz w:val="22"/>
                <w:szCs w:val="22"/>
                <w:highlight w:val="none"/>
              </w:rPr>
              <w:t>级</w:t>
            </w:r>
            <w:r>
              <w:rPr>
                <w:rFonts w:hint="eastAsia" w:ascii="微软雅黑" w:hAnsi="微软雅黑" w:eastAsia="微软雅黑" w:cs="微软雅黑"/>
                <w:color w:val="auto"/>
                <w:sz w:val="22"/>
                <w:szCs w:val="22"/>
                <w:highlight w:val="none"/>
                <w:lang w:val="en-US" w:eastAsia="zh-CN"/>
              </w:rPr>
              <w:t>及以上</w:t>
            </w:r>
            <w:r>
              <w:rPr>
                <w:rFonts w:hint="eastAsia" w:ascii="微软雅黑" w:hAnsi="微软雅黑" w:eastAsia="微软雅黑" w:cs="微软雅黑"/>
                <w:color w:val="auto"/>
                <w:sz w:val="22"/>
                <w:szCs w:val="22"/>
                <w:highlight w:val="none"/>
              </w:rPr>
              <w:t>证书，得</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r>
              <w:rPr>
                <w:rFonts w:hint="eastAsia" w:ascii="微软雅黑" w:hAnsi="微软雅黑" w:eastAsia="微软雅黑" w:cs="微软雅黑"/>
                <w:color w:val="auto"/>
                <w:sz w:val="22"/>
                <w:szCs w:val="22"/>
                <w:highlight w:val="none"/>
                <w:lang w:eastAsia="zh-CN"/>
              </w:rPr>
              <w:t>。</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b w:val="0"/>
                <w:bCs w:val="0"/>
                <w:color w:val="auto"/>
                <w:kern w:val="2"/>
                <w:sz w:val="22"/>
                <w:szCs w:val="22"/>
                <w:highlight w:val="none"/>
                <w:lang w:val="en-US" w:eastAsia="zh-CN" w:bidi="ar-SA"/>
              </w:rPr>
            </w:pPr>
            <w:r>
              <w:rPr>
                <w:rFonts w:hint="eastAsia" w:ascii="微软雅黑" w:hAnsi="微软雅黑" w:eastAsia="微软雅黑" w:cs="微软雅黑"/>
                <w:b w:val="0"/>
                <w:bCs w:val="0"/>
                <w:color w:val="auto"/>
                <w:sz w:val="22"/>
                <w:szCs w:val="22"/>
                <w:highlight w:val="none"/>
              </w:rPr>
              <w:t>（</w:t>
            </w:r>
            <w:r>
              <w:rPr>
                <w:rFonts w:hint="eastAsia" w:ascii="微软雅黑" w:hAnsi="微软雅黑" w:eastAsia="微软雅黑" w:cs="微软雅黑"/>
                <w:b w:val="0"/>
                <w:bCs w:val="0"/>
                <w:color w:val="auto"/>
                <w:sz w:val="22"/>
                <w:szCs w:val="22"/>
                <w:highlight w:val="none"/>
                <w:lang w:val="en-US" w:eastAsia="zh-CN"/>
              </w:rPr>
              <w:t>商务技术文件中须提供证书扫描件，否则不得分</w:t>
            </w:r>
            <w:r>
              <w:rPr>
                <w:rFonts w:hint="eastAsia" w:ascii="微软雅黑" w:hAnsi="微软雅黑" w:eastAsia="微软雅黑" w:cs="微软雅黑"/>
                <w:b w:val="0"/>
                <w:bCs w:val="0"/>
                <w:color w:val="auto"/>
                <w:sz w:val="22"/>
                <w:szCs w:val="22"/>
                <w:highlight w:val="none"/>
              </w:rPr>
              <w:t>）</w:t>
            </w:r>
          </w:p>
        </w:tc>
        <w:tc>
          <w:tcPr>
            <w:tcW w:w="744"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c>
          <w:tcPr>
            <w:tcW w:w="716"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63" w:type="dxa"/>
            <w:noWrap w:val="0"/>
            <w:vAlign w:val="center"/>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val="en-US" w:eastAsia="zh-CN" w:bidi="ar"/>
              </w:rPr>
            </w:pPr>
            <w:r>
              <w:rPr>
                <w:rFonts w:hint="eastAsia" w:ascii="微软雅黑" w:hAnsi="微软雅黑" w:eastAsia="微软雅黑" w:cs="微软雅黑"/>
                <w:b/>
                <w:color w:val="000000"/>
                <w:sz w:val="21"/>
                <w:szCs w:val="21"/>
                <w:highlight w:val="none"/>
                <w:lang w:val="en-US" w:eastAsia="zh-CN" w:bidi="ar"/>
              </w:rPr>
              <w:t>3</w:t>
            </w:r>
          </w:p>
        </w:tc>
        <w:tc>
          <w:tcPr>
            <w:tcW w:w="7915" w:type="dxa"/>
            <w:noWrap w:val="0"/>
            <w:vAlign w:val="center"/>
          </w:tcPr>
          <w:p>
            <w:pPr>
              <w:keepNext w:val="0"/>
              <w:keepLines w:val="0"/>
              <w:pageBreakBefore w:val="0"/>
              <w:kinsoku/>
              <w:wordWrap/>
              <w:overflowPunct/>
              <w:topLinePunct w:val="0"/>
              <w:autoSpaceDE/>
              <w:autoSpaceDN/>
              <w:bidi w:val="0"/>
              <w:spacing w:line="400" w:lineRule="exact"/>
              <w:jc w:val="left"/>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投标人具有有效期内质量管理体系认证证书、环境管理体系认证证书、职业健康安全管理体系认证证书，每提供一个得1分，本项最多得</w:t>
            </w:r>
            <w:r>
              <w:rPr>
                <w:rFonts w:hint="eastAsia" w:ascii="微软雅黑" w:hAnsi="微软雅黑" w:eastAsia="微软雅黑" w:cs="微软雅黑"/>
                <w:color w:val="auto"/>
                <w:sz w:val="22"/>
                <w:szCs w:val="22"/>
                <w:highlight w:val="none"/>
                <w:lang w:val="en-US" w:eastAsia="zh-CN"/>
              </w:rPr>
              <w:t>3</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jc w:val="left"/>
              <w:rPr>
                <w:rFonts w:hint="eastAsia" w:ascii="Times New Roman" w:hAnsi="Times New Roman" w:eastAsia="微软雅黑" w:cs="Times New Roman"/>
                <w:color w:val="auto"/>
                <w:kern w:val="2"/>
                <w:sz w:val="21"/>
                <w:szCs w:val="21"/>
                <w:highlight w:val="none"/>
                <w:lang w:val="en-US" w:eastAsia="zh-CN" w:bidi="ar-SA"/>
              </w:rPr>
            </w:pPr>
            <w:r>
              <w:rPr>
                <w:rFonts w:hint="eastAsia" w:ascii="微软雅黑" w:hAnsi="微软雅黑" w:eastAsia="微软雅黑" w:cs="微软雅黑"/>
                <w:b w:val="0"/>
                <w:bCs w:val="0"/>
                <w:color w:val="auto"/>
                <w:sz w:val="22"/>
                <w:szCs w:val="22"/>
                <w:highlight w:val="none"/>
              </w:rPr>
              <w:t>（投标人需在商务技术文件中提供认证证书扫描件及该证书在全国认证认可信息公共服务平台（http://cx.cnca.cn）上证书状态为“有效”的查询结果网页或截图，否则不得分）</w:t>
            </w:r>
          </w:p>
        </w:tc>
        <w:tc>
          <w:tcPr>
            <w:tcW w:w="744"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c>
          <w:tcPr>
            <w:tcW w:w="716" w:type="dxa"/>
            <w:noWrap w:val="0"/>
            <w:vAlign w:val="top"/>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63" w:type="dxa"/>
            <w:vAlign w:val="center"/>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val="en-US" w:eastAsia="zh-CN" w:bidi="ar"/>
              </w:rPr>
            </w:pPr>
            <w:r>
              <w:rPr>
                <w:rFonts w:hint="eastAsia" w:ascii="微软雅黑" w:hAnsi="微软雅黑" w:eastAsia="微软雅黑" w:cs="微软雅黑"/>
                <w:b/>
                <w:color w:val="000000"/>
                <w:sz w:val="21"/>
                <w:szCs w:val="21"/>
                <w:highlight w:val="none"/>
                <w:lang w:val="en-US" w:eastAsia="zh-CN" w:bidi="ar"/>
              </w:rPr>
              <w:t>4</w:t>
            </w:r>
          </w:p>
        </w:tc>
        <w:tc>
          <w:tcPr>
            <w:tcW w:w="7915" w:type="dxa"/>
            <w:vAlign w:val="center"/>
          </w:tcPr>
          <w:p>
            <w:pPr>
              <w:keepNext w:val="0"/>
              <w:keepLines w:val="0"/>
              <w:pageBreakBefore w:val="0"/>
              <w:widowControl w:val="0"/>
              <w:numPr>
                <w:ilvl w:val="0"/>
                <w:numId w:val="11"/>
              </w:numPr>
              <w:kinsoku/>
              <w:wordWrap/>
              <w:overflowPunct/>
              <w:topLinePunct w:val="0"/>
              <w:autoSpaceDE/>
              <w:autoSpaceDN/>
              <w:bidi w:val="0"/>
              <w:spacing w:line="400" w:lineRule="exact"/>
              <w:textAlignment w:val="auto"/>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提供投标单位在2018年1月1日（以合同签订时间为准）以来的类似</w:t>
            </w:r>
            <w:r>
              <w:rPr>
                <w:rFonts w:hint="eastAsia" w:ascii="微软雅黑" w:hAnsi="微软雅黑" w:eastAsia="微软雅黑" w:cs="微软雅黑"/>
                <w:color w:val="auto"/>
                <w:sz w:val="22"/>
                <w:szCs w:val="22"/>
                <w:highlight w:val="none"/>
                <w:lang w:val="en-US" w:eastAsia="zh-CN"/>
              </w:rPr>
              <w:t>道路清扫或垃圾清运</w:t>
            </w:r>
            <w:r>
              <w:rPr>
                <w:rFonts w:hint="eastAsia" w:ascii="微软雅黑" w:hAnsi="微软雅黑" w:eastAsia="微软雅黑" w:cs="微软雅黑"/>
                <w:color w:val="auto"/>
                <w:sz w:val="22"/>
                <w:szCs w:val="22"/>
                <w:highlight w:val="none"/>
              </w:rPr>
              <w:t>业绩，每提供一份得1分，最高3分；</w:t>
            </w:r>
          </w:p>
          <w:p>
            <w:pPr>
              <w:keepNext w:val="0"/>
              <w:keepLines w:val="0"/>
              <w:pageBreakBefore w:val="0"/>
              <w:kinsoku/>
              <w:wordWrap/>
              <w:overflowPunct/>
              <w:topLinePunct w:val="0"/>
              <w:autoSpaceDE/>
              <w:autoSpaceDN/>
              <w:bidi w:val="0"/>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2、提供投标单位在2018年1月1日（以合同签订时间为准）以来的类似垃圾分类项目业绩，每提供一份得1分，最高</w:t>
            </w:r>
            <w:r>
              <w:rPr>
                <w:rFonts w:hint="eastAsia" w:ascii="微软雅黑" w:hAnsi="微软雅黑" w:eastAsia="微软雅黑" w:cs="微软雅黑"/>
                <w:color w:val="auto"/>
                <w:sz w:val="22"/>
                <w:szCs w:val="22"/>
                <w:highlight w:val="none"/>
                <w:lang w:val="en-US" w:eastAsia="zh-CN"/>
              </w:rPr>
              <w:t>2</w:t>
            </w:r>
            <w:r>
              <w:rPr>
                <w:rFonts w:hint="eastAsia" w:ascii="微软雅黑" w:hAnsi="微软雅黑" w:eastAsia="微软雅黑" w:cs="微软雅黑"/>
                <w:color w:val="auto"/>
                <w:sz w:val="22"/>
                <w:szCs w:val="22"/>
                <w:highlight w:val="none"/>
              </w:rPr>
              <w:t>分。</w:t>
            </w:r>
          </w:p>
          <w:p>
            <w:pPr>
              <w:keepNext w:val="0"/>
              <w:keepLines w:val="0"/>
              <w:pageBreakBefore w:val="0"/>
              <w:kinsoku/>
              <w:wordWrap/>
              <w:overflowPunct/>
              <w:topLinePunct w:val="0"/>
              <w:autoSpaceDE/>
              <w:autoSpaceDN/>
              <w:bidi w:val="0"/>
              <w:spacing w:line="400" w:lineRule="exact"/>
              <w:rPr>
                <w:rFonts w:hint="eastAsia" w:ascii="微软雅黑" w:hAnsi="微软雅黑" w:eastAsia="微软雅黑" w:cs="微软雅黑"/>
                <w:color w:val="auto"/>
                <w:kern w:val="2"/>
                <w:sz w:val="22"/>
                <w:szCs w:val="22"/>
                <w:highlight w:val="none"/>
                <w:lang w:val="en-US" w:eastAsia="zh-CN" w:bidi="ar-SA"/>
              </w:rPr>
            </w:pPr>
            <w:r>
              <w:rPr>
                <w:rFonts w:hint="eastAsia" w:ascii="微软雅黑" w:hAnsi="微软雅黑" w:eastAsia="微软雅黑" w:cs="微软雅黑"/>
                <w:color w:val="auto"/>
                <w:sz w:val="22"/>
                <w:szCs w:val="22"/>
                <w:highlight w:val="none"/>
              </w:rPr>
              <w:t>（</w:t>
            </w:r>
            <w:r>
              <w:rPr>
                <w:rFonts w:hint="eastAsia" w:ascii="微软雅黑" w:hAnsi="微软雅黑" w:eastAsia="微软雅黑" w:cs="微软雅黑"/>
                <w:color w:val="auto"/>
                <w:sz w:val="22"/>
                <w:szCs w:val="22"/>
                <w:highlight w:val="none"/>
                <w:lang w:val="en-US" w:eastAsia="zh-CN"/>
              </w:rPr>
              <w:t>商务文件中</w:t>
            </w:r>
            <w:r>
              <w:rPr>
                <w:rFonts w:hint="eastAsia" w:ascii="微软雅黑" w:hAnsi="微软雅黑" w:eastAsia="微软雅黑" w:cs="微软雅黑"/>
                <w:color w:val="auto"/>
                <w:sz w:val="22"/>
                <w:szCs w:val="22"/>
                <w:highlight w:val="none"/>
              </w:rPr>
              <w:t>需提供中标通知书、合同、中标公示网页或截图等证明材料，否则不得分。）</w:t>
            </w:r>
          </w:p>
        </w:tc>
        <w:tc>
          <w:tcPr>
            <w:tcW w:w="744" w:type="dxa"/>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c>
          <w:tcPr>
            <w:tcW w:w="716" w:type="dxa"/>
          </w:tcPr>
          <w:p>
            <w:pPr>
              <w:pStyle w:val="12"/>
              <w:keepNext w:val="0"/>
              <w:keepLines w:val="0"/>
              <w:pageBreakBefore w:val="0"/>
              <w:kinsoku/>
              <w:wordWrap/>
              <w:overflowPunct/>
              <w:topLinePunct w:val="0"/>
              <w:autoSpaceDE/>
              <w:autoSpaceDN/>
              <w:bidi w:val="0"/>
              <w:adjustRightInd/>
              <w:snapToGrid/>
              <w:spacing w:before="120" w:after="120" w:line="320" w:lineRule="exact"/>
              <w:jc w:val="center"/>
              <w:rPr>
                <w:rFonts w:hint="eastAsia" w:ascii="微软雅黑" w:hAnsi="微软雅黑" w:eastAsia="微软雅黑" w:cs="微软雅黑"/>
                <w:b/>
                <w:color w:val="000000"/>
                <w:sz w:val="21"/>
                <w:szCs w:val="21"/>
                <w:highlight w:val="none"/>
                <w:lang w:bidi="ar"/>
              </w:rPr>
            </w:pPr>
          </w:p>
        </w:tc>
      </w:tr>
    </w:tbl>
    <w:p>
      <w:pPr>
        <w:pStyle w:val="10"/>
        <w:jc w:val="both"/>
        <w:rPr>
          <w:rFonts w:hint="eastAsia" w:ascii="微软雅黑" w:hAnsi="微软雅黑" w:eastAsia="微软雅黑" w:cs="微软雅黑"/>
          <w:b/>
          <w:bCs/>
          <w:sz w:val="28"/>
          <w:szCs w:val="28"/>
          <w:highlight w:val="none"/>
        </w:rPr>
      </w:pPr>
      <w:bookmarkStart w:id="32" w:name="_GoBack"/>
      <w:bookmarkEnd w:id="32"/>
    </w:p>
    <w:p>
      <w:pPr>
        <w:pStyle w:val="10"/>
        <w:jc w:val="both"/>
        <w:rPr>
          <w:rFonts w:hint="eastAsia" w:ascii="微软雅黑" w:hAnsi="微软雅黑" w:eastAsia="微软雅黑" w:cs="微软雅黑"/>
          <w:b/>
          <w:bCs/>
          <w:sz w:val="28"/>
          <w:szCs w:val="28"/>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vertAlign w:val="subscript"/>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pStyle w:val="10"/>
        <w:jc w:val="both"/>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 xml:space="preserve">6               </w:t>
      </w:r>
      <w:r>
        <w:rPr>
          <w:rFonts w:hint="eastAsia" w:ascii="微软雅黑" w:hAnsi="微软雅黑" w:eastAsia="微软雅黑" w:cs="微软雅黑"/>
          <w:b/>
          <w:bCs/>
          <w:sz w:val="32"/>
          <w:szCs w:val="32"/>
          <w:highlight w:val="none"/>
        </w:rPr>
        <w:t xml:space="preserve">  </w:t>
      </w:r>
      <w:r>
        <w:rPr>
          <w:rFonts w:hint="eastAsia" w:ascii="微软雅黑" w:hAnsi="微软雅黑" w:eastAsia="微软雅黑" w:cs="微软雅黑"/>
          <w:b/>
          <w:bCs/>
          <w:sz w:val="28"/>
          <w:szCs w:val="28"/>
          <w:highlight w:val="none"/>
          <w:lang w:val="en-US" w:eastAsia="zh-CN"/>
        </w:rPr>
        <w:t xml:space="preserve">     </w:t>
      </w:r>
      <w:r>
        <w:rPr>
          <w:rFonts w:hint="eastAsia" w:ascii="微软雅黑" w:hAnsi="微软雅黑" w:eastAsia="微软雅黑" w:cs="微软雅黑"/>
          <w:b/>
          <w:bCs/>
          <w:sz w:val="32"/>
          <w:szCs w:val="32"/>
          <w:highlight w:val="none"/>
        </w:rPr>
        <w:t xml:space="preserve">  </w:t>
      </w:r>
    </w:p>
    <w:p>
      <w:pPr>
        <w:pStyle w:val="10"/>
        <w:jc w:val="center"/>
        <w:rPr>
          <w:b/>
          <w:bCs/>
          <w:sz w:val="32"/>
          <w:szCs w:val="32"/>
          <w:highlight w:val="none"/>
        </w:rPr>
      </w:pPr>
      <w:r>
        <w:rPr>
          <w:rFonts w:hint="eastAsia"/>
          <w:b/>
          <w:bCs/>
          <w:sz w:val="32"/>
          <w:szCs w:val="32"/>
          <w:highlight w:val="none"/>
          <w:lang w:val="en-US" w:eastAsia="zh-CN"/>
        </w:rPr>
        <w:t>投标人</w:t>
      </w:r>
      <w:r>
        <w:rPr>
          <w:rFonts w:hint="eastAsia"/>
          <w:b/>
          <w:bCs/>
          <w:sz w:val="32"/>
          <w:szCs w:val="32"/>
          <w:highlight w:val="none"/>
        </w:rPr>
        <w:t>基本</w:t>
      </w:r>
      <w:r>
        <w:rPr>
          <w:b/>
          <w:bCs/>
          <w:sz w:val="32"/>
          <w:szCs w:val="32"/>
          <w:highlight w:val="none"/>
        </w:rPr>
        <w:t>情况表</w:t>
      </w:r>
    </w:p>
    <w:tbl>
      <w:tblPr>
        <w:tblStyle w:val="23"/>
        <w:tblW w:w="97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50"/>
        <w:gridCol w:w="913"/>
        <w:gridCol w:w="61"/>
        <w:gridCol w:w="1245"/>
        <w:gridCol w:w="121"/>
        <w:gridCol w:w="1172"/>
        <w:gridCol w:w="346"/>
        <w:gridCol w:w="1366"/>
        <w:gridCol w:w="431"/>
        <w:gridCol w:w="130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3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27"/>
                <w:sz w:val="18"/>
                <w:szCs w:val="18"/>
                <w:highlight w:val="none"/>
              </w:rPr>
              <w:t>企业名称</w:t>
            </w:r>
          </w:p>
        </w:tc>
        <w:tc>
          <w:tcPr>
            <w:tcW w:w="4262" w:type="dxa"/>
            <w:gridSpan w:val="6"/>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2143"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法人代表</w:t>
            </w:r>
          </w:p>
        </w:tc>
        <w:tc>
          <w:tcPr>
            <w:tcW w:w="2645"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3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27"/>
                <w:sz w:val="18"/>
                <w:szCs w:val="18"/>
                <w:highlight w:val="none"/>
              </w:rPr>
              <w:t>地址</w:t>
            </w:r>
          </w:p>
        </w:tc>
        <w:tc>
          <w:tcPr>
            <w:tcW w:w="4262" w:type="dxa"/>
            <w:gridSpan w:val="6"/>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143"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企业性质</w:t>
            </w:r>
          </w:p>
        </w:tc>
        <w:tc>
          <w:tcPr>
            <w:tcW w:w="2645"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3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27"/>
                <w:sz w:val="18"/>
                <w:szCs w:val="18"/>
                <w:highlight w:val="none"/>
              </w:rPr>
              <w:t>股东姓名</w:t>
            </w:r>
          </w:p>
        </w:tc>
        <w:tc>
          <w:tcPr>
            <w:tcW w:w="750" w:type="dxa"/>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pacing w:val="16"/>
                <w:sz w:val="18"/>
                <w:szCs w:val="18"/>
                <w:highlight w:val="none"/>
              </w:rPr>
            </w:pPr>
          </w:p>
        </w:tc>
        <w:tc>
          <w:tcPr>
            <w:tcW w:w="974"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股权结构（%）</w:t>
            </w:r>
          </w:p>
        </w:tc>
        <w:tc>
          <w:tcPr>
            <w:tcW w:w="2538"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143"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股东关系</w:t>
            </w:r>
          </w:p>
        </w:tc>
        <w:tc>
          <w:tcPr>
            <w:tcW w:w="2645"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30" w:type="dxa"/>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2"/>
                <w:sz w:val="18"/>
                <w:szCs w:val="18"/>
                <w:highlight w:val="none"/>
              </w:rPr>
              <w:t>联系人</w:t>
            </w:r>
            <w:r>
              <w:rPr>
                <w:rFonts w:hint="eastAsia" w:ascii="微软雅黑" w:hAnsi="微软雅黑" w:eastAsia="微软雅黑" w:cs="微软雅黑"/>
                <w:spacing w:val="27"/>
                <w:sz w:val="18"/>
                <w:szCs w:val="18"/>
                <w:highlight w:val="none"/>
              </w:rPr>
              <w:t>姓名</w:t>
            </w:r>
          </w:p>
        </w:tc>
        <w:tc>
          <w:tcPr>
            <w:tcW w:w="750" w:type="dxa"/>
            <w:vMerge w:val="restart"/>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974" w:type="dxa"/>
            <w:gridSpan w:val="2"/>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固定电话</w:t>
            </w:r>
          </w:p>
        </w:tc>
        <w:tc>
          <w:tcPr>
            <w:tcW w:w="2538" w:type="dxa"/>
            <w:gridSpan w:val="3"/>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143" w:type="dxa"/>
            <w:gridSpan w:val="3"/>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传真</w:t>
            </w:r>
          </w:p>
        </w:tc>
        <w:tc>
          <w:tcPr>
            <w:tcW w:w="2645" w:type="dxa"/>
            <w:gridSpan w:val="2"/>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75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974"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27"/>
                <w:sz w:val="18"/>
                <w:szCs w:val="18"/>
                <w:highlight w:val="none"/>
              </w:rPr>
              <w:t>手机</w:t>
            </w:r>
          </w:p>
        </w:tc>
        <w:tc>
          <w:tcPr>
            <w:tcW w:w="2538"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143" w:type="dxa"/>
            <w:gridSpan w:val="3"/>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645" w:type="dxa"/>
            <w:gridSpan w:val="2"/>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30" w:type="dxa"/>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1.</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企</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业</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27"/>
                <w:sz w:val="18"/>
                <w:szCs w:val="18"/>
                <w:highlight w:val="none"/>
              </w:rPr>
            </w:pPr>
            <w:r>
              <w:rPr>
                <w:rFonts w:hint="eastAsia" w:ascii="微软雅黑" w:hAnsi="微软雅黑" w:eastAsia="微软雅黑" w:cs="微软雅黑"/>
                <w:spacing w:val="27"/>
                <w:sz w:val="18"/>
                <w:szCs w:val="18"/>
                <w:highlight w:val="none"/>
              </w:rPr>
              <w:t>概</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27"/>
                <w:sz w:val="18"/>
                <w:szCs w:val="18"/>
                <w:highlight w:val="none"/>
              </w:rPr>
              <w:t>况</w:t>
            </w:r>
          </w:p>
        </w:tc>
        <w:tc>
          <w:tcPr>
            <w:tcW w:w="750" w:type="dxa"/>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职工人数</w:t>
            </w:r>
          </w:p>
        </w:tc>
        <w:tc>
          <w:tcPr>
            <w:tcW w:w="974" w:type="dxa"/>
            <w:gridSpan w:val="2"/>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1245" w:type="dxa"/>
            <w:tcBorders>
              <w:top w:val="nil"/>
            </w:tcBorders>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8"/>
                <w:sz w:val="18"/>
                <w:szCs w:val="18"/>
                <w:highlight w:val="none"/>
              </w:rPr>
              <w:t>具备大专以</w:t>
            </w:r>
            <w:r>
              <w:rPr>
                <w:rFonts w:hint="eastAsia" w:ascii="微软雅黑" w:hAnsi="微软雅黑" w:eastAsia="微软雅黑" w:cs="微软雅黑"/>
                <w:spacing w:val="12"/>
                <w:sz w:val="18"/>
                <w:szCs w:val="18"/>
                <w:highlight w:val="none"/>
              </w:rPr>
              <w:t>上学历人数</w:t>
            </w:r>
          </w:p>
        </w:tc>
        <w:tc>
          <w:tcPr>
            <w:tcW w:w="1293" w:type="dxa"/>
            <w:gridSpan w:val="2"/>
            <w:tcBorders>
              <w:top w:val="nil"/>
            </w:tcBorders>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pacing w:val="16"/>
                <w:kern w:val="0"/>
                <w:sz w:val="18"/>
                <w:szCs w:val="18"/>
                <w:highlight w:val="none"/>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pacing w:val="16"/>
                <w:kern w:val="0"/>
                <w:sz w:val="18"/>
                <w:szCs w:val="18"/>
                <w:highlight w:val="none"/>
              </w:rPr>
            </w:pP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c>
          <w:tcPr>
            <w:tcW w:w="2143"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65"/>
                <w:sz w:val="18"/>
                <w:szCs w:val="18"/>
                <w:highlight w:val="none"/>
              </w:rPr>
              <w:t>国家授予技</w:t>
            </w:r>
            <w:r>
              <w:rPr>
                <w:rFonts w:hint="eastAsia" w:ascii="微软雅黑" w:hAnsi="微软雅黑" w:eastAsia="微软雅黑" w:cs="微软雅黑"/>
                <w:spacing w:val="12"/>
                <w:sz w:val="18"/>
                <w:szCs w:val="18"/>
                <w:highlight w:val="none"/>
              </w:rPr>
              <w:t>术职称人数</w:t>
            </w:r>
          </w:p>
        </w:tc>
        <w:tc>
          <w:tcPr>
            <w:tcW w:w="2645" w:type="dxa"/>
            <w:gridSpan w:val="2"/>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spacing w:val="16"/>
                <w:kern w:val="0"/>
                <w:sz w:val="18"/>
                <w:szCs w:val="18"/>
                <w:highlight w:val="none"/>
              </w:rPr>
            </w:pP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75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占地面积</w:t>
            </w:r>
          </w:p>
        </w:tc>
        <w:tc>
          <w:tcPr>
            <w:tcW w:w="974"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1245"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建筑面积</w:t>
            </w:r>
          </w:p>
        </w:tc>
        <w:tc>
          <w:tcPr>
            <w:tcW w:w="1293"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xml:space="preserve">平方米 </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□自有</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□租賃</w:t>
            </w:r>
          </w:p>
        </w:tc>
        <w:tc>
          <w:tcPr>
            <w:tcW w:w="2143"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生产经营场所及场所的设施与设备</w:t>
            </w:r>
          </w:p>
        </w:tc>
        <w:tc>
          <w:tcPr>
            <w:tcW w:w="2645"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75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2"/>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注册资金</w:t>
            </w:r>
          </w:p>
        </w:tc>
        <w:tc>
          <w:tcPr>
            <w:tcW w:w="974"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2"/>
              <w:textAlignment w:val="auto"/>
              <w:rPr>
                <w:rFonts w:hint="eastAsia" w:ascii="微软雅黑" w:hAnsi="微软雅黑" w:eastAsia="微软雅黑" w:cs="微软雅黑"/>
                <w:sz w:val="18"/>
                <w:szCs w:val="18"/>
                <w:highlight w:val="none"/>
              </w:rPr>
            </w:pPr>
          </w:p>
        </w:tc>
        <w:tc>
          <w:tcPr>
            <w:tcW w:w="1245"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注册发证</w:t>
            </w:r>
            <w:r>
              <w:rPr>
                <w:rFonts w:hint="eastAsia" w:ascii="微软雅黑" w:hAnsi="微软雅黑" w:eastAsia="微软雅黑" w:cs="微软雅黑"/>
                <w:spacing w:val="27"/>
                <w:sz w:val="18"/>
                <w:szCs w:val="18"/>
                <w:highlight w:val="none"/>
              </w:rPr>
              <w:t>机关</w:t>
            </w:r>
          </w:p>
        </w:tc>
        <w:tc>
          <w:tcPr>
            <w:tcW w:w="3436" w:type="dxa"/>
            <w:gridSpan w:val="5"/>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1304"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公司成</w:t>
            </w:r>
            <w:r>
              <w:rPr>
                <w:rFonts w:hint="eastAsia" w:ascii="微软雅黑" w:hAnsi="微软雅黑" w:eastAsia="微软雅黑" w:cs="微软雅黑"/>
                <w:spacing w:val="12"/>
                <w:sz w:val="18"/>
                <w:szCs w:val="18"/>
                <w:highlight w:val="none"/>
              </w:rPr>
              <w:t>立时间</w:t>
            </w:r>
          </w:p>
        </w:tc>
        <w:tc>
          <w:tcPr>
            <w:tcW w:w="1341"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750"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2"/>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核准经营范围</w:t>
            </w:r>
          </w:p>
        </w:tc>
        <w:tc>
          <w:tcPr>
            <w:tcW w:w="8300" w:type="dxa"/>
            <w:gridSpan w:val="10"/>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9050" w:type="dxa"/>
            <w:gridSpan w:val="11"/>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3"/>
                <w:sz w:val="18"/>
                <w:szCs w:val="18"/>
                <w:highlight w:val="none"/>
              </w:rPr>
            </w:pPr>
            <w:r>
              <w:rPr>
                <w:rFonts w:hint="eastAsia" w:ascii="微软雅黑" w:hAnsi="微软雅黑" w:eastAsia="微软雅黑" w:cs="微软雅黑"/>
                <w:spacing w:val="13"/>
                <w:sz w:val="18"/>
                <w:szCs w:val="18"/>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30" w:type="dxa"/>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2．</w:t>
            </w:r>
          </w:p>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z w:val="18"/>
                <w:szCs w:val="18"/>
                <w:highlight w:val="none"/>
              </w:rPr>
              <w:t>企</w:t>
            </w:r>
            <w:r>
              <w:rPr>
                <w:rFonts w:hint="eastAsia" w:ascii="微软雅黑" w:hAnsi="微软雅黑" w:eastAsia="微软雅黑" w:cs="微软雅黑"/>
                <w:spacing w:val="12"/>
                <w:sz w:val="18"/>
                <w:szCs w:val="18"/>
                <w:highlight w:val="none"/>
              </w:rPr>
              <w:t>业有关资质获证情况</w:t>
            </w:r>
          </w:p>
        </w:tc>
        <w:tc>
          <w:tcPr>
            <w:tcW w:w="1663" w:type="dxa"/>
            <w:gridSpan w:val="2"/>
            <w:vMerge w:val="restart"/>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2"/>
                <w:sz w:val="18"/>
                <w:szCs w:val="18"/>
                <w:highlight w:val="none"/>
              </w:rPr>
              <w:t>产品生产许可证情况</w:t>
            </w:r>
            <w:r>
              <w:rPr>
                <w:rFonts w:hint="eastAsia" w:ascii="微软雅黑" w:hAnsi="微软雅黑" w:eastAsia="微软雅黑" w:cs="微软雅黑"/>
                <w:spacing w:val="41"/>
                <w:sz w:val="18"/>
                <w:szCs w:val="18"/>
                <w:highlight w:val="none"/>
              </w:rPr>
              <w:t>（对需获得生产许可证的</w:t>
            </w:r>
            <w:r>
              <w:rPr>
                <w:rFonts w:hint="eastAsia" w:ascii="微软雅黑" w:hAnsi="微软雅黑" w:eastAsia="微软雅黑" w:cs="微软雅黑"/>
                <w:spacing w:val="11"/>
                <w:sz w:val="18"/>
                <w:szCs w:val="18"/>
                <w:highlight w:val="none"/>
              </w:rPr>
              <w:t>产品要填写此栏）</w:t>
            </w:r>
          </w:p>
        </w:tc>
        <w:tc>
          <w:tcPr>
            <w:tcW w:w="1427"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right="-78" w:rightChars="-37"/>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6"/>
                <w:sz w:val="18"/>
                <w:szCs w:val="18"/>
                <w:highlight w:val="none"/>
              </w:rPr>
              <w:t>产品名称</w:t>
            </w:r>
          </w:p>
        </w:tc>
        <w:tc>
          <w:tcPr>
            <w:tcW w:w="1518"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发证机关</w:t>
            </w:r>
          </w:p>
        </w:tc>
        <w:tc>
          <w:tcPr>
            <w:tcW w:w="1366"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27"/>
                <w:sz w:val="18"/>
                <w:szCs w:val="18"/>
                <w:highlight w:val="none"/>
              </w:rPr>
              <w:t>编号</w:t>
            </w:r>
          </w:p>
        </w:tc>
        <w:tc>
          <w:tcPr>
            <w:tcW w:w="1735"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16"/>
                <w:sz w:val="18"/>
                <w:szCs w:val="18"/>
                <w:highlight w:val="none"/>
              </w:rPr>
              <w:t>发证时间</w:t>
            </w:r>
          </w:p>
        </w:tc>
        <w:tc>
          <w:tcPr>
            <w:tcW w:w="1341" w:type="dxa"/>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pacing w:val="27"/>
                <w:sz w:val="18"/>
                <w:szCs w:val="18"/>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z w:val="18"/>
                <w:szCs w:val="18"/>
                <w:highlight w:val="none"/>
              </w:rPr>
            </w:pPr>
          </w:p>
        </w:tc>
        <w:tc>
          <w:tcPr>
            <w:tcW w:w="1663" w:type="dxa"/>
            <w:gridSpan w:val="2"/>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1427"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1518"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1366" w:type="dxa"/>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c>
          <w:tcPr>
            <w:tcW w:w="3076" w:type="dxa"/>
            <w:gridSpan w:val="3"/>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16"/>
                <w:sz w:val="18"/>
                <w:szCs w:val="18"/>
                <w:highlight w:val="none"/>
              </w:rPr>
            </w:pPr>
          </w:p>
        </w:tc>
        <w:tc>
          <w:tcPr>
            <w:tcW w:w="1663"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right="-107" w:rightChars="-51"/>
              <w:textAlignment w:val="auto"/>
              <w:rPr>
                <w:rFonts w:hint="eastAsia" w:ascii="微软雅黑" w:hAnsi="微软雅黑" w:eastAsia="微软雅黑" w:cs="微软雅黑"/>
                <w:spacing w:val="41"/>
                <w:sz w:val="18"/>
                <w:szCs w:val="18"/>
                <w:highlight w:val="none"/>
              </w:rPr>
            </w:pPr>
            <w:r>
              <w:rPr>
                <w:rFonts w:hint="eastAsia" w:ascii="微软雅黑" w:hAnsi="微软雅黑" w:eastAsia="微软雅黑" w:cs="微软雅黑"/>
                <w:spacing w:val="41"/>
                <w:sz w:val="18"/>
                <w:szCs w:val="18"/>
                <w:highlight w:val="none"/>
              </w:rPr>
              <w:t>企业通过质量体系、环保</w:t>
            </w:r>
            <w:r>
              <w:rPr>
                <w:rFonts w:hint="eastAsia" w:ascii="微软雅黑" w:hAnsi="微软雅黑" w:eastAsia="微软雅黑" w:cs="微软雅黑"/>
                <w:spacing w:val="11"/>
                <w:sz w:val="18"/>
                <w:szCs w:val="18"/>
                <w:highlight w:val="none"/>
              </w:rPr>
              <w:t>体系、计量等认证情况</w:t>
            </w:r>
          </w:p>
        </w:tc>
        <w:tc>
          <w:tcPr>
            <w:tcW w:w="7387" w:type="dxa"/>
            <w:gridSpan w:val="9"/>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30" w:type="dxa"/>
            <w:vMerge w:val="continue"/>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ind w:left="107"/>
              <w:textAlignment w:val="auto"/>
              <w:rPr>
                <w:rFonts w:hint="eastAsia" w:ascii="微软雅黑" w:hAnsi="微软雅黑" w:eastAsia="微软雅黑" w:cs="微软雅黑"/>
                <w:spacing w:val="27"/>
                <w:sz w:val="18"/>
                <w:szCs w:val="18"/>
                <w:highlight w:val="none"/>
              </w:rPr>
            </w:pPr>
          </w:p>
        </w:tc>
        <w:tc>
          <w:tcPr>
            <w:tcW w:w="1663" w:type="dxa"/>
            <w:gridSpan w:val="2"/>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r>
              <w:rPr>
                <w:rFonts w:hint="eastAsia" w:ascii="微软雅黑" w:hAnsi="微软雅黑" w:eastAsia="微软雅黑" w:cs="微软雅黑"/>
                <w:spacing w:val="10"/>
                <w:sz w:val="18"/>
                <w:szCs w:val="18"/>
                <w:highlight w:val="none"/>
              </w:rPr>
              <w:t>企业获得专利情况</w:t>
            </w:r>
          </w:p>
        </w:tc>
        <w:tc>
          <w:tcPr>
            <w:tcW w:w="7387" w:type="dxa"/>
            <w:gridSpan w:val="9"/>
          </w:tcPr>
          <w:p>
            <w:pPr>
              <w:pStyle w:val="47"/>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spacing w:val="16"/>
                <w:sz w:val="18"/>
                <w:szCs w:val="18"/>
                <w:highlight w:val="none"/>
              </w:rPr>
            </w:pPr>
          </w:p>
        </w:tc>
      </w:tr>
    </w:tbl>
    <w:p>
      <w:pPr>
        <w:keepNext w:val="0"/>
        <w:keepLines w:val="0"/>
        <w:pageBreakBefore w:val="0"/>
        <w:kinsoku/>
        <w:wordWrap/>
        <w:overflowPunct/>
        <w:topLinePunct w:val="0"/>
        <w:autoSpaceDE/>
        <w:autoSpaceDN/>
        <w:bidi w:val="0"/>
        <w:adjustRightInd/>
        <w:snapToGrid/>
        <w:spacing w:line="440" w:lineRule="exact"/>
        <w:ind w:firstLine="424" w:firstLineChars="177"/>
        <w:textAlignment w:val="auto"/>
        <w:rPr>
          <w:rFonts w:hint="eastAsia" w:ascii="微软雅黑" w:hAnsi="微软雅黑" w:eastAsia="微软雅黑" w:cs="微软雅黑"/>
          <w:sz w:val="24"/>
          <w:szCs w:val="24"/>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spacing w:val="11"/>
          <w:highlight w:val="none"/>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69" w:firstLineChars="177"/>
        <w:textAlignment w:val="auto"/>
        <w:rPr>
          <w:rFonts w:hint="eastAsia" w:ascii="微软雅黑" w:hAnsi="微软雅黑" w:eastAsia="微软雅黑" w:cs="微软雅黑"/>
          <w:sz w:val="24"/>
          <w:szCs w:val="24"/>
          <w:highlight w:val="none"/>
        </w:rPr>
      </w:pPr>
      <w:r>
        <w:rPr>
          <w:b/>
          <w:bCs/>
          <w:sz w:val="32"/>
          <w:szCs w:val="32"/>
          <w:highlight w:val="none"/>
        </w:rPr>
        <w:br w:type="page"/>
      </w:r>
    </w:p>
    <w:p>
      <w:pPr>
        <w:spacing w:beforeLines="50" w:afterLines="50" w:line="360" w:lineRule="auto"/>
        <w:ind w:right="-10"/>
        <w:jc w:val="left"/>
        <w:rPr>
          <w:rFonts w:hint="eastAsia" w:ascii="微软雅黑" w:hAnsi="微软雅黑" w:eastAsia="微软雅黑" w:cs="微软雅黑"/>
          <w:b/>
          <w:bCs/>
          <w:sz w:val="28"/>
          <w:szCs w:val="28"/>
          <w:highlight w:val="none"/>
          <w:lang w:val="en-US" w:eastAsia="zh-CN"/>
        </w:rPr>
      </w:pP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7</w:t>
      </w:r>
    </w:p>
    <w:p>
      <w:pPr>
        <w:spacing w:beforeLines="50" w:afterLines="50" w:line="240" w:lineRule="auto"/>
        <w:ind w:right="-10"/>
        <w:jc w:val="center"/>
        <w:rPr>
          <w:rFonts w:hint="eastAsia" w:ascii="微软雅黑" w:hAnsi="微软雅黑" w:eastAsia="微软雅黑" w:cs="微软雅黑"/>
          <w:b/>
          <w:bCs/>
          <w:spacing w:val="21"/>
          <w:kern w:val="0"/>
          <w:sz w:val="32"/>
          <w:szCs w:val="32"/>
          <w:highlight w:val="none"/>
        </w:rPr>
      </w:pPr>
      <w:r>
        <w:rPr>
          <w:rFonts w:hint="eastAsia" w:ascii="微软雅黑" w:hAnsi="微软雅黑" w:eastAsia="微软雅黑" w:cs="微软雅黑"/>
          <w:b/>
          <w:bCs/>
          <w:spacing w:val="21"/>
          <w:kern w:val="0"/>
          <w:sz w:val="32"/>
          <w:szCs w:val="32"/>
          <w:highlight w:val="none"/>
        </w:rPr>
        <w:t>项目负责人资格情况表</w:t>
      </w:r>
    </w:p>
    <w:p>
      <w:pPr>
        <w:spacing w:line="360" w:lineRule="auto"/>
        <w:rPr>
          <w:rFonts w:hint="eastAsia" w:ascii="微软雅黑" w:hAnsi="微软雅黑" w:eastAsia="微软雅黑" w:cs="微软雅黑"/>
          <w:highlight w:val="none"/>
        </w:rPr>
      </w:pPr>
      <w:r>
        <w:rPr>
          <w:rFonts w:hint="eastAsia" w:ascii="微软雅黑" w:hAnsi="微软雅黑" w:eastAsia="微软雅黑" w:cs="微软雅黑"/>
          <w:highlight w:val="none"/>
        </w:rPr>
        <w:t>采购项目：                                            采购编号：</w:t>
      </w:r>
    </w:p>
    <w:tbl>
      <w:tblPr>
        <w:tblStyle w:val="23"/>
        <w:tblW w:w="991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3412"/>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270" w:type="dxa"/>
            <w:tcBorders>
              <w:top w:val="single" w:color="auto" w:sz="12" w:space="0"/>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姓名</w:t>
            </w:r>
          </w:p>
        </w:tc>
        <w:tc>
          <w:tcPr>
            <w:tcW w:w="3412" w:type="dxa"/>
            <w:tcBorders>
              <w:top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tcBorders>
              <w:top w:val="single" w:color="auto" w:sz="12" w:space="0"/>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性别</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restart"/>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rPr>
            </w:pPr>
            <w:r>
              <w:rPr>
                <w:rFonts w:hint="eastAsia" w:ascii="微软雅黑" w:hAnsi="微软雅黑" w:eastAsia="微软雅黑" w:cs="微软雅黑"/>
                <w:highlight w:val="none"/>
              </w:rPr>
              <w:t>注：业绩证明应提供旁证材料</w:t>
            </w:r>
          </w:p>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r>
              <w:rPr>
                <w:rFonts w:hint="eastAsia" w:ascii="微软雅黑" w:hAnsi="微软雅黑" w:eastAsia="微软雅黑" w:cs="微软雅黑"/>
                <w:highlight w:val="none"/>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年龄</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职称</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毕业时间</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学校专业</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联系电话</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2270" w:type="dxa"/>
            <w:tcBorders>
              <w:lef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rPr>
              <w:t>最近一年工作状况</w:t>
            </w:r>
          </w:p>
        </w:tc>
        <w:tc>
          <w:tcPr>
            <w:tcW w:w="3412" w:type="dxa"/>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c>
          <w:tcPr>
            <w:tcW w:w="4237" w:type="dxa"/>
            <w:vMerge w:val="continue"/>
            <w:tcBorders>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2270" w:type="dxa"/>
            <w:tcBorders>
              <w:left w:val="single" w:color="auto" w:sz="12" w:space="0"/>
              <w:bottom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b/>
                <w:bCs/>
                <w:highlight w:val="none"/>
                <w:lang w:val="zh-CN"/>
              </w:rPr>
            </w:pPr>
            <w:r>
              <w:rPr>
                <w:rFonts w:hint="eastAsia" w:ascii="微软雅黑" w:hAnsi="微软雅黑" w:eastAsia="微软雅黑" w:cs="微软雅黑"/>
                <w:b/>
                <w:bCs/>
                <w:highlight w:val="none"/>
                <w:lang w:val="zh-CN"/>
              </w:rPr>
              <w:t>拟在本项目中担任主要工作</w:t>
            </w:r>
          </w:p>
        </w:tc>
        <w:tc>
          <w:tcPr>
            <w:tcW w:w="7649"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center"/>
              <w:rPr>
                <w:rFonts w:hint="eastAsia" w:ascii="微软雅黑" w:hAnsi="微软雅黑" w:eastAsia="微软雅黑" w:cs="微软雅黑"/>
                <w:highlight w:val="none"/>
                <w:lang w:val="zh-CN"/>
              </w:rPr>
            </w:pPr>
          </w:p>
        </w:tc>
      </w:tr>
    </w:tbl>
    <w:p>
      <w:pPr>
        <w:widowControl/>
        <w:jc w:val="left"/>
        <w:rPr>
          <w:rFonts w:hint="eastAsia" w:ascii="微软雅黑" w:hAnsi="微软雅黑" w:eastAsia="微软雅黑" w:cs="微软雅黑"/>
          <w:sz w:val="24"/>
          <w:szCs w:val="24"/>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spacing w:val="11"/>
          <w:highlight w:val="none"/>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widowControl/>
        <w:jc w:val="left"/>
        <w:rPr>
          <w:rFonts w:hint="eastAsia" w:ascii="微软雅黑" w:hAnsi="微软雅黑" w:eastAsia="微软雅黑" w:cs="微软雅黑"/>
          <w:b/>
          <w:bCs/>
          <w:sz w:val="28"/>
          <w:szCs w:val="28"/>
          <w:highlight w:val="none"/>
          <w:lang w:val="en-US" w:eastAsia="zh-CN"/>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 xml:space="preserve">8               </w:t>
      </w:r>
    </w:p>
    <w:p>
      <w:pPr>
        <w:widowControl/>
        <w:jc w:val="center"/>
        <w:rPr>
          <w:rFonts w:hint="eastAsia" w:ascii="微软雅黑" w:hAnsi="微软雅黑" w:eastAsia="微软雅黑" w:cs="微软雅黑"/>
          <w:b/>
          <w:bCs/>
          <w:sz w:val="32"/>
          <w:szCs w:val="32"/>
          <w:highlight w:val="none"/>
        </w:rPr>
      </w:pPr>
      <w:r>
        <w:rPr>
          <w:rFonts w:hint="eastAsia" w:ascii="微软雅黑" w:hAnsi="微软雅黑" w:eastAsia="微软雅黑" w:cs="微软雅黑"/>
          <w:b/>
          <w:bCs/>
          <w:sz w:val="32"/>
          <w:szCs w:val="32"/>
          <w:highlight w:val="none"/>
        </w:rPr>
        <w:t>技术、商务偏离表</w:t>
      </w:r>
    </w:p>
    <w:p>
      <w:pPr>
        <w:autoSpaceDE w:val="0"/>
        <w:autoSpaceDN w:val="0"/>
        <w:adjustRightInd w:val="0"/>
        <w:spacing w:line="450" w:lineRule="exact"/>
        <w:ind w:firstLine="480" w:firstLineChars="200"/>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为了采购人评议的需要，投标人若有偏离的应将偏离条款逐条提出或根据以下要求的格式提出偏差。投标人应对照招标文件要求在“偏离情况”栏注明“正偏离”、“负偏离”。</w:t>
      </w:r>
    </w:p>
    <w:p>
      <w:pPr>
        <w:autoSpaceDE w:val="0"/>
        <w:autoSpaceDN w:val="0"/>
        <w:adjustRightInd w:val="0"/>
        <w:spacing w:line="450" w:lineRule="exact"/>
        <w:ind w:firstLine="480" w:firstLineChars="200"/>
        <w:rPr>
          <w:rFonts w:hint="eastAsia" w:ascii="微软雅黑" w:hAnsi="微软雅黑" w:eastAsia="微软雅黑" w:cs="微软雅黑"/>
          <w:b/>
          <w:bCs/>
          <w:spacing w:val="21"/>
          <w:kern w:val="0"/>
          <w:sz w:val="32"/>
          <w:szCs w:val="32"/>
          <w:highlight w:val="none"/>
        </w:rPr>
      </w:pPr>
      <w:r>
        <w:rPr>
          <w:rFonts w:hint="eastAsia" w:ascii="微软雅黑" w:hAnsi="微软雅黑" w:eastAsia="微软雅黑" w:cs="微软雅黑"/>
          <w:sz w:val="24"/>
          <w:highlight w:val="none"/>
        </w:rPr>
        <w:t>如投标人无偏离的可不填写本偏离表或在本页上写“无”，视为完全响应本次招标文件。</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9"/>
        <w:gridCol w:w="1189"/>
        <w:gridCol w:w="1978"/>
        <w:gridCol w:w="2130"/>
        <w:gridCol w:w="1468"/>
        <w:gridCol w:w="1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1" w:hRule="atLeast"/>
          <w:jc w:val="center"/>
        </w:trPr>
        <w:tc>
          <w:tcPr>
            <w:tcW w:w="759"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序号</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内容</w:t>
            </w:r>
          </w:p>
        </w:tc>
        <w:tc>
          <w:tcPr>
            <w:tcW w:w="1978" w:type="dxa"/>
            <w:noWrap w:val="0"/>
            <w:vAlign w:val="center"/>
          </w:tcPr>
          <w:p>
            <w:pPr>
              <w:autoSpaceDE w:val="0"/>
              <w:autoSpaceDN w:val="0"/>
              <w:adjustRightInd w:val="0"/>
              <w:ind w:left="-105" w:leftChars="-50" w:right="-100"/>
              <w:jc w:val="center"/>
              <w:rPr>
                <w:rFonts w:hint="eastAsia" w:ascii="微软雅黑" w:hAnsi="微软雅黑" w:eastAsia="微软雅黑" w:cs="微软雅黑"/>
                <w:spacing w:val="-12"/>
                <w:sz w:val="24"/>
                <w:highlight w:val="none"/>
              </w:rPr>
            </w:pPr>
            <w:r>
              <w:rPr>
                <w:rFonts w:hint="eastAsia" w:ascii="微软雅黑" w:hAnsi="微软雅黑" w:eastAsia="微软雅黑" w:cs="微软雅黑"/>
                <w:sz w:val="24"/>
                <w:highlight w:val="none"/>
              </w:rPr>
              <w:t>招标文件要求</w:t>
            </w: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投标文件响应</w:t>
            </w: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偏离情况</w:t>
            </w: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759" w:type="dxa"/>
            <w:noWrap w:val="0"/>
            <w:vAlign w:val="center"/>
          </w:tcPr>
          <w:p>
            <w:pPr>
              <w:pStyle w:val="12"/>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1</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59" w:type="dxa"/>
            <w:noWrap w:val="0"/>
            <w:vAlign w:val="center"/>
          </w:tcPr>
          <w:p>
            <w:pPr>
              <w:pStyle w:val="12"/>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2</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59" w:type="dxa"/>
            <w:noWrap w:val="0"/>
            <w:vAlign w:val="center"/>
          </w:tcPr>
          <w:p>
            <w:pPr>
              <w:pStyle w:val="12"/>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59"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59" w:type="dxa"/>
            <w:noWrap w:val="0"/>
            <w:vAlign w:val="center"/>
          </w:tcPr>
          <w:p>
            <w:pPr>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759" w:type="dxa"/>
            <w:noWrap w:val="0"/>
            <w:vAlign w:val="center"/>
          </w:tcPr>
          <w:p>
            <w:pPr>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759" w:type="dxa"/>
            <w:noWrap w:val="0"/>
            <w:vAlign w:val="center"/>
          </w:tcPr>
          <w:p>
            <w:pPr>
              <w:spacing w:line="300" w:lineRule="exact"/>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59" w:type="dxa"/>
            <w:noWrap w:val="0"/>
            <w:vAlign w:val="center"/>
          </w:tcPr>
          <w:p>
            <w:pPr>
              <w:autoSpaceDE w:val="0"/>
              <w:autoSpaceDN w:val="0"/>
              <w:adjustRightInd w:val="0"/>
              <w:jc w:val="center"/>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w:t>
            </w:r>
          </w:p>
        </w:tc>
        <w:tc>
          <w:tcPr>
            <w:tcW w:w="1189"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97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2130"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468"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c>
          <w:tcPr>
            <w:tcW w:w="1683" w:type="dxa"/>
            <w:noWrap w:val="0"/>
            <w:vAlign w:val="center"/>
          </w:tcPr>
          <w:p>
            <w:pPr>
              <w:autoSpaceDE w:val="0"/>
              <w:autoSpaceDN w:val="0"/>
              <w:adjustRightInd w:val="0"/>
              <w:jc w:val="center"/>
              <w:rPr>
                <w:rFonts w:hint="eastAsia" w:ascii="微软雅黑" w:hAnsi="微软雅黑" w:eastAsia="微软雅黑" w:cs="微软雅黑"/>
                <w:sz w:val="24"/>
                <w:highlight w:val="none"/>
              </w:rPr>
            </w:pPr>
          </w:p>
        </w:tc>
      </w:tr>
    </w:tbl>
    <w:p>
      <w:pPr>
        <w:spacing w:line="360" w:lineRule="auto"/>
        <w:ind w:left="420"/>
        <w:rPr>
          <w:rFonts w:hint="eastAsia" w:ascii="微软雅黑" w:hAnsi="微软雅黑" w:eastAsia="微软雅黑" w:cs="微软雅黑"/>
          <w:sz w:val="24"/>
          <w:szCs w:val="24"/>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spacing w:val="11"/>
          <w:highlight w:val="none"/>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widowControl/>
        <w:jc w:val="left"/>
        <w:rPr>
          <w:rFonts w:hint="eastAsia" w:ascii="微软雅黑" w:hAnsi="微软雅黑" w:eastAsia="微软雅黑" w:cs="微软雅黑"/>
          <w:b/>
          <w:bCs/>
          <w:sz w:val="28"/>
          <w:szCs w:val="28"/>
          <w:highlight w:val="none"/>
          <w:lang w:eastAsia="zh-CN"/>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9</w:t>
      </w:r>
    </w:p>
    <w:p>
      <w:pPr>
        <w:pStyle w:val="51"/>
        <w:spacing w:line="360" w:lineRule="auto"/>
        <w:jc w:val="center"/>
        <w:rPr>
          <w:rFonts w:hint="eastAsia" w:ascii="微软雅黑" w:hAnsi="微软雅黑" w:eastAsia="微软雅黑" w:cs="微软雅黑"/>
          <w:b/>
          <w:bCs/>
          <w:spacing w:val="21"/>
          <w:kern w:val="0"/>
          <w:sz w:val="32"/>
          <w:szCs w:val="32"/>
          <w:highlight w:val="none"/>
        </w:rPr>
      </w:pPr>
      <w:r>
        <w:rPr>
          <w:rFonts w:hint="eastAsia" w:ascii="微软雅黑" w:hAnsi="微软雅黑" w:eastAsia="微软雅黑" w:cs="微软雅黑"/>
          <w:b/>
          <w:bCs/>
          <w:spacing w:val="21"/>
          <w:kern w:val="0"/>
          <w:sz w:val="32"/>
          <w:szCs w:val="32"/>
          <w:highlight w:val="none"/>
        </w:rPr>
        <w:t>证书一览表</w:t>
      </w:r>
    </w:p>
    <w:p>
      <w:pPr>
        <w:pStyle w:val="51"/>
        <w:spacing w:line="360" w:lineRule="auto"/>
        <w:jc w:val="center"/>
        <w:rPr>
          <w:rFonts w:hint="eastAsia" w:ascii="微软雅黑" w:hAnsi="微软雅黑" w:eastAsia="微软雅黑" w:cs="微软雅黑"/>
          <w:sz w:val="28"/>
          <w:szCs w:val="28"/>
          <w:highlight w:val="none"/>
        </w:rPr>
      </w:pPr>
    </w:p>
    <w:tbl>
      <w:tblPr>
        <w:tblStyle w:val="2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51"/>
              <w:spacing w:line="360" w:lineRule="auto"/>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证书名称</w:t>
            </w:r>
          </w:p>
        </w:tc>
        <w:tc>
          <w:tcPr>
            <w:tcW w:w="2258" w:type="dxa"/>
            <w:tcBorders>
              <w:top w:val="double" w:color="auto" w:sz="4" w:space="0"/>
            </w:tcBorders>
          </w:tcPr>
          <w:p>
            <w:pPr>
              <w:pStyle w:val="51"/>
              <w:spacing w:line="360" w:lineRule="auto"/>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发证单位</w:t>
            </w:r>
          </w:p>
        </w:tc>
        <w:tc>
          <w:tcPr>
            <w:tcW w:w="2260" w:type="dxa"/>
            <w:tcBorders>
              <w:top w:val="double" w:color="auto" w:sz="4" w:space="0"/>
            </w:tcBorders>
          </w:tcPr>
          <w:p>
            <w:pPr>
              <w:pStyle w:val="51"/>
              <w:spacing w:line="360" w:lineRule="auto"/>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证书等级</w:t>
            </w:r>
          </w:p>
        </w:tc>
        <w:tc>
          <w:tcPr>
            <w:tcW w:w="2047" w:type="dxa"/>
            <w:tcBorders>
              <w:top w:val="double" w:color="auto" w:sz="4" w:space="0"/>
              <w:right w:val="single" w:color="auto" w:sz="4" w:space="0"/>
            </w:tcBorders>
          </w:tcPr>
          <w:p>
            <w:pPr>
              <w:pStyle w:val="51"/>
              <w:spacing w:line="360" w:lineRule="auto"/>
              <w:jc w:val="center"/>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Pr>
          <w:p>
            <w:pPr>
              <w:pStyle w:val="51"/>
              <w:spacing w:line="360" w:lineRule="auto"/>
              <w:jc w:val="center"/>
              <w:rPr>
                <w:rFonts w:hint="eastAsia" w:ascii="微软雅黑" w:hAnsi="微软雅黑" w:eastAsia="微软雅黑" w:cs="微软雅黑"/>
                <w:highlight w:val="none"/>
              </w:rPr>
            </w:pPr>
          </w:p>
        </w:tc>
        <w:tc>
          <w:tcPr>
            <w:tcW w:w="2260" w:type="dxa"/>
          </w:tcPr>
          <w:p>
            <w:pPr>
              <w:pStyle w:val="51"/>
              <w:spacing w:line="360" w:lineRule="auto"/>
              <w:jc w:val="center"/>
              <w:rPr>
                <w:rFonts w:hint="eastAsia" w:ascii="微软雅黑" w:hAnsi="微软雅黑" w:eastAsia="微软雅黑" w:cs="微软雅黑"/>
                <w:highlight w:val="none"/>
              </w:rPr>
            </w:pPr>
          </w:p>
        </w:tc>
        <w:tc>
          <w:tcPr>
            <w:tcW w:w="2047" w:type="dxa"/>
            <w:tcBorders>
              <w:right w:val="single" w:color="auto" w:sz="4" w:space="0"/>
            </w:tcBorders>
          </w:tcPr>
          <w:p>
            <w:pPr>
              <w:pStyle w:val="51"/>
              <w:spacing w:line="360" w:lineRule="auto"/>
              <w:jc w:val="center"/>
              <w:rPr>
                <w:rFonts w:hint="eastAsia" w:ascii="微软雅黑" w:hAnsi="微软雅黑" w:eastAsia="微软雅黑" w:cs="微软雅黑"/>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51"/>
              <w:spacing w:line="360" w:lineRule="auto"/>
              <w:jc w:val="center"/>
              <w:rPr>
                <w:rFonts w:hint="eastAsia" w:ascii="微软雅黑" w:hAnsi="微软雅黑" w:eastAsia="微软雅黑" w:cs="微软雅黑"/>
                <w:highlight w:val="none"/>
              </w:rPr>
            </w:pPr>
          </w:p>
        </w:tc>
        <w:tc>
          <w:tcPr>
            <w:tcW w:w="2258" w:type="dxa"/>
            <w:tcBorders>
              <w:bottom w:val="double" w:color="auto" w:sz="4" w:space="0"/>
            </w:tcBorders>
          </w:tcPr>
          <w:p>
            <w:pPr>
              <w:pStyle w:val="51"/>
              <w:spacing w:line="360" w:lineRule="auto"/>
              <w:jc w:val="center"/>
              <w:rPr>
                <w:rFonts w:hint="eastAsia" w:ascii="微软雅黑" w:hAnsi="微软雅黑" w:eastAsia="微软雅黑" w:cs="微软雅黑"/>
                <w:highlight w:val="none"/>
              </w:rPr>
            </w:pPr>
          </w:p>
        </w:tc>
        <w:tc>
          <w:tcPr>
            <w:tcW w:w="2260" w:type="dxa"/>
            <w:tcBorders>
              <w:bottom w:val="double" w:color="auto" w:sz="4" w:space="0"/>
            </w:tcBorders>
          </w:tcPr>
          <w:p>
            <w:pPr>
              <w:pStyle w:val="51"/>
              <w:spacing w:line="360" w:lineRule="auto"/>
              <w:jc w:val="center"/>
              <w:rPr>
                <w:rFonts w:hint="eastAsia" w:ascii="微软雅黑" w:hAnsi="微软雅黑" w:eastAsia="微软雅黑" w:cs="微软雅黑"/>
                <w:highlight w:val="none"/>
              </w:rPr>
            </w:pPr>
          </w:p>
        </w:tc>
        <w:tc>
          <w:tcPr>
            <w:tcW w:w="2047" w:type="dxa"/>
            <w:tcBorders>
              <w:bottom w:val="double" w:color="auto" w:sz="4" w:space="0"/>
              <w:right w:val="single" w:color="auto" w:sz="4" w:space="0"/>
            </w:tcBorders>
          </w:tcPr>
          <w:p>
            <w:pPr>
              <w:pStyle w:val="51"/>
              <w:spacing w:line="360" w:lineRule="auto"/>
              <w:jc w:val="center"/>
              <w:rPr>
                <w:rFonts w:hint="eastAsia" w:ascii="微软雅黑" w:hAnsi="微软雅黑" w:eastAsia="微软雅黑" w:cs="微软雅黑"/>
                <w:highlight w:val="none"/>
              </w:rPr>
            </w:pPr>
          </w:p>
        </w:tc>
      </w:tr>
    </w:tbl>
    <w:p>
      <w:pPr>
        <w:pStyle w:val="51"/>
        <w:tabs>
          <w:tab w:val="left" w:pos="1050"/>
        </w:tabs>
        <w:spacing w:line="360" w:lineRule="auto"/>
        <w:rPr>
          <w:rFonts w:hint="eastAsia" w:ascii="微软雅黑" w:hAnsi="微软雅黑" w:eastAsia="微软雅黑" w:cs="微软雅黑"/>
          <w:sz w:val="24"/>
          <w:szCs w:val="24"/>
          <w:highlight w:val="none"/>
        </w:rPr>
      </w:pPr>
    </w:p>
    <w:p>
      <w:pPr>
        <w:pStyle w:val="51"/>
        <w:tabs>
          <w:tab w:val="left" w:pos="1050"/>
        </w:tabs>
        <w:spacing w:line="360" w:lineRule="auto"/>
        <w:rPr>
          <w:rFonts w:hint="eastAsia" w:ascii="微软雅黑" w:hAnsi="微软雅黑" w:eastAsia="微软雅黑" w:cs="微软雅黑"/>
          <w:highlight w:val="none"/>
        </w:rPr>
      </w:pPr>
      <w:r>
        <w:rPr>
          <w:rFonts w:hint="eastAsia" w:ascii="微软雅黑" w:hAnsi="微软雅黑" w:eastAsia="微软雅黑" w:cs="微软雅黑"/>
          <w:b/>
          <w:bCs/>
          <w:highlight w:val="none"/>
        </w:rPr>
        <w:t>要求：</w:t>
      </w:r>
    </w:p>
    <w:p>
      <w:pPr>
        <w:pStyle w:val="51"/>
        <w:tabs>
          <w:tab w:val="left" w:pos="1050"/>
        </w:tabs>
        <w:spacing w:line="360" w:lineRule="auto"/>
        <w:ind w:firstLine="424" w:firstLineChars="202"/>
        <w:rPr>
          <w:rFonts w:hint="eastAsia" w:ascii="微软雅黑" w:hAnsi="微软雅黑" w:eastAsia="微软雅黑" w:cs="微软雅黑"/>
          <w:highlight w:val="none"/>
        </w:rPr>
      </w:pPr>
      <w:r>
        <w:rPr>
          <w:rFonts w:hint="eastAsia" w:ascii="微软雅黑" w:hAnsi="微软雅黑" w:eastAsia="微软雅黑" w:cs="微软雅黑"/>
          <w:highlight w:val="none"/>
        </w:rPr>
        <w:t>1.填写投标人获得资质、认证或企业信誉证书；</w:t>
      </w:r>
    </w:p>
    <w:p>
      <w:pPr>
        <w:pStyle w:val="51"/>
        <w:tabs>
          <w:tab w:val="left" w:pos="1050"/>
        </w:tabs>
        <w:spacing w:line="360" w:lineRule="auto"/>
        <w:ind w:firstLine="424" w:firstLineChars="202"/>
        <w:rPr>
          <w:rFonts w:hint="eastAsia" w:ascii="微软雅黑" w:hAnsi="微软雅黑" w:eastAsia="微软雅黑" w:cs="微软雅黑"/>
          <w:highlight w:val="none"/>
        </w:rPr>
      </w:pPr>
      <w:r>
        <w:rPr>
          <w:rFonts w:hint="eastAsia" w:ascii="微软雅黑" w:hAnsi="微软雅黑" w:eastAsia="微软雅黑" w:cs="微软雅黑"/>
          <w:highlight w:val="none"/>
        </w:rPr>
        <w:t>2.附所列证书复印件或其他证明材料。</w:t>
      </w:r>
    </w:p>
    <w:p>
      <w:pPr>
        <w:pStyle w:val="51"/>
        <w:tabs>
          <w:tab w:val="left" w:pos="1050"/>
        </w:tabs>
        <w:spacing w:line="360" w:lineRule="auto"/>
        <w:ind w:firstLine="720" w:firstLineChars="300"/>
        <w:rPr>
          <w:rFonts w:hint="eastAsia" w:ascii="微软雅黑" w:hAnsi="微软雅黑" w:eastAsia="微软雅黑" w:cs="微软雅黑"/>
          <w:sz w:val="24"/>
          <w:szCs w:val="24"/>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spacing w:val="11"/>
          <w:highlight w:val="none"/>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spacing w:line="360" w:lineRule="auto"/>
        <w:rPr>
          <w:rFonts w:hint="eastAsia" w:ascii="微软雅黑" w:hAnsi="微软雅黑" w:eastAsia="微软雅黑" w:cs="微软雅黑"/>
          <w:b/>
          <w:bCs/>
          <w:sz w:val="28"/>
          <w:szCs w:val="28"/>
          <w:highlight w:val="none"/>
        </w:rPr>
      </w:pPr>
    </w:p>
    <w:p>
      <w:pPr>
        <w:spacing w:line="360" w:lineRule="auto"/>
        <w:rPr>
          <w:rFonts w:hint="eastAsia" w:ascii="微软雅黑" w:hAnsi="微软雅黑" w:eastAsia="微软雅黑" w:cs="微软雅黑"/>
          <w:b/>
          <w:bCs/>
          <w:sz w:val="28"/>
          <w:szCs w:val="28"/>
          <w:highlight w:val="none"/>
        </w:rPr>
      </w:pPr>
    </w:p>
    <w:p>
      <w:pPr>
        <w:widowControl/>
        <w:jc w:val="left"/>
        <w:rPr>
          <w:rFonts w:hint="eastAsia" w:ascii="微软雅黑" w:hAnsi="微软雅黑" w:eastAsia="微软雅黑" w:cs="微软雅黑"/>
          <w:b/>
          <w:bCs/>
          <w:sz w:val="28"/>
          <w:szCs w:val="28"/>
          <w:highlight w:val="none"/>
        </w:rPr>
      </w:pPr>
    </w:p>
    <w:p>
      <w:pPr>
        <w:widowControl/>
        <w:jc w:val="left"/>
        <w:rPr>
          <w:rFonts w:hint="eastAsia" w:ascii="微软雅黑" w:hAnsi="微软雅黑" w:eastAsia="微软雅黑" w:cs="微软雅黑"/>
          <w:b/>
          <w:bCs/>
          <w:sz w:val="28"/>
          <w:szCs w:val="28"/>
          <w:highlight w:val="none"/>
          <w:lang w:eastAsia="zh-CN"/>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8"/>
          <w:szCs w:val="28"/>
          <w:highlight w:val="none"/>
        </w:rPr>
        <w:t>附件1</w:t>
      </w:r>
      <w:r>
        <w:rPr>
          <w:rFonts w:hint="eastAsia" w:ascii="微软雅黑" w:hAnsi="微软雅黑" w:eastAsia="微软雅黑" w:cs="微软雅黑"/>
          <w:b/>
          <w:bCs/>
          <w:sz w:val="28"/>
          <w:szCs w:val="28"/>
          <w:highlight w:val="none"/>
          <w:lang w:val="en-US" w:eastAsia="zh-CN"/>
        </w:rPr>
        <w:t>0</w:t>
      </w:r>
    </w:p>
    <w:p>
      <w:pPr>
        <w:pStyle w:val="50"/>
        <w:spacing w:line="360" w:lineRule="auto"/>
        <w:jc w:val="center"/>
        <w:rPr>
          <w:rFonts w:hint="eastAsia" w:ascii="微软雅黑" w:hAnsi="微软雅黑" w:eastAsia="微软雅黑" w:cs="微软雅黑"/>
          <w:b/>
          <w:bCs/>
          <w:spacing w:val="21"/>
          <w:kern w:val="0"/>
          <w:sz w:val="32"/>
          <w:szCs w:val="32"/>
          <w:highlight w:val="none"/>
        </w:rPr>
      </w:pPr>
      <w:r>
        <w:rPr>
          <w:rFonts w:hint="eastAsia" w:ascii="微软雅黑" w:hAnsi="微软雅黑" w:eastAsia="微软雅黑" w:cs="微软雅黑"/>
          <w:b/>
          <w:bCs/>
          <w:spacing w:val="21"/>
          <w:kern w:val="0"/>
          <w:sz w:val="32"/>
          <w:szCs w:val="32"/>
          <w:highlight w:val="none"/>
        </w:rPr>
        <w:t>投标人类似项目实施情况一览表</w:t>
      </w:r>
    </w:p>
    <w:tbl>
      <w:tblPr>
        <w:tblStyle w:val="23"/>
        <w:tblW w:w="97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7"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highlight w:val="none"/>
              </w:rPr>
            </w:pPr>
            <w:r>
              <w:rPr>
                <w:rFonts w:hint="eastAsia" w:ascii="微软雅黑" w:hAnsi="微软雅黑" w:eastAsia="微软雅黑" w:cs="微软雅黑"/>
                <w:b/>
                <w:bCs/>
                <w:sz w:val="21"/>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8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360" w:lineRule="auto"/>
              <w:rPr>
                <w:rFonts w:hint="eastAsia" w:ascii="微软雅黑" w:hAnsi="微软雅黑" w:eastAsia="微软雅黑" w:cs="微软雅黑"/>
                <w:sz w:val="24"/>
                <w:szCs w:val="24"/>
                <w:highlight w:val="none"/>
              </w:rPr>
            </w:pPr>
          </w:p>
        </w:tc>
      </w:tr>
    </w:tbl>
    <w:p>
      <w:pPr>
        <w:autoSpaceDE w:val="0"/>
        <w:autoSpaceDN w:val="0"/>
        <w:adjustRightInd w:val="0"/>
        <w:spacing w:beforeLines="50" w:line="360" w:lineRule="auto"/>
        <w:rPr>
          <w:rFonts w:hint="eastAsia" w:ascii="微软雅黑" w:hAnsi="微软雅黑" w:eastAsia="微软雅黑" w:cs="微软雅黑"/>
          <w:b/>
          <w:bCs/>
          <w:highlight w:val="none"/>
        </w:rPr>
      </w:pPr>
      <w:r>
        <w:rPr>
          <w:rFonts w:hint="eastAsia" w:ascii="微软雅黑" w:hAnsi="微软雅黑" w:eastAsia="微软雅黑" w:cs="微软雅黑"/>
          <w:b/>
          <w:bCs/>
          <w:highlight w:val="none"/>
        </w:rPr>
        <w:t>要求：</w:t>
      </w:r>
    </w:p>
    <w:p>
      <w:pPr>
        <w:autoSpaceDE w:val="0"/>
        <w:autoSpaceDN w:val="0"/>
        <w:adjustRightInd w:val="0"/>
        <w:spacing w:beforeLines="50" w:line="360" w:lineRule="auto"/>
        <w:ind w:firstLine="424" w:firstLineChars="202"/>
        <w:rPr>
          <w:rFonts w:hint="eastAsia" w:ascii="微软雅黑" w:hAnsi="微软雅黑" w:eastAsia="微软雅黑" w:cs="微软雅黑"/>
          <w:b/>
          <w:bCs/>
          <w:highlight w:val="none"/>
        </w:rPr>
      </w:pPr>
      <w:r>
        <w:rPr>
          <w:rFonts w:hint="eastAsia" w:ascii="微软雅黑" w:hAnsi="微软雅黑" w:eastAsia="微软雅黑" w:cs="微软雅黑"/>
          <w:highlight w:val="none"/>
        </w:rPr>
        <w:t>1.业绩证明应提供证明材料（根据招标要求填写）；</w:t>
      </w:r>
    </w:p>
    <w:p>
      <w:pPr>
        <w:spacing w:line="360" w:lineRule="auto"/>
        <w:ind w:firstLine="424" w:firstLineChars="202"/>
        <w:jc w:val="left"/>
        <w:rPr>
          <w:rFonts w:hint="eastAsia" w:ascii="微软雅黑" w:hAnsi="微软雅黑" w:eastAsia="微软雅黑" w:cs="微软雅黑"/>
          <w:highlight w:val="none"/>
        </w:rPr>
      </w:pPr>
      <w:r>
        <w:rPr>
          <w:rFonts w:hint="eastAsia" w:ascii="微软雅黑" w:hAnsi="微软雅黑" w:eastAsia="微软雅黑" w:cs="微软雅黑"/>
          <w:highlight w:val="none"/>
        </w:rPr>
        <w:t>2.报价供应商可按此表格式复制。</w:t>
      </w:r>
    </w:p>
    <w:p>
      <w:pPr>
        <w:spacing w:line="360" w:lineRule="auto"/>
        <w:rPr>
          <w:rFonts w:hint="eastAsia" w:ascii="微软雅黑" w:hAnsi="微软雅黑" w:eastAsia="微软雅黑" w:cs="微软雅黑"/>
          <w:sz w:val="22"/>
          <w:szCs w:val="22"/>
          <w:highlight w:val="none"/>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spacing w:val="11"/>
          <w:highlight w:val="none"/>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jc w:val="center"/>
        <w:rPr>
          <w:rFonts w:hint="eastAsia" w:ascii="微软雅黑" w:hAnsi="微软雅黑" w:eastAsia="微软雅黑" w:cs="微软雅黑"/>
          <w:snapToGrid w:val="0"/>
          <w:kern w:val="0"/>
          <w:sz w:val="24"/>
          <w:szCs w:val="24"/>
          <w:highlight w:val="none"/>
        </w:rPr>
      </w:pPr>
    </w:p>
    <w:p>
      <w:pPr>
        <w:spacing w:line="360" w:lineRule="auto"/>
        <w:ind w:right="-110"/>
        <w:jc w:val="left"/>
        <w:rPr>
          <w:rFonts w:hint="eastAsia" w:ascii="微软雅黑" w:hAnsi="微软雅黑" w:eastAsia="微软雅黑" w:cs="微软雅黑"/>
          <w:b/>
          <w:bCs/>
          <w:sz w:val="28"/>
          <w:szCs w:val="28"/>
          <w:highlight w:val="none"/>
        </w:rPr>
      </w:pPr>
    </w:p>
    <w:p>
      <w:pPr>
        <w:rPr>
          <w:rFonts w:hint="default" w:ascii="微软雅黑" w:hAnsi="微软雅黑" w:eastAsia="微软雅黑" w:cs="微软雅黑"/>
          <w:b/>
          <w:bCs/>
          <w:spacing w:val="11"/>
          <w:highlight w:val="none"/>
          <w:lang w:val="en-US" w:eastAsia="zh-CN"/>
        </w:rPr>
      </w:pPr>
      <w:r>
        <w:rPr>
          <w:rFonts w:hint="eastAsia" w:ascii="微软雅黑" w:hAnsi="微软雅黑" w:eastAsia="微软雅黑" w:cs="微软雅黑"/>
          <w:color w:val="000000"/>
          <w:kern w:val="0"/>
          <w:sz w:val="24"/>
          <w:szCs w:val="20"/>
          <w:highlight w:val="none"/>
          <w:lang w:val="en-US" w:eastAsia="zh-CN" w:bidi="ar"/>
        </w:rPr>
        <w:t xml:space="preserve">             </w:t>
      </w:r>
    </w:p>
    <w:p>
      <w:pPr>
        <w:snapToGrid w:val="0"/>
        <w:spacing w:line="440" w:lineRule="exact"/>
        <w:ind w:firstLine="840" w:firstLineChars="300"/>
        <w:rPr>
          <w:rFonts w:hint="default" w:ascii="微软雅黑" w:hAnsi="微软雅黑" w:eastAsia="微软雅黑" w:cs="微软雅黑"/>
          <w:sz w:val="24"/>
          <w:szCs w:val="24"/>
          <w:highlight w:val="none"/>
          <w:lang w:val="en-US" w:eastAsia="zh-CN"/>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bCs/>
          <w:sz w:val="28"/>
          <w:szCs w:val="28"/>
          <w:highlight w:val="none"/>
        </w:rPr>
        <w:t>附件</w:t>
      </w:r>
      <w:r>
        <w:rPr>
          <w:rFonts w:hint="eastAsia" w:ascii="微软雅黑" w:hAnsi="微软雅黑" w:eastAsia="微软雅黑" w:cs="微软雅黑"/>
          <w:b/>
          <w:bCs/>
          <w:sz w:val="28"/>
          <w:szCs w:val="28"/>
          <w:highlight w:val="none"/>
          <w:lang w:val="en-US" w:eastAsia="zh-CN"/>
        </w:rPr>
        <w:t>11</w:t>
      </w:r>
    </w:p>
    <w:p>
      <w:pPr>
        <w:keepNext w:val="0"/>
        <w:keepLines w:val="0"/>
        <w:pageBreakBefore w:val="0"/>
        <w:kinsoku/>
        <w:wordWrap/>
        <w:overflowPunct/>
        <w:topLinePunct w:val="0"/>
        <w:autoSpaceDE/>
        <w:autoSpaceDN/>
        <w:bidi w:val="0"/>
        <w:adjustRightInd/>
        <w:snapToGrid/>
        <w:spacing w:afterAutospacing="0" w:line="360" w:lineRule="auto"/>
        <w:ind w:right="-110" w:firstLine="1200" w:firstLineChars="500"/>
        <w:jc w:val="both"/>
        <w:textAlignment w:val="auto"/>
        <w:rPr>
          <w:rFonts w:hint="eastAsia" w:ascii="微软雅黑" w:hAnsi="微软雅黑" w:eastAsia="微软雅黑" w:cs="微软雅黑"/>
          <w:spacing w:val="40"/>
          <w:sz w:val="52"/>
          <w:szCs w:val="52"/>
          <w:highlight w:val="none"/>
        </w:rPr>
      </w:pP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pacing w:val="40"/>
          <w:sz w:val="52"/>
          <w:szCs w:val="52"/>
          <w:highlight w:val="none"/>
        </w:rPr>
        <w:t>项目名称</w:t>
      </w:r>
    </w:p>
    <w:p>
      <w:pPr>
        <w:keepNext w:val="0"/>
        <w:keepLines w:val="0"/>
        <w:pageBreakBefore w:val="0"/>
        <w:kinsoku/>
        <w:wordWrap/>
        <w:overflowPunct/>
        <w:topLinePunct w:val="0"/>
        <w:autoSpaceDE/>
        <w:autoSpaceDN/>
        <w:bidi w:val="0"/>
        <w:adjustRightInd/>
        <w:snapToGrid/>
        <w:spacing w:afterAutospacing="0" w:line="360" w:lineRule="auto"/>
        <w:ind w:right="-108"/>
        <w:jc w:val="center"/>
        <w:textAlignment w:val="auto"/>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项目编号：</w:t>
      </w:r>
    </w:p>
    <w:p>
      <w:pPr>
        <w:keepNext w:val="0"/>
        <w:keepLines w:val="0"/>
        <w:pageBreakBefore w:val="0"/>
        <w:kinsoku/>
        <w:wordWrap/>
        <w:overflowPunct/>
        <w:topLinePunct w:val="0"/>
        <w:autoSpaceDE/>
        <w:autoSpaceDN/>
        <w:bidi w:val="0"/>
        <w:adjustRightInd/>
        <w:snapToGrid/>
        <w:spacing w:afterAutospacing="0" w:line="240" w:lineRule="auto"/>
        <w:ind w:right="-108"/>
        <w:jc w:val="center"/>
        <w:textAlignment w:val="auto"/>
        <w:rPr>
          <w:rFonts w:hint="eastAsia" w:ascii="微软雅黑" w:hAnsi="微软雅黑" w:eastAsia="微软雅黑" w:cs="微软雅黑"/>
          <w:b/>
          <w:bCs/>
          <w:spacing w:val="40"/>
          <w:sz w:val="72"/>
          <w:szCs w:val="72"/>
          <w:highlight w:val="none"/>
        </w:rPr>
      </w:pPr>
      <w:r>
        <w:rPr>
          <w:rFonts w:hint="eastAsia" w:ascii="微软雅黑" w:hAnsi="微软雅黑" w:eastAsia="微软雅黑" w:cs="微软雅黑"/>
          <w:b/>
          <w:bCs/>
          <w:spacing w:val="40"/>
          <w:sz w:val="72"/>
          <w:szCs w:val="72"/>
          <w:highlight w:val="none"/>
        </w:rPr>
        <w:t>报</w:t>
      </w:r>
    </w:p>
    <w:p>
      <w:pPr>
        <w:keepNext w:val="0"/>
        <w:keepLines w:val="0"/>
        <w:pageBreakBefore w:val="0"/>
        <w:kinsoku/>
        <w:wordWrap/>
        <w:overflowPunct/>
        <w:topLinePunct w:val="0"/>
        <w:autoSpaceDE/>
        <w:autoSpaceDN/>
        <w:bidi w:val="0"/>
        <w:adjustRightInd/>
        <w:snapToGrid/>
        <w:spacing w:afterAutospacing="0" w:line="240" w:lineRule="auto"/>
        <w:ind w:right="-108"/>
        <w:jc w:val="center"/>
        <w:textAlignment w:val="auto"/>
        <w:rPr>
          <w:rFonts w:hint="eastAsia" w:ascii="微软雅黑" w:hAnsi="微软雅黑" w:eastAsia="微软雅黑" w:cs="微软雅黑"/>
          <w:b/>
          <w:bCs/>
          <w:spacing w:val="40"/>
          <w:sz w:val="72"/>
          <w:szCs w:val="72"/>
          <w:highlight w:val="none"/>
        </w:rPr>
      </w:pPr>
      <w:r>
        <w:rPr>
          <w:rFonts w:hint="eastAsia" w:ascii="微软雅黑" w:hAnsi="微软雅黑" w:eastAsia="微软雅黑" w:cs="微软雅黑"/>
          <w:b/>
          <w:bCs/>
          <w:spacing w:val="40"/>
          <w:sz w:val="72"/>
          <w:szCs w:val="72"/>
          <w:highlight w:val="none"/>
        </w:rPr>
        <w:t>价</w:t>
      </w:r>
    </w:p>
    <w:p>
      <w:pPr>
        <w:spacing w:after="100" w:afterAutospacing="1" w:line="240" w:lineRule="auto"/>
        <w:ind w:right="-108"/>
        <w:jc w:val="center"/>
        <w:rPr>
          <w:rFonts w:hint="eastAsia" w:ascii="微软雅黑" w:hAnsi="微软雅黑" w:eastAsia="微软雅黑" w:cs="微软雅黑"/>
          <w:b/>
          <w:bCs/>
          <w:spacing w:val="40"/>
          <w:sz w:val="72"/>
          <w:szCs w:val="72"/>
          <w:highlight w:val="none"/>
        </w:rPr>
      </w:pPr>
      <w:r>
        <w:rPr>
          <w:rFonts w:hint="eastAsia" w:ascii="微软雅黑" w:hAnsi="微软雅黑" w:eastAsia="微软雅黑" w:cs="微软雅黑"/>
          <w:b/>
          <w:bCs/>
          <w:spacing w:val="40"/>
          <w:sz w:val="72"/>
          <w:szCs w:val="72"/>
          <w:highlight w:val="none"/>
        </w:rPr>
        <w:t>文</w:t>
      </w:r>
    </w:p>
    <w:p>
      <w:pPr>
        <w:spacing w:after="100" w:afterAutospacing="1" w:line="240" w:lineRule="auto"/>
        <w:ind w:right="-108"/>
        <w:jc w:val="center"/>
        <w:rPr>
          <w:rFonts w:hint="eastAsia" w:ascii="微软雅黑" w:hAnsi="微软雅黑" w:eastAsia="微软雅黑" w:cs="微软雅黑"/>
          <w:b/>
          <w:bCs/>
          <w:spacing w:val="40"/>
          <w:sz w:val="84"/>
          <w:szCs w:val="84"/>
          <w:highlight w:val="none"/>
        </w:rPr>
      </w:pPr>
      <w:r>
        <w:rPr>
          <w:rFonts w:hint="eastAsia" w:ascii="微软雅黑" w:hAnsi="微软雅黑" w:eastAsia="微软雅黑" w:cs="微软雅黑"/>
          <w:b/>
          <w:bCs/>
          <w:spacing w:val="40"/>
          <w:sz w:val="72"/>
          <w:szCs w:val="72"/>
          <w:highlight w:val="none"/>
        </w:rPr>
        <w:t>件</w:t>
      </w:r>
    </w:p>
    <w:p>
      <w:pPr>
        <w:spacing w:line="360" w:lineRule="auto"/>
        <w:ind w:right="532"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投标人名称（盖</w:t>
      </w:r>
      <w:r>
        <w:rPr>
          <w:rFonts w:hint="eastAsia" w:ascii="微软雅黑" w:hAnsi="微软雅黑" w:eastAsia="微软雅黑" w:cs="微软雅黑"/>
          <w:sz w:val="36"/>
          <w:szCs w:val="36"/>
          <w:highlight w:val="none"/>
          <w:lang w:val="en-US" w:eastAsia="zh-CN"/>
        </w:rPr>
        <w:t>公</w:t>
      </w:r>
      <w:r>
        <w:rPr>
          <w:rFonts w:hint="eastAsia" w:ascii="微软雅黑" w:hAnsi="微软雅黑" w:eastAsia="微软雅黑" w:cs="微软雅黑"/>
          <w:sz w:val="36"/>
          <w:szCs w:val="36"/>
          <w:highlight w:val="none"/>
        </w:rPr>
        <w:t>章）：</w:t>
      </w:r>
    </w:p>
    <w:p>
      <w:pPr>
        <w:spacing w:line="360" w:lineRule="auto"/>
        <w:ind w:right="-108"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地    址：</w:t>
      </w:r>
    </w:p>
    <w:p>
      <w:pPr>
        <w:spacing w:line="360" w:lineRule="auto"/>
        <w:ind w:right="-108" w:firstLine="720" w:firstLineChars="200"/>
        <w:rPr>
          <w:rFonts w:hint="eastAsia" w:ascii="微软雅黑" w:hAnsi="微软雅黑" w:eastAsia="微软雅黑" w:cs="微软雅黑"/>
          <w:sz w:val="36"/>
          <w:szCs w:val="36"/>
          <w:highlight w:val="none"/>
        </w:rPr>
      </w:pPr>
      <w:r>
        <w:rPr>
          <w:rFonts w:hint="eastAsia" w:ascii="微软雅黑" w:hAnsi="微软雅黑" w:eastAsia="微软雅黑" w:cs="微软雅黑"/>
          <w:sz w:val="36"/>
          <w:szCs w:val="36"/>
          <w:highlight w:val="none"/>
        </w:rPr>
        <w:t>时    间：</w:t>
      </w:r>
    </w:p>
    <w:p>
      <w:pPr>
        <w:rPr>
          <w:rFonts w:hint="eastAsia" w:ascii="微软雅黑" w:hAnsi="微软雅黑" w:eastAsia="微软雅黑" w:cs="微软雅黑"/>
          <w:b/>
          <w:bCs/>
          <w:sz w:val="32"/>
          <w:szCs w:val="32"/>
          <w:highlight w:val="none"/>
          <w:lang w:val="zh-CN"/>
        </w:rPr>
      </w:pPr>
      <w:r>
        <w:rPr>
          <w:rFonts w:hint="eastAsia" w:ascii="微软雅黑" w:hAnsi="微软雅黑" w:eastAsia="微软雅黑" w:cs="微软雅黑"/>
          <w:b/>
          <w:bCs/>
          <w:sz w:val="32"/>
          <w:szCs w:val="32"/>
          <w:highlight w:val="none"/>
          <w:lang w:val="zh-CN"/>
        </w:rPr>
        <w:br w:type="page"/>
      </w:r>
    </w:p>
    <w:p>
      <w:pPr>
        <w:spacing w:line="360" w:lineRule="auto"/>
        <w:ind w:right="-108"/>
        <w:jc w:val="center"/>
        <w:rPr>
          <w:rFonts w:hint="eastAsia" w:ascii="微软雅黑" w:hAnsi="微软雅黑" w:eastAsia="微软雅黑" w:cs="微软雅黑"/>
          <w:b/>
          <w:bCs/>
          <w:sz w:val="32"/>
          <w:szCs w:val="32"/>
          <w:highlight w:val="none"/>
          <w:lang w:val="zh-CN"/>
        </w:rPr>
      </w:pPr>
    </w:p>
    <w:p>
      <w:pPr>
        <w:spacing w:line="360" w:lineRule="auto"/>
        <w:ind w:right="-108"/>
        <w:jc w:val="center"/>
        <w:rPr>
          <w:rFonts w:hint="eastAsia" w:ascii="微软雅黑" w:hAnsi="微软雅黑" w:eastAsia="微软雅黑" w:cs="微软雅黑"/>
          <w:b/>
          <w:bCs/>
          <w:sz w:val="32"/>
          <w:szCs w:val="32"/>
          <w:highlight w:val="none"/>
          <w:lang w:val="zh-CN"/>
        </w:rPr>
      </w:pPr>
      <w:r>
        <w:rPr>
          <w:rFonts w:hint="eastAsia" w:ascii="微软雅黑" w:hAnsi="微软雅黑" w:eastAsia="微软雅黑" w:cs="微软雅黑"/>
          <w:b/>
          <w:bCs/>
          <w:sz w:val="32"/>
          <w:szCs w:val="32"/>
          <w:highlight w:val="none"/>
          <w:lang w:val="zh-CN"/>
        </w:rPr>
        <w:t>报价文件目录</w:t>
      </w:r>
    </w:p>
    <w:p>
      <w:pPr>
        <w:numPr>
          <w:ilvl w:val="0"/>
          <w:numId w:val="51"/>
        </w:numPr>
        <w:snapToGrid w:val="0"/>
        <w:spacing w:line="360" w:lineRule="auto"/>
        <w:jc w:val="left"/>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t>开标一览表；</w:t>
      </w:r>
    </w:p>
    <w:p>
      <w:pPr>
        <w:pStyle w:val="14"/>
        <w:snapToGrid w:val="0"/>
        <w:spacing w:line="360" w:lineRule="auto"/>
        <w:ind w:left="0" w:leftChars="0"/>
        <w:rPr>
          <w:rFonts w:hint="default" w:ascii="微软雅黑" w:hAnsi="微软雅黑" w:eastAsia="微软雅黑" w:cs="微软雅黑"/>
          <w:b/>
          <w:bCs/>
          <w:sz w:val="28"/>
          <w:szCs w:val="28"/>
          <w:highlight w:val="none"/>
          <w:lang w:val="en-US" w:eastAsia="zh-CN"/>
        </w:rPr>
      </w:pPr>
      <w:r>
        <w:rPr>
          <w:rFonts w:hint="eastAsia" w:ascii="微软雅黑" w:hAnsi="微软雅黑" w:eastAsia="微软雅黑" w:cs="微软雅黑"/>
          <w:b/>
          <w:bCs/>
          <w:sz w:val="28"/>
          <w:szCs w:val="28"/>
          <w:highlight w:val="none"/>
          <w:lang w:val="en-US" w:eastAsia="zh-CN"/>
        </w:rPr>
        <w:t>下列内容如有可提供：</w:t>
      </w:r>
    </w:p>
    <w:p>
      <w:pPr>
        <w:snapToGrid w:val="0"/>
        <w:spacing w:line="360" w:lineRule="auto"/>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lang w:val="en-US" w:eastAsia="zh-CN"/>
        </w:rPr>
        <w:t>2</w:t>
      </w:r>
      <w:r>
        <w:rPr>
          <w:rFonts w:hint="eastAsia" w:ascii="微软雅黑" w:hAnsi="微软雅黑" w:eastAsia="微软雅黑" w:cs="微软雅黑"/>
          <w:sz w:val="28"/>
          <w:szCs w:val="28"/>
          <w:highlight w:val="none"/>
        </w:rPr>
        <w:t>、针对报价投标人认为其他需要说明的；</w:t>
      </w:r>
    </w:p>
    <w:p>
      <w:pPr>
        <w:pStyle w:val="14"/>
        <w:snapToGrid w:val="0"/>
        <w:spacing w:line="360" w:lineRule="auto"/>
        <w:ind w:left="0" w:leftChars="0"/>
        <w:rPr>
          <w:rFonts w:hint="eastAsia" w:ascii="微软雅黑" w:hAnsi="微软雅黑" w:eastAsia="微软雅黑" w:cs="微软雅黑"/>
          <w:kern w:val="2"/>
          <w:sz w:val="28"/>
          <w:szCs w:val="28"/>
          <w:highlight w:val="none"/>
          <w:lang w:val="en-US" w:eastAsia="zh-CN" w:bidi="ar-SA"/>
        </w:rPr>
      </w:pPr>
      <w:r>
        <w:rPr>
          <w:rFonts w:hint="eastAsia" w:ascii="微软雅黑" w:hAnsi="微软雅黑" w:eastAsia="微软雅黑" w:cs="微软雅黑"/>
          <w:sz w:val="28"/>
          <w:szCs w:val="28"/>
          <w:highlight w:val="none"/>
          <w:lang w:val="en-US" w:eastAsia="zh-CN"/>
        </w:rPr>
        <w:t>3</w:t>
      </w:r>
      <w:r>
        <w:rPr>
          <w:rFonts w:hint="eastAsia" w:ascii="微软雅黑" w:hAnsi="微软雅黑" w:eastAsia="微软雅黑" w:cs="微软雅黑"/>
          <w:sz w:val="28"/>
          <w:szCs w:val="28"/>
          <w:highlight w:val="none"/>
        </w:rPr>
        <w:t>、</w:t>
      </w:r>
      <w:r>
        <w:rPr>
          <w:rFonts w:hint="eastAsia" w:ascii="微软雅黑" w:hAnsi="微软雅黑" w:eastAsia="微软雅黑" w:cs="微软雅黑"/>
          <w:sz w:val="28"/>
          <w:szCs w:val="28"/>
          <w:highlight w:val="none"/>
          <w:lang w:val="en-US" w:eastAsia="zh-CN"/>
        </w:rPr>
        <w:t>中小企业声明函</w:t>
      </w:r>
      <w:r>
        <w:rPr>
          <w:rFonts w:hint="eastAsia" w:ascii="微软雅黑" w:hAnsi="微软雅黑" w:eastAsia="微软雅黑" w:cs="微软雅黑"/>
          <w:kern w:val="2"/>
          <w:sz w:val="28"/>
          <w:szCs w:val="28"/>
          <w:highlight w:val="none"/>
          <w:lang w:val="en-US" w:eastAsia="zh-CN" w:bidi="ar-SA"/>
        </w:rPr>
        <w:t>；</w:t>
      </w:r>
    </w:p>
    <w:p>
      <w:pPr>
        <w:pStyle w:val="14"/>
        <w:snapToGrid w:val="0"/>
        <w:spacing w:line="360" w:lineRule="auto"/>
        <w:ind w:left="0" w:leftChars="0"/>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lang w:val="en-US" w:eastAsia="zh-CN"/>
        </w:rPr>
        <w:t>4</w:t>
      </w:r>
      <w:r>
        <w:rPr>
          <w:rFonts w:hint="eastAsia" w:ascii="微软雅黑" w:hAnsi="微软雅黑" w:eastAsia="微软雅黑" w:cs="微软雅黑"/>
          <w:sz w:val="28"/>
          <w:szCs w:val="28"/>
          <w:highlight w:val="none"/>
        </w:rPr>
        <w:t>、残疾人福利性单位声明函；</w:t>
      </w:r>
    </w:p>
    <w:p>
      <w:pPr>
        <w:pStyle w:val="14"/>
        <w:snapToGrid w:val="0"/>
        <w:spacing w:line="360" w:lineRule="auto"/>
        <w:ind w:left="0" w:leftChars="0"/>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lang w:val="en-US" w:eastAsia="zh-CN"/>
        </w:rPr>
        <w:t>5</w:t>
      </w:r>
      <w:r>
        <w:rPr>
          <w:rFonts w:hint="eastAsia" w:ascii="微软雅黑" w:hAnsi="微软雅黑" w:eastAsia="微软雅黑" w:cs="微软雅黑"/>
          <w:sz w:val="28"/>
          <w:szCs w:val="28"/>
          <w:highlight w:val="none"/>
        </w:rPr>
        <w:t>、省级以上监狱管理局、戒毒管理局（含新疆生产建设兵团）开具的属于监狱企业的证明文件。</w:t>
      </w:r>
    </w:p>
    <w:p>
      <w:pPr>
        <w:pStyle w:val="14"/>
        <w:snapToGrid w:val="0"/>
        <w:spacing w:line="360" w:lineRule="auto"/>
        <w:ind w:left="0" w:leftChars="0"/>
        <w:rPr>
          <w:rFonts w:hint="eastAsia" w:ascii="微软雅黑" w:hAnsi="微软雅黑" w:eastAsia="微软雅黑" w:cs="微软雅黑"/>
          <w:sz w:val="28"/>
          <w:szCs w:val="28"/>
          <w:highlight w:val="none"/>
        </w:rPr>
      </w:pPr>
    </w:p>
    <w:p>
      <w:pPr>
        <w:spacing w:line="360" w:lineRule="auto"/>
        <w:ind w:left="480"/>
        <w:rPr>
          <w:rFonts w:hint="eastAsia" w:ascii="微软雅黑" w:hAnsi="微软雅黑" w:eastAsia="微软雅黑" w:cs="微软雅黑"/>
          <w:b/>
          <w:bCs/>
          <w:sz w:val="28"/>
          <w:szCs w:val="28"/>
          <w:highlight w:val="none"/>
        </w:rPr>
      </w:pPr>
    </w:p>
    <w:p>
      <w:pPr>
        <w:spacing w:line="360" w:lineRule="auto"/>
        <w:ind w:left="480"/>
        <w:rPr>
          <w:rFonts w:hint="eastAsia" w:ascii="微软雅黑" w:hAnsi="微软雅黑" w:eastAsia="微软雅黑" w:cs="微软雅黑"/>
          <w:b/>
          <w:bCs/>
          <w:sz w:val="28"/>
          <w:szCs w:val="28"/>
          <w:highlight w:val="none"/>
        </w:rPr>
      </w:pPr>
    </w:p>
    <w:p>
      <w:pPr>
        <w:spacing w:line="360" w:lineRule="auto"/>
        <w:ind w:left="480"/>
        <w:rPr>
          <w:rFonts w:hint="eastAsia" w:ascii="微软雅黑" w:hAnsi="微软雅黑" w:eastAsia="微软雅黑" w:cs="微软雅黑"/>
          <w:b/>
          <w:bCs/>
          <w:sz w:val="28"/>
          <w:szCs w:val="28"/>
          <w:highlight w:val="none"/>
        </w:rPr>
      </w:pPr>
    </w:p>
    <w:p>
      <w:pPr>
        <w:spacing w:line="360" w:lineRule="auto"/>
        <w:ind w:left="480"/>
        <w:rPr>
          <w:rFonts w:hint="eastAsia" w:ascii="微软雅黑" w:hAnsi="微软雅黑" w:eastAsia="微软雅黑" w:cs="微软雅黑"/>
          <w:b/>
          <w:bCs/>
          <w:sz w:val="28"/>
          <w:szCs w:val="28"/>
          <w:highlight w:val="none"/>
        </w:rPr>
      </w:pPr>
    </w:p>
    <w:p>
      <w:pPr>
        <w:spacing w:line="360" w:lineRule="auto"/>
        <w:ind w:left="480"/>
        <w:rPr>
          <w:rFonts w:hint="eastAsia" w:ascii="微软雅黑" w:hAnsi="微软雅黑" w:eastAsia="微软雅黑" w:cs="微软雅黑"/>
          <w:b/>
          <w:bCs/>
          <w:sz w:val="28"/>
          <w:szCs w:val="28"/>
          <w:highlight w:val="none"/>
        </w:rPr>
      </w:pPr>
    </w:p>
    <w:p>
      <w:pPr>
        <w:widowControl/>
        <w:snapToGrid w:val="0"/>
        <w:spacing w:line="560" w:lineRule="exact"/>
        <w:jc w:val="both"/>
        <w:rPr>
          <w:rFonts w:hint="eastAsia" w:ascii="微软雅黑" w:hAnsi="微软雅黑" w:eastAsia="微软雅黑" w:cs="微软雅黑"/>
          <w:b/>
          <w:color w:val="000000"/>
          <w:kern w:val="0"/>
          <w:sz w:val="28"/>
          <w:szCs w:val="28"/>
          <w:highlight w:val="none"/>
          <w:lang w:bidi="ar"/>
        </w:rPr>
      </w:pPr>
      <w:r>
        <w:rPr>
          <w:rFonts w:hint="eastAsia" w:ascii="微软雅黑" w:hAnsi="微软雅黑" w:eastAsia="微软雅黑" w:cs="微软雅黑"/>
          <w:b/>
          <w:bCs/>
          <w:sz w:val="28"/>
          <w:szCs w:val="28"/>
          <w:highlight w:val="none"/>
        </w:rPr>
        <w:br w:type="page"/>
      </w:r>
      <w:r>
        <w:rPr>
          <w:rFonts w:hint="eastAsia" w:ascii="微软雅黑" w:hAnsi="微软雅黑" w:eastAsia="微软雅黑" w:cs="微软雅黑"/>
          <w:b/>
          <w:color w:val="000000"/>
          <w:kern w:val="0"/>
          <w:sz w:val="28"/>
          <w:szCs w:val="28"/>
          <w:highlight w:val="none"/>
          <w:lang w:bidi="ar"/>
        </w:rPr>
        <w:t>附件</w:t>
      </w:r>
      <w:r>
        <w:rPr>
          <w:rFonts w:hint="eastAsia" w:ascii="微软雅黑" w:hAnsi="微软雅黑" w:eastAsia="微软雅黑" w:cs="微软雅黑"/>
          <w:b/>
          <w:color w:val="000000"/>
          <w:kern w:val="0"/>
          <w:sz w:val="28"/>
          <w:szCs w:val="28"/>
          <w:highlight w:val="none"/>
          <w:lang w:val="en-US" w:eastAsia="zh-CN" w:bidi="ar"/>
        </w:rPr>
        <w:t>12</w:t>
      </w:r>
      <w:r>
        <w:rPr>
          <w:rFonts w:hint="eastAsia" w:ascii="微软雅黑" w:hAnsi="微软雅黑" w:eastAsia="微软雅黑" w:cs="微软雅黑"/>
          <w:b/>
          <w:color w:val="000000"/>
          <w:kern w:val="0"/>
          <w:sz w:val="28"/>
          <w:szCs w:val="28"/>
          <w:highlight w:val="none"/>
          <w:lang w:bidi="ar"/>
        </w:rPr>
        <w:t>：</w:t>
      </w:r>
    </w:p>
    <w:p>
      <w:pPr>
        <w:widowControl/>
        <w:snapToGrid w:val="0"/>
        <w:spacing w:line="560" w:lineRule="exact"/>
        <w:jc w:val="center"/>
        <w:rPr>
          <w:rFonts w:hint="eastAsia" w:ascii="微软雅黑" w:hAnsi="微软雅黑" w:eastAsia="微软雅黑" w:cs="微软雅黑"/>
          <w:b/>
          <w:color w:val="000000"/>
          <w:kern w:val="0"/>
          <w:sz w:val="32"/>
          <w:szCs w:val="32"/>
          <w:highlight w:val="none"/>
          <w:lang w:eastAsia="zh-CN" w:bidi="ar"/>
        </w:rPr>
      </w:pPr>
    </w:p>
    <w:p>
      <w:pPr>
        <w:widowControl/>
        <w:snapToGrid w:val="0"/>
        <w:spacing w:line="560" w:lineRule="exact"/>
        <w:jc w:val="center"/>
        <w:rPr>
          <w:rFonts w:hint="eastAsia" w:ascii="微软雅黑" w:hAnsi="微软雅黑" w:eastAsia="微软雅黑" w:cs="微软雅黑"/>
          <w:b/>
          <w:color w:val="000000"/>
          <w:kern w:val="0"/>
          <w:sz w:val="32"/>
          <w:szCs w:val="32"/>
          <w:highlight w:val="none"/>
          <w:lang w:eastAsia="zh-CN" w:bidi="ar"/>
        </w:rPr>
      </w:pPr>
      <w:r>
        <w:rPr>
          <w:rFonts w:hint="eastAsia" w:ascii="微软雅黑" w:hAnsi="微软雅黑" w:eastAsia="微软雅黑" w:cs="微软雅黑"/>
          <w:b/>
          <w:color w:val="000000"/>
          <w:kern w:val="0"/>
          <w:sz w:val="32"/>
          <w:szCs w:val="32"/>
          <w:highlight w:val="none"/>
          <w:lang w:eastAsia="zh-CN" w:bidi="ar"/>
        </w:rPr>
        <w:t>温岭市城北街道道路清扫保洁、垃圾清运及公厕保洁服务采购</w:t>
      </w:r>
    </w:p>
    <w:p>
      <w:pPr>
        <w:widowControl/>
        <w:snapToGrid w:val="0"/>
        <w:spacing w:line="560" w:lineRule="exact"/>
        <w:jc w:val="center"/>
        <w:rPr>
          <w:rFonts w:hint="eastAsia" w:ascii="微软雅黑" w:hAnsi="微软雅黑" w:eastAsia="微软雅黑" w:cs="微软雅黑"/>
          <w:b/>
          <w:color w:val="000000"/>
          <w:kern w:val="0"/>
          <w:sz w:val="32"/>
          <w:szCs w:val="32"/>
          <w:highlight w:val="none"/>
          <w:lang w:eastAsia="zh-CN" w:bidi="ar"/>
        </w:rPr>
      </w:pPr>
      <w:r>
        <w:rPr>
          <w:rFonts w:hint="eastAsia" w:ascii="微软雅黑" w:hAnsi="微软雅黑" w:eastAsia="微软雅黑" w:cs="微软雅黑"/>
          <w:b/>
          <w:color w:val="000000"/>
          <w:kern w:val="0"/>
          <w:sz w:val="32"/>
          <w:szCs w:val="32"/>
          <w:highlight w:val="none"/>
          <w:lang w:eastAsia="zh-CN" w:bidi="ar"/>
        </w:rPr>
        <w:t>开标一览表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262"/>
        <w:gridCol w:w="1450"/>
        <w:gridCol w:w="2217"/>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843" w:type="dxa"/>
            <w:noWrap w:val="0"/>
            <w:vAlign w:val="center"/>
          </w:tcPr>
          <w:p>
            <w:pPr>
              <w:pStyle w:val="12"/>
              <w:spacing w:line="240" w:lineRule="exact"/>
              <w:jc w:val="center"/>
              <w:textAlignment w:val="baseline"/>
              <w:rPr>
                <w:rFonts w:hint="eastAsia" w:ascii="微软雅黑" w:hAnsi="微软雅黑" w:eastAsia="微软雅黑" w:cs="微软雅黑"/>
                <w:kern w:val="2"/>
                <w:highlight w:val="none"/>
                <w:lang w:eastAsia="zh-CN"/>
              </w:rPr>
            </w:pPr>
            <w:r>
              <w:rPr>
                <w:rFonts w:hint="eastAsia" w:ascii="微软雅黑" w:hAnsi="微软雅黑" w:eastAsia="微软雅黑" w:cs="微软雅黑"/>
                <w:kern w:val="2"/>
                <w:highlight w:val="none"/>
                <w:lang w:val="en-US" w:eastAsia="zh-CN"/>
              </w:rPr>
              <w:t>序号</w:t>
            </w:r>
          </w:p>
        </w:tc>
        <w:tc>
          <w:tcPr>
            <w:tcW w:w="3262" w:type="dxa"/>
            <w:noWrap w:val="0"/>
            <w:vAlign w:val="center"/>
          </w:tcPr>
          <w:p>
            <w:pPr>
              <w:wordWrap w:val="0"/>
              <w:spacing w:line="360" w:lineRule="exact"/>
              <w:jc w:val="center"/>
              <w:rPr>
                <w:rFonts w:hint="eastAsia" w:ascii="微软雅黑" w:hAnsi="微软雅黑" w:eastAsia="微软雅黑" w:cs="微软雅黑"/>
                <w:kern w:val="2"/>
                <w:highlight w:val="none"/>
              </w:rPr>
            </w:pPr>
            <w:r>
              <w:rPr>
                <w:rFonts w:hint="eastAsia" w:ascii="微软雅黑" w:hAnsi="微软雅黑" w:eastAsia="微软雅黑" w:cs="微软雅黑"/>
                <w:color w:val="000000"/>
                <w:highlight w:val="none"/>
              </w:rPr>
              <w:t>采购内容</w:t>
            </w:r>
          </w:p>
        </w:tc>
        <w:tc>
          <w:tcPr>
            <w:tcW w:w="1450" w:type="dxa"/>
            <w:noWrap w:val="0"/>
            <w:vAlign w:val="center"/>
          </w:tcPr>
          <w:p>
            <w:pPr>
              <w:wordWrap w:val="0"/>
              <w:spacing w:line="360" w:lineRule="exact"/>
              <w:jc w:val="center"/>
              <w:rPr>
                <w:rFonts w:hint="eastAsia" w:ascii="微软雅黑" w:hAnsi="微软雅黑" w:eastAsia="微软雅黑" w:cs="微软雅黑"/>
                <w:kern w:val="2"/>
                <w:highlight w:val="none"/>
              </w:rPr>
            </w:pPr>
            <w:r>
              <w:rPr>
                <w:rFonts w:hint="eastAsia" w:ascii="微软雅黑" w:hAnsi="微软雅黑" w:eastAsia="微软雅黑" w:cs="微软雅黑"/>
                <w:color w:val="000000"/>
                <w:highlight w:val="none"/>
              </w:rPr>
              <w:t>数量</w:t>
            </w:r>
          </w:p>
        </w:tc>
        <w:tc>
          <w:tcPr>
            <w:tcW w:w="2217" w:type="dxa"/>
            <w:noWrap w:val="0"/>
            <w:vAlign w:val="center"/>
          </w:tcPr>
          <w:p>
            <w:pPr>
              <w:pStyle w:val="12"/>
              <w:spacing w:line="240" w:lineRule="exact"/>
              <w:jc w:val="center"/>
              <w:textAlignment w:val="baseline"/>
              <w:rPr>
                <w:rFonts w:hint="default" w:ascii="微软雅黑" w:hAnsi="微软雅黑" w:eastAsia="微软雅黑" w:cs="微软雅黑"/>
                <w:kern w:val="2"/>
                <w:highlight w:val="none"/>
                <w:lang w:val="en-US" w:eastAsia="zh-CN"/>
              </w:rPr>
            </w:pPr>
            <w:r>
              <w:rPr>
                <w:rFonts w:hint="eastAsia" w:ascii="微软雅黑" w:hAnsi="微软雅黑" w:eastAsia="微软雅黑" w:cs="微软雅黑"/>
                <w:kern w:val="2"/>
                <w:highlight w:val="none"/>
                <w:lang w:val="en-US" w:eastAsia="zh-CN"/>
              </w:rPr>
              <w:t>投标报价（元/月）</w:t>
            </w:r>
          </w:p>
        </w:tc>
        <w:tc>
          <w:tcPr>
            <w:tcW w:w="1937" w:type="dxa"/>
            <w:noWrap w:val="0"/>
            <w:vAlign w:val="center"/>
          </w:tcPr>
          <w:p>
            <w:pPr>
              <w:pStyle w:val="12"/>
              <w:spacing w:line="240" w:lineRule="exact"/>
              <w:jc w:val="center"/>
              <w:textAlignment w:val="baseline"/>
              <w:rPr>
                <w:rFonts w:hint="eastAsia" w:ascii="微软雅黑" w:hAnsi="微软雅黑" w:eastAsia="微软雅黑" w:cs="微软雅黑"/>
                <w:kern w:val="2"/>
                <w:highlight w:val="none"/>
                <w:lang w:val="en-US" w:eastAsia="zh-CN"/>
              </w:rPr>
            </w:pPr>
            <w:r>
              <w:rPr>
                <w:rFonts w:hint="eastAsia" w:ascii="微软雅黑" w:hAnsi="微软雅黑" w:eastAsia="微软雅黑" w:cs="微软雅黑"/>
                <w:kern w:val="2"/>
                <w:highlight w:val="none"/>
                <w:lang w:val="en-US" w:eastAsia="zh-CN"/>
              </w:rPr>
              <w:t>总价</w:t>
            </w:r>
            <w:r>
              <w:rPr>
                <w:rFonts w:hint="eastAsia" w:ascii="微软雅黑" w:hAnsi="微软雅黑" w:eastAsia="微软雅黑" w:cs="微软雅黑"/>
                <w:kern w:val="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43" w:type="dxa"/>
            <w:noWrap w:val="0"/>
            <w:vAlign w:val="center"/>
          </w:tcPr>
          <w:p>
            <w:pPr>
              <w:pStyle w:val="12"/>
              <w:spacing w:line="360" w:lineRule="auto"/>
              <w:jc w:val="center"/>
              <w:rPr>
                <w:rFonts w:hint="eastAsia" w:ascii="微软雅黑" w:hAnsi="微软雅黑" w:eastAsia="微软雅黑" w:cs="微软雅黑"/>
                <w:kern w:val="2"/>
                <w:highlight w:val="none"/>
              </w:rPr>
            </w:pPr>
            <w:r>
              <w:rPr>
                <w:rFonts w:hint="eastAsia" w:ascii="微软雅黑" w:hAnsi="微软雅黑" w:eastAsia="微软雅黑" w:cs="微软雅黑"/>
                <w:kern w:val="2"/>
                <w:highlight w:val="none"/>
              </w:rPr>
              <w:t>1</w:t>
            </w:r>
          </w:p>
        </w:tc>
        <w:tc>
          <w:tcPr>
            <w:tcW w:w="3262" w:type="dxa"/>
            <w:noWrap w:val="0"/>
            <w:vAlign w:val="center"/>
          </w:tcPr>
          <w:p>
            <w:pPr>
              <w:wordWrap w:val="0"/>
              <w:spacing w:line="360" w:lineRule="exact"/>
              <w:jc w:val="center"/>
              <w:rPr>
                <w:rFonts w:hint="eastAsia" w:ascii="微软雅黑" w:hAnsi="微软雅黑" w:eastAsia="微软雅黑" w:cs="微软雅黑"/>
                <w:kern w:val="2"/>
                <w:highlight w:val="none"/>
                <w:lang w:eastAsia="zh-CN"/>
              </w:rPr>
            </w:pPr>
            <w:r>
              <w:rPr>
                <w:rFonts w:hint="eastAsia" w:ascii="微软雅黑" w:hAnsi="微软雅黑" w:eastAsia="微软雅黑" w:cs="微软雅黑"/>
                <w:color w:val="000000"/>
                <w:highlight w:val="none"/>
                <w:lang w:eastAsia="zh-CN"/>
              </w:rPr>
              <w:t>温岭市城北街道道路清扫保洁、垃圾清运及公厕保洁服务采购</w:t>
            </w:r>
          </w:p>
        </w:tc>
        <w:tc>
          <w:tcPr>
            <w:tcW w:w="1450" w:type="dxa"/>
            <w:noWrap w:val="0"/>
            <w:vAlign w:val="center"/>
          </w:tcPr>
          <w:p>
            <w:pPr>
              <w:wordWrap w:val="0"/>
              <w:spacing w:line="360" w:lineRule="exact"/>
              <w:jc w:val="center"/>
              <w:rPr>
                <w:rFonts w:hint="default" w:ascii="微软雅黑" w:hAnsi="微软雅黑" w:eastAsia="微软雅黑" w:cs="微软雅黑"/>
                <w:kern w:val="2"/>
                <w:highlight w:val="none"/>
                <w:lang w:val="en-US" w:eastAsia="zh-CN"/>
              </w:rPr>
            </w:pPr>
            <w:r>
              <w:rPr>
                <w:rFonts w:hint="eastAsia" w:ascii="微软雅黑" w:hAnsi="微软雅黑" w:eastAsia="微软雅黑" w:cs="微软雅黑"/>
                <w:color w:val="000000"/>
                <w:highlight w:val="none"/>
                <w:lang w:val="en-US" w:eastAsia="zh-CN"/>
              </w:rPr>
              <w:t>12个月</w:t>
            </w:r>
          </w:p>
        </w:tc>
        <w:tc>
          <w:tcPr>
            <w:tcW w:w="2217" w:type="dxa"/>
            <w:noWrap w:val="0"/>
            <w:vAlign w:val="center"/>
          </w:tcPr>
          <w:p>
            <w:pPr>
              <w:pStyle w:val="12"/>
              <w:spacing w:line="360" w:lineRule="auto"/>
              <w:jc w:val="center"/>
              <w:rPr>
                <w:rFonts w:hint="eastAsia" w:ascii="微软雅黑" w:hAnsi="微软雅黑" w:eastAsia="微软雅黑" w:cs="微软雅黑"/>
                <w:kern w:val="2"/>
                <w:highlight w:val="none"/>
              </w:rPr>
            </w:pPr>
          </w:p>
        </w:tc>
        <w:tc>
          <w:tcPr>
            <w:tcW w:w="1937" w:type="dxa"/>
            <w:noWrap w:val="0"/>
            <w:vAlign w:val="center"/>
          </w:tcPr>
          <w:p>
            <w:pPr>
              <w:pStyle w:val="12"/>
              <w:spacing w:line="360" w:lineRule="auto"/>
              <w:jc w:val="center"/>
              <w:rPr>
                <w:rFonts w:hint="eastAsia" w:ascii="微软雅黑" w:hAnsi="微软雅黑" w:eastAsia="微软雅黑" w:cs="微软雅黑"/>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9709" w:type="dxa"/>
            <w:gridSpan w:val="5"/>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2"/>
                <w:highlight w:val="none"/>
              </w:rPr>
            </w:pPr>
            <w:r>
              <w:rPr>
                <w:rFonts w:hint="eastAsia" w:ascii="微软雅黑" w:hAnsi="微软雅黑" w:eastAsia="微软雅黑" w:cs="微软雅黑"/>
                <w:kern w:val="2"/>
                <w:highlight w:val="none"/>
                <w:lang w:val="en-US" w:eastAsia="zh-CN"/>
              </w:rPr>
              <w:t>总价</w:t>
            </w:r>
            <w:r>
              <w:rPr>
                <w:rFonts w:hint="eastAsia" w:ascii="微软雅黑" w:hAnsi="微软雅黑" w:eastAsia="微软雅黑" w:cs="微软雅黑"/>
                <w:kern w:val="2"/>
                <w:highlight w:val="none"/>
              </w:rPr>
              <w:t>：人民币（大写）</w:t>
            </w:r>
            <w:r>
              <w:rPr>
                <w:rFonts w:hint="eastAsia" w:ascii="微软雅黑" w:hAnsi="微软雅黑" w:eastAsia="微软雅黑" w:cs="微软雅黑"/>
                <w:kern w:val="2"/>
                <w:highlight w:val="none"/>
                <w:u w:val="single"/>
              </w:rPr>
              <w:t xml:space="preserve">                     元整</w:t>
            </w:r>
            <w:r>
              <w:rPr>
                <w:rFonts w:hint="eastAsia" w:ascii="微软雅黑" w:hAnsi="微软雅黑" w:eastAsia="微软雅黑" w:cs="微软雅黑"/>
                <w:kern w:val="2"/>
                <w:highlight w:val="none"/>
              </w:rPr>
              <w:t>。</w:t>
            </w:r>
          </w:p>
        </w:tc>
      </w:tr>
    </w:tbl>
    <w:p>
      <w:pPr>
        <w:tabs>
          <w:tab w:val="left" w:pos="5792"/>
        </w:tabs>
        <w:spacing w:line="460" w:lineRule="exact"/>
        <w:ind w:firstLine="480" w:firstLineChars="200"/>
        <w:jc w:val="left"/>
        <w:rPr>
          <w:rFonts w:hint="default" w:ascii="微软雅黑" w:hAnsi="微软雅黑" w:eastAsia="微软雅黑" w:cs="微软雅黑"/>
          <w:sz w:val="24"/>
          <w:highlight w:val="none"/>
          <w:lang w:val="en-US" w:eastAsia="zh-CN"/>
        </w:rPr>
      </w:pPr>
      <w:r>
        <w:rPr>
          <w:rFonts w:hint="eastAsia" w:ascii="微软雅黑" w:hAnsi="微软雅黑" w:eastAsia="微软雅黑" w:cs="微软雅黑"/>
          <w:sz w:val="24"/>
          <w:highlight w:val="none"/>
        </w:rPr>
        <w:t>注：</w:t>
      </w:r>
      <w:r>
        <w:rPr>
          <w:rFonts w:hint="eastAsia" w:ascii="微软雅黑" w:hAnsi="微软雅黑" w:eastAsia="微软雅黑" w:cs="微软雅黑"/>
          <w:sz w:val="24"/>
          <w:highlight w:val="none"/>
          <w:lang w:val="en-US" w:eastAsia="zh-CN"/>
        </w:rPr>
        <w:t>总价不得超过预算金额12000000元，否则为无效。</w:t>
      </w:r>
    </w:p>
    <w:p>
      <w:pPr>
        <w:tabs>
          <w:tab w:val="left" w:pos="5792"/>
        </w:tabs>
        <w:spacing w:line="460" w:lineRule="exact"/>
        <w:ind w:firstLine="480" w:firstLineChars="200"/>
        <w:jc w:val="left"/>
        <w:rPr>
          <w:rFonts w:hint="eastAsia" w:ascii="微软雅黑" w:hAnsi="微软雅黑" w:eastAsia="微软雅黑" w:cs="微软雅黑"/>
          <w:color w:val="000000"/>
          <w:kern w:val="0"/>
          <w:sz w:val="24"/>
          <w:szCs w:val="20"/>
          <w:highlight w:val="none"/>
          <w:lang w:bidi="ar"/>
        </w:rPr>
      </w:pPr>
      <w:r>
        <w:rPr>
          <w:rFonts w:hint="eastAsia" w:ascii="微软雅黑" w:hAnsi="微软雅黑" w:eastAsia="微软雅黑" w:cs="微软雅黑"/>
          <w:sz w:val="24"/>
          <w:highlight w:val="none"/>
        </w:rPr>
        <w:t>报价为完成本招标文件中提出的所有采购内容并完成合同约定的相应服务应支付的各项金额，包括人员工资、保险、管理、相应设备、耗材、利润、税金等相关服务的所有费用。</w:t>
      </w:r>
    </w:p>
    <w:p>
      <w:pPr>
        <w:tabs>
          <w:tab w:val="left" w:pos="5792"/>
        </w:tabs>
        <w:spacing w:line="460" w:lineRule="exact"/>
        <w:jc w:val="left"/>
        <w:rPr>
          <w:rFonts w:hint="eastAsia" w:ascii="微软雅黑" w:hAnsi="微软雅黑" w:eastAsia="微软雅黑" w:cs="微软雅黑"/>
          <w:color w:val="000000"/>
          <w:kern w:val="0"/>
          <w:sz w:val="24"/>
          <w:szCs w:val="20"/>
          <w:highlight w:val="none"/>
          <w:lang w:bidi="ar"/>
        </w:rPr>
      </w:pPr>
    </w:p>
    <w:p>
      <w:pPr>
        <w:tabs>
          <w:tab w:val="left" w:pos="5792"/>
        </w:tabs>
        <w:spacing w:line="460" w:lineRule="exact"/>
        <w:jc w:val="left"/>
        <w:rPr>
          <w:rFonts w:hint="eastAsia" w:ascii="微软雅黑" w:hAnsi="微软雅黑" w:eastAsia="微软雅黑" w:cs="微软雅黑"/>
          <w:color w:val="000000"/>
          <w:kern w:val="0"/>
          <w:sz w:val="24"/>
          <w:szCs w:val="20"/>
          <w:highlight w:val="none"/>
          <w:lang w:bidi="ar"/>
        </w:rPr>
      </w:pPr>
    </w:p>
    <w:p>
      <w:pPr>
        <w:keepNext w:val="0"/>
        <w:keepLines w:val="0"/>
        <w:pageBreakBefore w:val="0"/>
        <w:widowControl w:val="0"/>
        <w:tabs>
          <w:tab w:val="left" w:pos="5792"/>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投标人名称（单位公章）：</w:t>
      </w:r>
    </w:p>
    <w:p>
      <w:pPr>
        <w:keepNext w:val="0"/>
        <w:keepLines w:val="0"/>
        <w:pageBreakBefore w:val="0"/>
        <w:widowControl w:val="0"/>
        <w:tabs>
          <w:tab w:val="left" w:pos="4525"/>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rPr>
      </w:pPr>
      <w:r>
        <w:rPr>
          <w:rFonts w:hint="eastAsia" w:ascii="微软雅黑" w:hAnsi="微软雅黑" w:eastAsia="微软雅黑" w:cs="微软雅黑"/>
          <w:color w:val="000000"/>
          <w:kern w:val="0"/>
          <w:sz w:val="24"/>
          <w:szCs w:val="20"/>
          <w:highlight w:val="none"/>
          <w:lang w:bidi="ar"/>
        </w:rPr>
        <w:t>法定代表人</w:t>
      </w:r>
      <w:r>
        <w:rPr>
          <w:rFonts w:hint="eastAsia" w:ascii="微软雅黑" w:hAnsi="微软雅黑" w:eastAsia="微软雅黑" w:cs="微软雅黑"/>
          <w:color w:val="000000"/>
          <w:kern w:val="0"/>
          <w:sz w:val="24"/>
          <w:highlight w:val="none"/>
          <w:lang w:bidi="ar"/>
        </w:rPr>
        <w:t>或委托代理人</w:t>
      </w:r>
      <w:r>
        <w:rPr>
          <w:rFonts w:hint="eastAsia" w:ascii="微软雅黑" w:hAnsi="微软雅黑" w:eastAsia="微软雅黑" w:cs="微软雅黑"/>
          <w:color w:val="000000"/>
          <w:kern w:val="0"/>
          <w:sz w:val="24"/>
          <w:szCs w:val="20"/>
          <w:highlight w:val="none"/>
          <w:lang w:bidi="ar"/>
        </w:rPr>
        <w:t>（签字或盖章）：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vertAlign w:val="subscript"/>
        </w:rPr>
      </w:pPr>
      <w:r>
        <w:rPr>
          <w:rFonts w:hint="eastAsia" w:ascii="微软雅黑" w:hAnsi="微软雅黑" w:eastAsia="微软雅黑" w:cs="微软雅黑"/>
          <w:color w:val="000000"/>
          <w:kern w:val="0"/>
          <w:sz w:val="24"/>
          <w:szCs w:val="20"/>
          <w:highlight w:val="none"/>
          <w:lang w:bidi="ar"/>
        </w:rPr>
        <w:t>日期：</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年</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月</w:t>
      </w:r>
      <w:r>
        <w:rPr>
          <w:rFonts w:hint="eastAsia" w:ascii="微软雅黑" w:hAnsi="微软雅黑" w:eastAsia="微软雅黑" w:cs="微软雅黑"/>
          <w:color w:val="000000"/>
          <w:kern w:val="0"/>
          <w:sz w:val="24"/>
          <w:szCs w:val="20"/>
          <w:highlight w:val="none"/>
          <w:u w:val="single"/>
          <w:lang w:bidi="ar"/>
        </w:rPr>
        <w:t xml:space="preserve">      </w:t>
      </w:r>
      <w:r>
        <w:rPr>
          <w:rFonts w:hint="eastAsia" w:ascii="微软雅黑" w:hAnsi="微软雅黑" w:eastAsia="微软雅黑" w:cs="微软雅黑"/>
          <w:color w:val="000000"/>
          <w:kern w:val="0"/>
          <w:sz w:val="24"/>
          <w:szCs w:val="20"/>
          <w:highlight w:val="none"/>
          <w:lang w:bidi="ar"/>
        </w:rPr>
        <w:t>日</w:t>
      </w:r>
    </w:p>
    <w:p>
      <w:pPr>
        <w:widowControl/>
        <w:snapToGrid w:val="0"/>
        <w:spacing w:line="560" w:lineRule="exact"/>
        <w:rPr>
          <w:rFonts w:hint="eastAsia" w:ascii="微软雅黑" w:hAnsi="微软雅黑" w:eastAsia="微软雅黑" w:cs="微软雅黑"/>
          <w:b/>
          <w:color w:val="000000"/>
          <w:sz w:val="28"/>
          <w:szCs w:val="28"/>
          <w:highlight w:val="none"/>
        </w:rPr>
      </w:pPr>
      <w:r>
        <w:rPr>
          <w:rFonts w:hint="eastAsia" w:ascii="微软雅黑" w:hAnsi="微软雅黑" w:eastAsia="微软雅黑" w:cs="微软雅黑"/>
          <w:b/>
          <w:color w:val="000000"/>
          <w:kern w:val="0"/>
          <w:sz w:val="28"/>
          <w:szCs w:val="28"/>
          <w:highlight w:val="none"/>
          <w:lang w:bidi="ar"/>
        </w:rPr>
        <w:t xml:space="preserve">       </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color w:val="000000"/>
          <w:sz w:val="24"/>
          <w:szCs w:val="20"/>
          <w:highlight w:val="none"/>
          <w:vertAlign w:val="subscript"/>
        </w:rPr>
      </w:pPr>
      <w:r>
        <w:rPr>
          <w:rFonts w:hint="eastAsia" w:ascii="微软雅黑" w:hAnsi="微软雅黑" w:eastAsia="微软雅黑" w:cs="微软雅黑"/>
          <w:b/>
          <w:color w:val="000000"/>
          <w:kern w:val="0"/>
          <w:sz w:val="28"/>
          <w:szCs w:val="28"/>
          <w:highlight w:val="none"/>
          <w:lang w:bidi="ar"/>
        </w:rPr>
        <w:br w:type="page"/>
      </w:r>
    </w:p>
    <w:p>
      <w:pPr>
        <w:spacing w:line="360" w:lineRule="auto"/>
        <w:ind w:firstLine="435"/>
        <w:rPr>
          <w:rFonts w:hint="eastAsia" w:ascii="微软雅黑" w:hAnsi="微软雅黑" w:eastAsia="微软雅黑" w:cs="微软雅黑"/>
          <w:sz w:val="24"/>
          <w:szCs w:val="24"/>
          <w:highlight w:val="none"/>
        </w:rPr>
      </w:pPr>
    </w:p>
    <w:p>
      <w:pPr>
        <w:widowControl/>
        <w:jc w:val="left"/>
        <w:rPr>
          <w:rFonts w:hint="eastAsia" w:ascii="微软雅黑" w:hAnsi="微软雅黑" w:eastAsia="微软雅黑" w:cs="微软雅黑"/>
          <w:b/>
          <w:bCs/>
          <w:sz w:val="28"/>
          <w:szCs w:val="28"/>
          <w:highlight w:val="none"/>
          <w:lang w:val="en-US" w:eastAsia="zh-CN"/>
        </w:rPr>
      </w:pPr>
      <w:r>
        <w:rPr>
          <w:rFonts w:hint="eastAsia" w:ascii="微软雅黑" w:hAnsi="微软雅黑" w:eastAsia="微软雅黑" w:cs="微软雅黑"/>
          <w:b/>
          <w:bCs/>
          <w:sz w:val="28"/>
          <w:szCs w:val="28"/>
          <w:highlight w:val="none"/>
        </w:rPr>
        <w:t>附件1</w:t>
      </w:r>
      <w:r>
        <w:rPr>
          <w:rFonts w:hint="eastAsia" w:ascii="微软雅黑" w:hAnsi="微软雅黑" w:eastAsia="微软雅黑" w:cs="微软雅黑"/>
          <w:b/>
          <w:bCs/>
          <w:sz w:val="28"/>
          <w:szCs w:val="28"/>
          <w:highlight w:val="none"/>
          <w:lang w:val="en-US" w:eastAsia="zh-CN"/>
        </w:rPr>
        <w:t>3</w:t>
      </w:r>
    </w:p>
    <w:p>
      <w:pPr>
        <w:pStyle w:val="31"/>
        <w:snapToGrid w:val="0"/>
        <w:spacing w:before="0" w:beforeAutospacing="0" w:after="330" w:afterAutospacing="0" w:line="420" w:lineRule="exact"/>
        <w:jc w:val="center"/>
        <w:textAlignment w:val="baseline"/>
        <w:rPr>
          <w:rStyle w:val="62"/>
          <w:rFonts w:ascii="微软雅黑" w:hAnsi="微软雅黑" w:eastAsia="微软雅黑"/>
          <w:b/>
          <w:i w:val="0"/>
          <w:caps w:val="0"/>
          <w:color w:val="000000"/>
          <w:spacing w:val="0"/>
          <w:w w:val="100"/>
          <w:kern w:val="0"/>
          <w:sz w:val="36"/>
          <w:szCs w:val="20"/>
          <w:highlight w:val="none"/>
          <w:lang w:val="en-US" w:eastAsia="zh-CN" w:bidi="ar-SA"/>
          <w14:shadow w14:blurRad="50800" w14:dist="38100" w14:dir="2700000" w14:sx="100000" w14:sy="100000" w14:kx="0" w14:ky="0" w14:algn="tl">
            <w14:srgbClr w14:val="000000">
              <w14:alpha w14:val="60000"/>
            </w14:srgbClr>
          </w14:shadow>
        </w:rPr>
      </w:pPr>
    </w:p>
    <w:p>
      <w:pPr>
        <w:pStyle w:val="31"/>
        <w:snapToGrid w:val="0"/>
        <w:spacing w:before="0" w:beforeAutospacing="0" w:after="330" w:afterAutospacing="0" w:line="420" w:lineRule="exact"/>
        <w:jc w:val="center"/>
        <w:textAlignment w:val="baseline"/>
        <w:rPr>
          <w:rStyle w:val="62"/>
          <w:rFonts w:ascii="微软雅黑" w:hAnsi="微软雅黑" w:eastAsia="微软雅黑"/>
          <w:b/>
          <w:i w:val="0"/>
          <w:caps w:val="0"/>
          <w:color w:val="000000"/>
          <w:spacing w:val="0"/>
          <w:w w:val="100"/>
          <w:kern w:val="0"/>
          <w:sz w:val="36"/>
          <w:szCs w:val="20"/>
          <w:highlight w:val="none"/>
          <w:lang w:val="en-US" w:eastAsia="zh-CN" w:bidi="ar-SA"/>
          <w14:shadow w14:blurRad="50800" w14:dist="38100" w14:dir="2700000" w14:sx="100000" w14:sy="100000" w14:kx="0" w14:ky="0" w14:algn="tl">
            <w14:srgbClr w14:val="000000">
              <w14:alpha w14:val="60000"/>
            </w14:srgbClr>
          </w14:shadow>
        </w:rPr>
      </w:pPr>
      <w:r>
        <w:rPr>
          <w:rStyle w:val="62"/>
          <w:rFonts w:ascii="微软雅黑" w:hAnsi="微软雅黑" w:eastAsia="微软雅黑"/>
          <w:b/>
          <w:i w:val="0"/>
          <w:caps w:val="0"/>
          <w:color w:val="000000"/>
          <w:spacing w:val="0"/>
          <w:w w:val="100"/>
          <w:kern w:val="0"/>
          <w:sz w:val="36"/>
          <w:szCs w:val="20"/>
          <w:highlight w:val="none"/>
          <w:lang w:val="en-US" w:eastAsia="zh-CN" w:bidi="ar-SA"/>
          <w14:shadow w14:blurRad="50800" w14:dist="38100" w14:dir="2700000" w14:sx="100000" w14:sy="100000" w14:kx="0" w14:ky="0" w14:algn="tl">
            <w14:srgbClr w14:val="000000">
              <w14:alpha w14:val="60000"/>
            </w14:srgbClr>
          </w14:shadow>
        </w:rPr>
        <w:t>中小企业声明函（服务）</w:t>
      </w:r>
    </w:p>
    <w:p>
      <w:pPr>
        <w:pStyle w:val="64"/>
        <w:snapToGrid w:val="0"/>
        <w:spacing w:before="0" w:beforeAutospacing="0" w:after="0" w:afterAutospacing="0" w:line="420" w:lineRule="exact"/>
        <w:ind w:right="415" w:firstLine="640"/>
        <w:jc w:val="both"/>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2"/>
          <w:w w:val="100"/>
          <w:kern w:val="2"/>
          <w:sz w:val="24"/>
          <w:szCs w:val="24"/>
          <w:highlight w:val="none"/>
          <w:lang w:val="en-US" w:eastAsia="zh-CN" w:bidi="ar-SA"/>
        </w:rPr>
        <w:t>本公司</w:t>
      </w:r>
      <w:r>
        <w:rPr>
          <w:rStyle w:val="62"/>
          <w:rFonts w:ascii="微软雅黑" w:hAnsi="微软雅黑" w:eastAsia="微软雅黑"/>
          <w:b w:val="0"/>
          <w:i w:val="0"/>
          <w:caps w:val="0"/>
          <w:color w:val="000000"/>
          <w:spacing w:val="0"/>
          <w:w w:val="100"/>
          <w:kern w:val="2"/>
          <w:sz w:val="24"/>
          <w:szCs w:val="24"/>
          <w:highlight w:val="none"/>
          <w:lang w:val="en-US" w:eastAsia="zh-CN" w:bidi="ar-SA"/>
        </w:rPr>
        <w:t>（联合体）</w:t>
      </w:r>
      <w:r>
        <w:rPr>
          <w:rStyle w:val="62"/>
          <w:rFonts w:ascii="微软雅黑" w:hAnsi="微软雅黑" w:eastAsia="微软雅黑"/>
          <w:b w:val="0"/>
          <w:bCs w:val="0"/>
          <w:i w:val="0"/>
          <w:caps w:val="0"/>
          <w:color w:val="000000"/>
          <w:spacing w:val="-2"/>
          <w:w w:val="100"/>
          <w:kern w:val="2"/>
          <w:sz w:val="24"/>
          <w:szCs w:val="24"/>
          <w:highlight w:val="none"/>
          <w:lang w:val="en-US" w:eastAsia="zh-CN" w:bidi="ar-SA"/>
        </w:rPr>
        <w:t>郑重声明，根据《政府采购促进中小</w:t>
      </w:r>
      <w:r>
        <w:rPr>
          <w:rStyle w:val="62"/>
          <w:rFonts w:ascii="微软雅黑" w:hAnsi="微软雅黑" w:eastAsia="微软雅黑"/>
          <w:b w:val="0"/>
          <w:bCs w:val="0"/>
          <w:i w:val="0"/>
          <w:caps w:val="0"/>
          <w:color w:val="000000"/>
          <w:spacing w:val="-18"/>
          <w:w w:val="100"/>
          <w:kern w:val="2"/>
          <w:sz w:val="24"/>
          <w:szCs w:val="24"/>
          <w:highlight w:val="none"/>
          <w:lang w:val="en-US" w:eastAsia="zh-CN" w:bidi="ar-SA"/>
        </w:rPr>
        <w:t>企业发展管理办法》</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w:t>
      </w:r>
      <w:r>
        <w:rPr>
          <w:rStyle w:val="62"/>
          <w:rFonts w:ascii="微软雅黑" w:hAnsi="微软雅黑" w:eastAsia="微软雅黑"/>
          <w:b w:val="0"/>
          <w:bCs w:val="0"/>
          <w:i w:val="0"/>
          <w:caps w:val="0"/>
          <w:color w:val="000000"/>
          <w:spacing w:val="5"/>
          <w:w w:val="100"/>
          <w:kern w:val="2"/>
          <w:sz w:val="24"/>
          <w:szCs w:val="24"/>
          <w:highlight w:val="none"/>
          <w:lang w:val="en-US" w:eastAsia="zh-CN" w:bidi="ar-SA"/>
        </w:rPr>
        <w:t>财库</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﹝2020﹞46</w:t>
      </w:r>
      <w:r>
        <w:rPr>
          <w:rStyle w:val="62"/>
          <w:rFonts w:ascii="微软雅黑" w:hAnsi="微软雅黑" w:eastAsia="微软雅黑"/>
          <w:b w:val="0"/>
          <w:bCs w:val="0"/>
          <w:i w:val="0"/>
          <w:caps w:val="0"/>
          <w:color w:val="000000"/>
          <w:spacing w:val="-38"/>
          <w:w w:val="100"/>
          <w:kern w:val="2"/>
          <w:sz w:val="24"/>
          <w:szCs w:val="24"/>
          <w:highlight w:val="none"/>
          <w:lang w:val="en-US" w:eastAsia="zh-CN" w:bidi="ar-SA"/>
        </w:rPr>
        <w:t xml:space="preserve"> 号</w:t>
      </w:r>
      <w:r>
        <w:rPr>
          <w:rStyle w:val="62"/>
          <w:rFonts w:ascii="微软雅黑" w:hAnsi="微软雅黑" w:eastAsia="微软雅黑"/>
          <w:b w:val="0"/>
          <w:bCs w:val="0"/>
          <w:i w:val="0"/>
          <w:caps w:val="0"/>
          <w:color w:val="000000"/>
          <w:spacing w:val="5"/>
          <w:w w:val="100"/>
          <w:kern w:val="2"/>
          <w:sz w:val="24"/>
          <w:szCs w:val="24"/>
          <w:highlight w:val="none"/>
          <w:lang w:val="en-US" w:eastAsia="zh-CN" w:bidi="ar-SA"/>
        </w:rPr>
        <w:t>）</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的规定，本公司</w:t>
      </w:r>
      <w:r>
        <w:rPr>
          <w:rStyle w:val="62"/>
          <w:rFonts w:ascii="微软雅黑" w:hAnsi="微软雅黑" w:eastAsia="微软雅黑"/>
          <w:b w:val="0"/>
          <w:i w:val="0"/>
          <w:caps w:val="0"/>
          <w:color w:val="000000"/>
          <w:spacing w:val="0"/>
          <w:w w:val="100"/>
          <w:kern w:val="2"/>
          <w:sz w:val="24"/>
          <w:szCs w:val="24"/>
          <w:highlight w:val="none"/>
          <w:lang w:val="en-US" w:eastAsia="zh-CN" w:bidi="ar-SA"/>
        </w:rPr>
        <w:t>（联合体）</w:t>
      </w:r>
      <w:r>
        <w:rPr>
          <w:rStyle w:val="62"/>
          <w:rFonts w:ascii="微软雅黑" w:hAnsi="微软雅黑" w:eastAsia="微软雅黑"/>
          <w:b w:val="0"/>
          <w:bCs w:val="0"/>
          <w:i w:val="0"/>
          <w:caps w:val="0"/>
          <w:color w:val="000000"/>
          <w:spacing w:val="-8"/>
          <w:w w:val="100"/>
          <w:kern w:val="2"/>
          <w:sz w:val="24"/>
          <w:szCs w:val="24"/>
          <w:highlight w:val="none"/>
          <w:lang w:val="en-US" w:eastAsia="zh-CN" w:bidi="ar-SA"/>
        </w:rPr>
        <w:t>参加</w:t>
      </w:r>
      <w:r>
        <w:rPr>
          <w:rStyle w:val="62"/>
          <w:rFonts w:ascii="微软雅黑" w:hAnsi="微软雅黑" w:eastAsia="微软雅黑"/>
          <w:b w:val="0"/>
          <w:bCs w:val="0"/>
          <w:i w:val="0"/>
          <w:caps w:val="0"/>
          <w:color w:val="000000"/>
          <w:spacing w:val="-2"/>
          <w:w w:val="100"/>
          <w:kern w:val="2"/>
          <w:sz w:val="24"/>
          <w:szCs w:val="24"/>
          <w:highlight w:val="none"/>
          <w:u w:val="single" w:color="000000"/>
          <w:lang w:val="en-US" w:eastAsia="zh-CN" w:bidi="ar-SA"/>
        </w:rPr>
        <w:t>（单位名称）</w:t>
      </w:r>
      <w:r>
        <w:rPr>
          <w:rStyle w:val="62"/>
          <w:rFonts w:ascii="微软雅黑" w:hAnsi="微软雅黑" w:eastAsia="微软雅黑"/>
          <w:b w:val="0"/>
          <w:bCs w:val="0"/>
          <w:i w:val="0"/>
          <w:caps w:val="0"/>
          <w:color w:val="000000"/>
          <w:spacing w:val="-15"/>
          <w:w w:val="100"/>
          <w:kern w:val="2"/>
          <w:sz w:val="24"/>
          <w:szCs w:val="24"/>
          <w:highlight w:val="none"/>
          <w:lang w:val="en-US" w:eastAsia="zh-CN" w:bidi="ar-SA"/>
        </w:rPr>
        <w:t>的</w:t>
      </w:r>
      <w:r>
        <w:rPr>
          <w:rStyle w:val="62"/>
          <w:rFonts w:ascii="微软雅黑" w:hAnsi="微软雅黑" w:eastAsia="微软雅黑"/>
          <w:b w:val="0"/>
          <w:bCs w:val="0"/>
          <w:i w:val="0"/>
          <w:caps w:val="0"/>
          <w:color w:val="000000"/>
          <w:spacing w:val="-2"/>
          <w:w w:val="100"/>
          <w:kern w:val="2"/>
          <w:sz w:val="24"/>
          <w:szCs w:val="24"/>
          <w:highlight w:val="none"/>
          <w:u w:val="single" w:color="000000"/>
          <w:lang w:val="en-US" w:eastAsia="zh-CN" w:bidi="ar-SA"/>
        </w:rPr>
        <w:t>（项目名称）</w:t>
      </w:r>
      <w:r>
        <w:rPr>
          <w:rStyle w:val="62"/>
          <w:rFonts w:ascii="微软雅黑" w:hAnsi="微软雅黑" w:eastAsia="微软雅黑"/>
          <w:b w:val="0"/>
          <w:bCs w:val="0"/>
          <w:i w:val="0"/>
          <w:caps w:val="0"/>
          <w:color w:val="000000"/>
          <w:spacing w:val="-1"/>
          <w:w w:val="100"/>
          <w:kern w:val="2"/>
          <w:sz w:val="24"/>
          <w:szCs w:val="24"/>
          <w:highlight w:val="none"/>
          <w:lang w:val="en-US" w:eastAsia="zh-CN" w:bidi="ar-SA"/>
        </w:rPr>
        <w:t>采购活动，</w:t>
      </w:r>
      <w:r>
        <w:rPr>
          <w:rStyle w:val="62"/>
          <w:rFonts w:ascii="微软雅黑" w:hAnsi="微软雅黑" w:eastAsia="微软雅黑"/>
          <w:b w:val="0"/>
          <w:bCs w:val="0"/>
          <w:i w:val="0"/>
          <w:caps w:val="0"/>
          <w:color w:val="000000"/>
          <w:spacing w:val="-3"/>
          <w:w w:val="100"/>
          <w:kern w:val="2"/>
          <w:sz w:val="24"/>
          <w:szCs w:val="24"/>
          <w:highlight w:val="none"/>
          <w:lang w:val="en-US" w:eastAsia="zh-CN" w:bidi="ar-SA"/>
        </w:rPr>
        <w:t>服务</w:t>
      </w:r>
      <w:r>
        <w:rPr>
          <w:rStyle w:val="62"/>
          <w:rFonts w:ascii="微软雅黑" w:hAnsi="微软雅黑" w:eastAsia="微软雅黑"/>
          <w:b w:val="0"/>
          <w:bCs w:val="0"/>
          <w:i w:val="0"/>
          <w:caps w:val="0"/>
          <w:color w:val="000000"/>
          <w:spacing w:val="-2"/>
          <w:w w:val="100"/>
          <w:kern w:val="2"/>
          <w:sz w:val="24"/>
          <w:szCs w:val="24"/>
          <w:highlight w:val="none"/>
          <w:lang w:val="en-US" w:eastAsia="zh-CN" w:bidi="ar-SA"/>
        </w:rPr>
        <w:t>全部由符合政策要求的中小企业承接</w:t>
      </w:r>
      <w:r>
        <w:rPr>
          <w:rStyle w:val="62"/>
          <w:rFonts w:ascii="微软雅黑" w:hAnsi="微软雅黑" w:eastAsia="微软雅黑"/>
          <w:b w:val="0"/>
          <w:bCs w:val="0"/>
          <w:i w:val="0"/>
          <w:caps w:val="0"/>
          <w:color w:val="000000"/>
          <w:spacing w:val="6"/>
          <w:w w:val="95"/>
          <w:kern w:val="2"/>
          <w:sz w:val="24"/>
          <w:szCs w:val="24"/>
          <w:highlight w:val="none"/>
          <w:lang w:val="en-US" w:eastAsia="zh-CN" w:bidi="ar-SA"/>
        </w:rPr>
        <w:t>。相关企业</w:t>
      </w:r>
      <w:r>
        <w:rPr>
          <w:rStyle w:val="62"/>
          <w:rFonts w:ascii="微软雅黑" w:hAnsi="微软雅黑" w:eastAsia="微软雅黑"/>
          <w:b w:val="0"/>
          <w:bCs w:val="0"/>
          <w:i w:val="0"/>
          <w:caps w:val="0"/>
          <w:color w:val="000000"/>
          <w:spacing w:val="7"/>
          <w:w w:val="95"/>
          <w:kern w:val="2"/>
          <w:sz w:val="24"/>
          <w:szCs w:val="24"/>
          <w:highlight w:val="none"/>
          <w:lang w:val="en-US" w:eastAsia="zh-CN" w:bidi="ar-SA"/>
        </w:rPr>
        <w:t>（</w:t>
      </w:r>
      <w:r>
        <w:rPr>
          <w:rStyle w:val="62"/>
          <w:rFonts w:ascii="微软雅黑" w:hAnsi="微软雅黑" w:eastAsia="微软雅黑"/>
          <w:b w:val="0"/>
          <w:bCs w:val="0"/>
          <w:i w:val="0"/>
          <w:caps w:val="0"/>
          <w:color w:val="000000"/>
          <w:spacing w:val="4"/>
          <w:w w:val="95"/>
          <w:kern w:val="2"/>
          <w:sz w:val="24"/>
          <w:szCs w:val="24"/>
          <w:highlight w:val="none"/>
          <w:lang w:val="en-US" w:eastAsia="zh-CN" w:bidi="ar-SA"/>
        </w:rPr>
        <w:t>含联合</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体中的中小企业、签订分包意向协议的中小企业</w:t>
      </w:r>
      <w:r>
        <w:rPr>
          <w:rStyle w:val="62"/>
          <w:rFonts w:ascii="微软雅黑" w:hAnsi="微软雅黑" w:eastAsia="微软雅黑"/>
          <w:b w:val="0"/>
          <w:bCs w:val="0"/>
          <w:i w:val="0"/>
          <w:caps w:val="0"/>
          <w:color w:val="000000"/>
          <w:spacing w:val="-7"/>
          <w:w w:val="100"/>
          <w:kern w:val="2"/>
          <w:sz w:val="24"/>
          <w:szCs w:val="24"/>
          <w:highlight w:val="none"/>
          <w:lang w:val="en-US" w:eastAsia="zh-CN" w:bidi="ar-SA"/>
        </w:rPr>
        <w:t>）</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的具体情况如下：</w:t>
      </w:r>
    </w:p>
    <w:p>
      <w:pPr>
        <w:pStyle w:val="66"/>
        <w:tabs>
          <w:tab w:val="left" w:pos="1243"/>
        </w:tabs>
        <w:snapToGrid w:val="0"/>
        <w:spacing w:before="0" w:beforeAutospacing="0" w:after="0" w:afterAutospacing="0" w:line="420" w:lineRule="exact"/>
        <w:ind w:right="0" w:firstLine="480" w:firstLineChars="200"/>
        <w:jc w:val="left"/>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0"/>
          <w:w w:val="100"/>
          <w:kern w:val="2"/>
          <w:sz w:val="24"/>
          <w:szCs w:val="24"/>
          <w:highlight w:val="none"/>
          <w:lang w:val="en-US" w:eastAsia="zh-CN" w:bidi="zh-CN"/>
        </w:rPr>
        <w:t>1.</w:t>
      </w:r>
      <w:r>
        <w:rPr>
          <w:rStyle w:val="62"/>
          <w:rFonts w:ascii="微软雅黑" w:hAnsi="微软雅黑" w:eastAsia="微软雅黑"/>
          <w:b w:val="0"/>
          <w:bCs w:val="0"/>
          <w:i w:val="0"/>
          <w:caps w:val="0"/>
          <w:color w:val="000000"/>
          <w:spacing w:val="0"/>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标的名称）</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4"/>
          <w:w w:val="95"/>
          <w:kern w:val="2"/>
          <w:sz w:val="24"/>
          <w:szCs w:val="24"/>
          <w:highlight w:val="none"/>
          <w:lang w:val="zh-CN" w:eastAsia="zh-CN" w:bidi="zh-CN"/>
        </w:rPr>
        <w:t>属于（</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采购文件中明确的所属行业）</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承</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建</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承</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接）</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企</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10"/>
          <w:w w:val="99"/>
          <w:kern w:val="2"/>
          <w:sz w:val="24"/>
          <w:szCs w:val="24"/>
          <w:highlight w:val="none"/>
          <w:lang w:val="en-US" w:eastAsia="zh-CN" w:bidi="ar-SA"/>
        </w:rPr>
        <w:t>为</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（企业名称）</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从</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人</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员</w:t>
      </w:r>
      <w:r>
        <w:rPr>
          <w:rStyle w:val="62"/>
          <w:rFonts w:ascii="微软雅黑" w:hAnsi="微软雅黑" w:eastAsia="微软雅黑"/>
          <w:b w:val="0"/>
          <w:bCs w:val="0"/>
          <w:i w:val="0"/>
          <w:caps w:val="0"/>
          <w:color w:val="000000"/>
          <w:spacing w:val="0"/>
          <w:w w:val="99"/>
          <w:kern w:val="2"/>
          <w:sz w:val="24"/>
          <w:szCs w:val="24"/>
          <w:highlight w:val="none"/>
          <w:lang w:val="en-US" w:eastAsia="zh-CN" w:bidi="ar-SA"/>
        </w:rPr>
        <w:t xml:space="preserve"> </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ab/>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 xml:space="preserve">     </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人</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营</w:t>
      </w:r>
      <w:r>
        <w:rPr>
          <w:rStyle w:val="62"/>
          <w:rFonts w:ascii="微软雅黑" w:hAnsi="微软雅黑" w:eastAsia="微软雅黑"/>
          <w:b w:val="0"/>
          <w:bCs w:val="0"/>
          <w:i w:val="0"/>
          <w:caps w:val="0"/>
          <w:color w:val="000000"/>
          <w:spacing w:val="0"/>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收入为</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 xml:space="preserve">    </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ab/>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万元，资产总额为</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 xml:space="preserve">    </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ab/>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万元，属</w:t>
      </w:r>
      <w:r>
        <w:rPr>
          <w:rStyle w:val="62"/>
          <w:rFonts w:ascii="微软雅黑" w:hAnsi="微软雅黑" w:eastAsia="微软雅黑"/>
          <w:b w:val="0"/>
          <w:bCs w:val="0"/>
          <w:i w:val="0"/>
          <w:caps w:val="0"/>
          <w:color w:val="000000"/>
          <w:spacing w:val="-15"/>
          <w:w w:val="100"/>
          <w:kern w:val="2"/>
          <w:sz w:val="24"/>
          <w:szCs w:val="24"/>
          <w:highlight w:val="none"/>
          <w:lang w:val="en-US" w:eastAsia="zh-CN" w:bidi="ar-SA"/>
        </w:rPr>
        <w:t>于</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（中型企业、小型企业、微型企业）</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p>
    <w:p>
      <w:pPr>
        <w:pStyle w:val="66"/>
        <w:tabs>
          <w:tab w:val="left" w:pos="1243"/>
          <w:tab w:val="left" w:pos="1806"/>
          <w:tab w:val="left" w:pos="5005"/>
          <w:tab w:val="left" w:pos="7213"/>
        </w:tabs>
        <w:snapToGrid w:val="0"/>
        <w:spacing w:before="0" w:beforeAutospacing="0" w:after="0" w:afterAutospacing="0" w:line="420" w:lineRule="exact"/>
        <w:ind w:right="0" w:firstLine="480" w:firstLineChars="200"/>
        <w:jc w:val="left"/>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0"/>
          <w:w w:val="100"/>
          <w:kern w:val="2"/>
          <w:sz w:val="24"/>
          <w:szCs w:val="24"/>
          <w:highlight w:val="none"/>
          <w:lang w:val="en-US" w:eastAsia="zh-CN" w:bidi="zh-CN"/>
        </w:rPr>
        <w:t xml:space="preserve">2. </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（标的名称）</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4"/>
          <w:w w:val="95"/>
          <w:kern w:val="2"/>
          <w:sz w:val="24"/>
          <w:szCs w:val="24"/>
          <w:highlight w:val="none"/>
          <w:lang w:val="zh-CN" w:eastAsia="zh-CN" w:bidi="zh-CN"/>
        </w:rPr>
        <w:t>属于</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（采购文件中明确的所属行业）</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承</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建</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承</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接）</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企</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10"/>
          <w:w w:val="99"/>
          <w:kern w:val="2"/>
          <w:sz w:val="24"/>
          <w:szCs w:val="24"/>
          <w:highlight w:val="none"/>
          <w:lang w:val="en-US" w:eastAsia="zh-CN" w:bidi="ar-SA"/>
        </w:rPr>
        <w:t>为</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（企业名称）</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从</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人</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员</w:t>
      </w:r>
      <w:r>
        <w:rPr>
          <w:rStyle w:val="62"/>
          <w:rFonts w:ascii="微软雅黑" w:hAnsi="微软雅黑" w:eastAsia="微软雅黑"/>
          <w:b w:val="0"/>
          <w:bCs w:val="0"/>
          <w:i w:val="0"/>
          <w:caps w:val="0"/>
          <w:color w:val="000000"/>
          <w:spacing w:val="0"/>
          <w:w w:val="99"/>
          <w:kern w:val="2"/>
          <w:sz w:val="24"/>
          <w:szCs w:val="24"/>
          <w:highlight w:val="none"/>
          <w:u w:val="single" w:color="000000"/>
          <w:lang w:val="en-US" w:eastAsia="zh-CN" w:bidi="ar-SA"/>
        </w:rPr>
        <w:t xml:space="preserve">        </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人</w:t>
      </w:r>
      <w:r>
        <w:rPr>
          <w:rStyle w:val="62"/>
          <w:rFonts w:ascii="微软雅黑" w:hAnsi="微软雅黑" w:eastAsia="微软雅黑"/>
          <w:b w:val="0"/>
          <w:bCs w:val="0"/>
          <w:i w:val="0"/>
          <w:caps w:val="0"/>
          <w:color w:val="000000"/>
          <w:spacing w:val="5"/>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7"/>
          <w:w w:val="99"/>
          <w:kern w:val="2"/>
          <w:sz w:val="24"/>
          <w:szCs w:val="24"/>
          <w:highlight w:val="none"/>
          <w:lang w:val="en-US" w:eastAsia="zh-CN" w:bidi="ar-SA"/>
        </w:rPr>
        <w:t>营</w:t>
      </w:r>
      <w:r>
        <w:rPr>
          <w:rStyle w:val="62"/>
          <w:rFonts w:ascii="微软雅黑" w:hAnsi="微软雅黑" w:eastAsia="微软雅黑"/>
          <w:b w:val="0"/>
          <w:bCs w:val="0"/>
          <w:i w:val="0"/>
          <w:caps w:val="0"/>
          <w:color w:val="000000"/>
          <w:spacing w:val="0"/>
          <w:w w:val="99"/>
          <w:kern w:val="2"/>
          <w:sz w:val="24"/>
          <w:szCs w:val="24"/>
          <w:highlight w:val="none"/>
          <w:lang w:val="en-US" w:eastAsia="zh-CN" w:bidi="ar-SA"/>
        </w:rPr>
        <w:t>业</w:t>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收入为</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 xml:space="preserve"> </w:t>
      </w:r>
      <w:r>
        <w:rPr>
          <w:rFonts w:ascii="微软雅黑" w:hAnsi="微软雅黑" w:eastAsia="微软雅黑"/>
          <w:b w:val="0"/>
          <w:i w:val="0"/>
          <w:caps w:val="0"/>
          <w:color w:val="000000"/>
          <w:spacing w:val="0"/>
          <w:w w:val="100"/>
          <w:sz w:val="24"/>
          <w:highlight w:val="none"/>
          <w:u w:val="single" w:color="000000"/>
        </w:rPr>
        <w:tab/>
      </w: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万元，资产总额为</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 xml:space="preserve">     </w:t>
      </w:r>
      <w:r>
        <w:rPr>
          <w:rStyle w:val="62"/>
          <w:rFonts w:ascii="微软雅黑" w:hAnsi="微软雅黑" w:eastAsia="微软雅黑"/>
          <w:b w:val="0"/>
          <w:bCs w:val="0"/>
          <w:i w:val="0"/>
          <w:caps w:val="0"/>
          <w:color w:val="000000"/>
          <w:spacing w:val="0"/>
          <w:w w:val="100"/>
          <w:kern w:val="2"/>
          <w:sz w:val="24"/>
          <w:szCs w:val="24"/>
          <w:highlight w:val="none"/>
          <w:u w:val="single" w:color="000000"/>
          <w:lang w:val="en-US" w:eastAsia="zh-CN" w:bidi="ar-SA"/>
        </w:rPr>
        <w:tab/>
      </w:r>
      <w:r>
        <w:rPr>
          <w:rStyle w:val="62"/>
          <w:rFonts w:ascii="微软雅黑" w:hAnsi="微软雅黑" w:eastAsia="微软雅黑"/>
          <w:b w:val="0"/>
          <w:bCs w:val="0"/>
          <w:i w:val="0"/>
          <w:caps w:val="0"/>
          <w:color w:val="000000"/>
          <w:spacing w:val="0"/>
          <w:w w:val="95"/>
          <w:kern w:val="2"/>
          <w:sz w:val="24"/>
          <w:szCs w:val="24"/>
          <w:highlight w:val="none"/>
          <w:lang w:val="en-US" w:eastAsia="zh-CN" w:bidi="ar-SA"/>
        </w:rPr>
        <w:t>万元，属</w:t>
      </w:r>
      <w:r>
        <w:rPr>
          <w:rStyle w:val="62"/>
          <w:rFonts w:ascii="微软雅黑" w:hAnsi="微软雅黑" w:eastAsia="微软雅黑"/>
          <w:b w:val="0"/>
          <w:bCs w:val="0"/>
          <w:i w:val="0"/>
          <w:caps w:val="0"/>
          <w:color w:val="000000"/>
          <w:spacing w:val="-12"/>
          <w:w w:val="95"/>
          <w:kern w:val="2"/>
          <w:sz w:val="24"/>
          <w:szCs w:val="24"/>
          <w:highlight w:val="none"/>
          <w:lang w:val="en-US" w:eastAsia="zh-CN" w:bidi="ar-SA"/>
        </w:rPr>
        <w:t>于</w:t>
      </w:r>
      <w:r>
        <w:rPr>
          <w:rStyle w:val="62"/>
          <w:rFonts w:ascii="微软雅黑" w:hAnsi="微软雅黑" w:eastAsia="微软雅黑"/>
          <w:b w:val="0"/>
          <w:bCs w:val="0"/>
          <w:i w:val="0"/>
          <w:caps w:val="0"/>
          <w:color w:val="000000"/>
          <w:spacing w:val="-2"/>
          <w:w w:val="100"/>
          <w:kern w:val="2"/>
          <w:sz w:val="24"/>
          <w:szCs w:val="24"/>
          <w:highlight w:val="none"/>
          <w:u w:val="single" w:color="000000"/>
          <w:lang w:val="zh-CN" w:eastAsia="zh-CN" w:bidi="zh-CN"/>
        </w:rPr>
        <w:t>（中型企业、小型企业、微型企业）</w:t>
      </w:r>
      <w:r>
        <w:rPr>
          <w:rStyle w:val="62"/>
          <w:rFonts w:ascii="微软雅黑" w:hAnsi="微软雅黑" w:eastAsia="微软雅黑"/>
          <w:b w:val="0"/>
          <w:bCs w:val="0"/>
          <w:i w:val="0"/>
          <w:caps w:val="0"/>
          <w:color w:val="000000"/>
          <w:spacing w:val="-2"/>
          <w:w w:val="100"/>
          <w:kern w:val="2"/>
          <w:sz w:val="24"/>
          <w:szCs w:val="24"/>
          <w:highlight w:val="none"/>
          <w:lang w:val="zh-CN" w:eastAsia="zh-CN" w:bidi="zh-CN"/>
        </w:rPr>
        <w:t>；</w:t>
      </w:r>
    </w:p>
    <w:p>
      <w:pPr>
        <w:pStyle w:val="64"/>
        <w:snapToGrid w:val="0"/>
        <w:spacing w:before="0" w:beforeAutospacing="0" w:after="0" w:afterAutospacing="0" w:line="420" w:lineRule="exact"/>
        <w:ind w:left="860"/>
        <w:jc w:val="both"/>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w:t>
      </w:r>
    </w:p>
    <w:p>
      <w:pPr>
        <w:pStyle w:val="64"/>
        <w:snapToGrid w:val="0"/>
        <w:spacing w:before="0" w:beforeAutospacing="0" w:after="0" w:afterAutospacing="0" w:line="420" w:lineRule="exact"/>
        <w:ind w:right="417" w:firstLine="645"/>
        <w:jc w:val="both"/>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3"/>
          <w:w w:val="100"/>
          <w:kern w:val="2"/>
          <w:sz w:val="24"/>
          <w:szCs w:val="24"/>
          <w:highlight w:val="none"/>
          <w:lang w:val="en-US" w:eastAsia="zh-CN" w:bidi="ar-SA"/>
        </w:rPr>
        <w:t>以上企业，不属于大企业的分支机构，不存在控股股东</w:t>
      </w:r>
      <w:r>
        <w:rPr>
          <w:rStyle w:val="62"/>
          <w:rFonts w:ascii="微软雅黑" w:hAnsi="微软雅黑" w:eastAsia="微软雅黑"/>
          <w:b w:val="0"/>
          <w:bCs w:val="0"/>
          <w:i w:val="0"/>
          <w:caps w:val="0"/>
          <w:color w:val="000000"/>
          <w:spacing w:val="-5"/>
          <w:w w:val="100"/>
          <w:kern w:val="2"/>
          <w:sz w:val="24"/>
          <w:szCs w:val="24"/>
          <w:highlight w:val="none"/>
          <w:lang w:val="en-US" w:eastAsia="zh-CN" w:bidi="ar-SA"/>
        </w:rPr>
        <w:t>为大企业的情形，也不存在与大企业的负责人为同一人的情形。</w:t>
      </w:r>
    </w:p>
    <w:p>
      <w:pPr>
        <w:pStyle w:val="64"/>
        <w:snapToGrid w:val="0"/>
        <w:spacing w:before="0" w:beforeAutospacing="0" w:after="0" w:afterAutospacing="0" w:line="420" w:lineRule="exact"/>
        <w:ind w:right="375" w:firstLine="640"/>
        <w:jc w:val="both"/>
        <w:textAlignment w:val="baseline"/>
        <w:rPr>
          <w:rStyle w:val="62"/>
          <w:rFonts w:ascii="微软雅黑" w:hAnsi="微软雅黑" w:eastAsia="微软雅黑"/>
          <w:b w:val="0"/>
          <w:bCs w:val="0"/>
          <w:i w:val="0"/>
          <w:caps w:val="0"/>
          <w:color w:val="000000"/>
          <w:spacing w:val="0"/>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0"/>
          <w:w w:val="100"/>
          <w:kern w:val="2"/>
          <w:sz w:val="24"/>
          <w:szCs w:val="24"/>
          <w:highlight w:val="none"/>
          <w:lang w:val="en-US" w:eastAsia="zh-CN" w:bidi="ar-SA"/>
        </w:rPr>
        <w:t>本企业对上述声明内容的真实性负责。如有虚假，将依法承担相应责任。</w:t>
      </w:r>
    </w:p>
    <w:p>
      <w:pPr>
        <w:pStyle w:val="64"/>
        <w:snapToGrid w:val="0"/>
        <w:spacing w:before="0" w:beforeAutospacing="0" w:after="0" w:afterAutospacing="0" w:line="420" w:lineRule="exact"/>
        <w:ind w:left="4060" w:right="2166"/>
        <w:jc w:val="both"/>
        <w:textAlignment w:val="baseline"/>
        <w:rPr>
          <w:rStyle w:val="62"/>
          <w:rFonts w:ascii="微软雅黑" w:hAnsi="微软雅黑" w:eastAsia="微软雅黑"/>
          <w:b w:val="0"/>
          <w:bCs w:val="0"/>
          <w:i w:val="0"/>
          <w:caps w:val="0"/>
          <w:color w:val="000000"/>
          <w:spacing w:val="0"/>
          <w:w w:val="99"/>
          <w:kern w:val="2"/>
          <w:sz w:val="24"/>
          <w:szCs w:val="24"/>
          <w:highlight w:val="none"/>
          <w:lang w:val="en-US" w:eastAsia="zh-CN" w:bidi="ar-SA"/>
        </w:rPr>
      </w:pPr>
    </w:p>
    <w:p>
      <w:pPr>
        <w:pStyle w:val="64"/>
        <w:snapToGrid w:val="0"/>
        <w:spacing w:before="0" w:beforeAutospacing="0" w:after="0" w:afterAutospacing="0" w:line="420" w:lineRule="exact"/>
        <w:ind w:left="4060" w:right="2166"/>
        <w:jc w:val="both"/>
        <w:textAlignment w:val="baseline"/>
        <w:rPr>
          <w:rStyle w:val="62"/>
          <w:rFonts w:ascii="微软雅黑" w:hAnsi="微软雅黑" w:eastAsia="微软雅黑"/>
          <w:b w:val="0"/>
          <w:bCs w:val="0"/>
          <w:i w:val="0"/>
          <w:caps w:val="0"/>
          <w:color w:val="000000"/>
          <w:spacing w:val="0"/>
          <w:w w:val="99"/>
          <w:kern w:val="2"/>
          <w:sz w:val="24"/>
          <w:szCs w:val="24"/>
          <w:highlight w:val="none"/>
          <w:lang w:val="en-US" w:eastAsia="zh-CN" w:bidi="ar-SA"/>
        </w:rPr>
      </w:pPr>
    </w:p>
    <w:p>
      <w:pPr>
        <w:pStyle w:val="64"/>
        <w:snapToGrid w:val="0"/>
        <w:spacing w:before="0" w:beforeAutospacing="0" w:after="0" w:afterAutospacing="0" w:line="420" w:lineRule="exact"/>
        <w:ind w:left="4060" w:right="2166"/>
        <w:jc w:val="right"/>
        <w:textAlignment w:val="baseline"/>
        <w:rPr>
          <w:rStyle w:val="62"/>
          <w:rFonts w:ascii="微软雅黑" w:hAnsi="微软雅黑" w:eastAsia="微软雅黑"/>
          <w:b w:val="0"/>
          <w:bCs w:val="0"/>
          <w:i w:val="0"/>
          <w:caps w:val="0"/>
          <w:color w:val="000000"/>
          <w:spacing w:val="-8"/>
          <w:w w:val="99"/>
          <w:kern w:val="2"/>
          <w:sz w:val="24"/>
          <w:szCs w:val="24"/>
          <w:highlight w:val="none"/>
          <w:lang w:val="en-US" w:eastAsia="zh-CN" w:bidi="ar-SA"/>
        </w:rPr>
      </w:pPr>
      <w:r>
        <w:rPr>
          <w:rStyle w:val="62"/>
          <w:rFonts w:ascii="微软雅黑" w:hAnsi="微软雅黑" w:eastAsia="微软雅黑"/>
          <w:b w:val="0"/>
          <w:bCs w:val="0"/>
          <w:i w:val="0"/>
          <w:caps w:val="0"/>
          <w:color w:val="000000"/>
          <w:spacing w:val="0"/>
          <w:w w:val="99"/>
          <w:kern w:val="2"/>
          <w:sz w:val="24"/>
          <w:szCs w:val="24"/>
          <w:highlight w:val="none"/>
          <w:lang w:val="en-US" w:eastAsia="zh-CN" w:bidi="ar-SA"/>
        </w:rPr>
        <w:t>企业名称</w:t>
      </w:r>
      <w:r>
        <w:rPr>
          <w:rStyle w:val="62"/>
          <w:rFonts w:ascii="微软雅黑" w:hAnsi="微软雅黑" w:eastAsia="微软雅黑"/>
          <w:b w:val="0"/>
          <w:bCs w:val="0"/>
          <w:i w:val="0"/>
          <w:caps w:val="0"/>
          <w:color w:val="000000"/>
          <w:spacing w:val="2"/>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0"/>
          <w:w w:val="99"/>
          <w:kern w:val="2"/>
          <w:sz w:val="24"/>
          <w:szCs w:val="24"/>
          <w:highlight w:val="none"/>
          <w:lang w:val="en-US" w:eastAsia="zh-CN" w:bidi="ar-SA"/>
        </w:rPr>
        <w:t>盖章</w:t>
      </w:r>
      <w:r>
        <w:rPr>
          <w:rStyle w:val="62"/>
          <w:rFonts w:ascii="微软雅黑" w:hAnsi="微软雅黑" w:eastAsia="微软雅黑"/>
          <w:b w:val="0"/>
          <w:bCs w:val="0"/>
          <w:i w:val="0"/>
          <w:caps w:val="0"/>
          <w:color w:val="000000"/>
          <w:spacing w:val="-167"/>
          <w:w w:val="99"/>
          <w:kern w:val="2"/>
          <w:sz w:val="24"/>
          <w:szCs w:val="24"/>
          <w:highlight w:val="none"/>
          <w:lang w:val="en-US" w:eastAsia="zh-CN" w:bidi="ar-SA"/>
        </w:rPr>
        <w:t>）</w:t>
      </w:r>
      <w:r>
        <w:rPr>
          <w:rStyle w:val="62"/>
          <w:rFonts w:ascii="微软雅黑" w:hAnsi="微软雅黑" w:eastAsia="微软雅黑"/>
          <w:b w:val="0"/>
          <w:bCs w:val="0"/>
          <w:i w:val="0"/>
          <w:caps w:val="0"/>
          <w:color w:val="000000"/>
          <w:spacing w:val="-8"/>
          <w:w w:val="99"/>
          <w:kern w:val="2"/>
          <w:sz w:val="24"/>
          <w:szCs w:val="24"/>
          <w:highlight w:val="none"/>
          <w:lang w:val="en-US" w:eastAsia="zh-CN" w:bidi="ar-SA"/>
        </w:rPr>
        <w:t>：</w:t>
      </w:r>
    </w:p>
    <w:p>
      <w:pPr>
        <w:pStyle w:val="64"/>
        <w:snapToGrid w:val="0"/>
        <w:spacing w:before="0" w:beforeAutospacing="0" w:after="0" w:afterAutospacing="0" w:line="420" w:lineRule="exact"/>
        <w:ind w:left="4060" w:right="2166"/>
        <w:jc w:val="right"/>
        <w:textAlignment w:val="baseline"/>
        <w:rPr>
          <w:rStyle w:val="62"/>
          <w:rFonts w:ascii="微软雅黑" w:hAnsi="微软雅黑" w:eastAsia="微软雅黑"/>
          <w:b w:val="0"/>
          <w:bCs w:val="0"/>
          <w:i w:val="0"/>
          <w:caps w:val="0"/>
          <w:color w:val="000000"/>
          <w:spacing w:val="24"/>
          <w:w w:val="100"/>
          <w:kern w:val="2"/>
          <w:sz w:val="24"/>
          <w:szCs w:val="24"/>
          <w:highlight w:val="none"/>
          <w:lang w:val="en-US" w:eastAsia="zh-CN" w:bidi="ar-SA"/>
        </w:rPr>
      </w:pPr>
      <w:r>
        <w:rPr>
          <w:rStyle w:val="62"/>
          <w:rFonts w:ascii="微软雅黑" w:hAnsi="微软雅黑" w:eastAsia="微软雅黑"/>
          <w:b w:val="0"/>
          <w:bCs w:val="0"/>
          <w:i w:val="0"/>
          <w:caps w:val="0"/>
          <w:color w:val="000000"/>
          <w:spacing w:val="24"/>
          <w:w w:val="100"/>
          <w:kern w:val="2"/>
          <w:sz w:val="24"/>
          <w:szCs w:val="24"/>
          <w:highlight w:val="none"/>
          <w:lang w:val="en-US" w:eastAsia="zh-CN" w:bidi="ar-SA"/>
        </w:rPr>
        <w:t>日期：</w:t>
      </w:r>
    </w:p>
    <w:p>
      <w:pPr>
        <w:snapToGrid w:val="0"/>
        <w:spacing w:before="0" w:beforeAutospacing="0" w:after="0" w:afterAutospacing="0" w:line="240" w:lineRule="auto"/>
        <w:jc w:val="both"/>
        <w:textAlignment w:val="baseline"/>
        <w:rPr>
          <w:rStyle w:val="62"/>
          <w:rFonts w:ascii="微软雅黑" w:hAnsi="微软雅黑" w:eastAsia="微软雅黑"/>
          <w:b w:val="0"/>
          <w:bCs w:val="0"/>
          <w:i w:val="0"/>
          <w:caps w:val="0"/>
          <w:color w:val="000000"/>
          <w:spacing w:val="24"/>
          <w:w w:val="100"/>
          <w:kern w:val="2"/>
          <w:sz w:val="24"/>
          <w:szCs w:val="24"/>
          <w:highlight w:val="none"/>
          <w:lang w:val="en-US" w:eastAsia="zh-CN" w:bidi="ar-SA"/>
        </w:rPr>
      </w:pPr>
    </w:p>
    <w:p>
      <w:pPr>
        <w:pStyle w:val="64"/>
        <w:snapToGrid w:val="0"/>
        <w:spacing w:before="0" w:beforeAutospacing="0" w:after="0" w:afterAutospacing="0" w:line="420" w:lineRule="exact"/>
        <w:ind w:right="0"/>
        <w:jc w:val="both"/>
        <w:textAlignment w:val="baseline"/>
        <w:rPr>
          <w:rStyle w:val="62"/>
          <w:rFonts w:ascii="宋体" w:eastAsia="宋体"/>
          <w:b w:val="0"/>
          <w:i w:val="0"/>
          <w:caps w:val="0"/>
          <w:color w:val="000000"/>
          <w:spacing w:val="0"/>
          <w:w w:val="100"/>
          <w:kern w:val="2"/>
          <w:sz w:val="18"/>
          <w:szCs w:val="24"/>
          <w:highlight w:val="none"/>
          <w:lang w:val="en-US" w:eastAsia="zh-CN" w:bidi="ar-SA"/>
        </w:rPr>
      </w:pPr>
    </w:p>
    <w:p>
      <w:pPr>
        <w:pStyle w:val="64"/>
        <w:snapToGrid w:val="0"/>
        <w:spacing w:before="0" w:beforeAutospacing="0" w:after="0" w:afterAutospacing="0" w:line="420" w:lineRule="exact"/>
        <w:ind w:right="0"/>
        <w:jc w:val="both"/>
        <w:textAlignment w:val="baseline"/>
        <w:rPr>
          <w:rStyle w:val="62"/>
          <w:rFonts w:ascii="宋体" w:eastAsia="宋体"/>
          <w:b w:val="0"/>
          <w:i w:val="0"/>
          <w:caps w:val="0"/>
          <w:color w:val="000000"/>
          <w:spacing w:val="0"/>
          <w:w w:val="100"/>
          <w:kern w:val="2"/>
          <w:sz w:val="18"/>
          <w:szCs w:val="24"/>
          <w:highlight w:val="none"/>
          <w:lang w:val="en-US" w:eastAsia="zh-CN" w:bidi="ar-SA"/>
        </w:rPr>
      </w:pPr>
    </w:p>
    <w:p>
      <w:pPr>
        <w:pStyle w:val="64"/>
        <w:snapToGrid w:val="0"/>
        <w:spacing w:before="0" w:beforeAutospacing="0" w:after="0" w:afterAutospacing="0" w:line="420" w:lineRule="exact"/>
        <w:ind w:right="417" w:firstLine="645"/>
        <w:jc w:val="both"/>
        <w:textAlignment w:val="baseline"/>
        <w:rPr>
          <w:rStyle w:val="62"/>
          <w:rFonts w:ascii="微软雅黑" w:hAnsi="微软雅黑" w:eastAsia="微软雅黑"/>
          <w:b w:val="0"/>
          <w:bCs w:val="0"/>
          <w:i w:val="0"/>
          <w:caps w:val="0"/>
          <w:color w:val="000000"/>
          <w:spacing w:val="-3"/>
          <w:w w:val="100"/>
          <w:kern w:val="2"/>
          <w:sz w:val="24"/>
          <w:szCs w:val="24"/>
          <w:highlight w:val="none"/>
          <w:lang w:val="en-US" w:eastAsia="zh-CN" w:bidi="ar-SA"/>
        </w:rPr>
        <w:sectPr>
          <w:pgSz w:w="11910" w:h="16840"/>
          <w:pgMar w:top="1440" w:right="1080" w:bottom="1440" w:left="1080" w:header="964" w:footer="1134" w:gutter="0"/>
          <w:lnNumType w:countBy="0"/>
          <w:pgNumType w:fmt="decimal"/>
          <w:cols w:space="425" w:num="1"/>
          <w:vAlign w:val="top"/>
          <w:docGrid w:linePitch="0" w:charSpace="0"/>
        </w:sectPr>
      </w:pPr>
      <w:r>
        <w:rPr>
          <w:rStyle w:val="62"/>
          <w:rFonts w:ascii="微软雅黑" w:hAnsi="微软雅黑" w:eastAsia="微软雅黑"/>
          <w:b w:val="0"/>
          <w:bCs w:val="0"/>
          <w:i w:val="0"/>
          <w:caps w:val="0"/>
          <w:color w:val="000000"/>
          <w:spacing w:val="-3"/>
          <w:w w:val="100"/>
          <w:kern w:val="2"/>
          <w:sz w:val="24"/>
          <w:szCs w:val="24"/>
          <w:highlight w:val="none"/>
          <w:lang w:val="en-US" w:eastAsia="zh-CN" w:bidi="ar-SA"/>
        </w:rPr>
        <w:t>备注：从业人员、营业收入、资产总额填报上一年度数据，无上一年度数据的新成立企业可不填报</w:t>
      </w:r>
    </w:p>
    <w:p>
      <w:pPr>
        <w:widowControl/>
        <w:jc w:val="left"/>
        <w:rPr>
          <w:rFonts w:hint="eastAsia" w:ascii="微软雅黑" w:hAnsi="微软雅黑" w:eastAsia="微软雅黑" w:cs="微软雅黑"/>
          <w:b/>
          <w:bCs/>
          <w:sz w:val="28"/>
          <w:szCs w:val="28"/>
          <w:highlight w:val="none"/>
          <w:lang w:eastAsia="zh-CN"/>
        </w:rPr>
      </w:pPr>
      <w:r>
        <w:rPr>
          <w:rFonts w:hint="eastAsia" w:ascii="微软雅黑" w:hAnsi="微软雅黑" w:eastAsia="微软雅黑" w:cs="微软雅黑"/>
          <w:b/>
          <w:bCs/>
          <w:sz w:val="28"/>
          <w:szCs w:val="28"/>
          <w:highlight w:val="none"/>
        </w:rPr>
        <w:t>附件1</w:t>
      </w:r>
      <w:r>
        <w:rPr>
          <w:rFonts w:hint="eastAsia" w:ascii="微软雅黑" w:hAnsi="微软雅黑" w:eastAsia="微软雅黑" w:cs="微软雅黑"/>
          <w:b/>
          <w:bCs/>
          <w:sz w:val="28"/>
          <w:szCs w:val="28"/>
          <w:highlight w:val="none"/>
          <w:lang w:val="en-US" w:eastAsia="zh-CN"/>
        </w:rPr>
        <w:t>4</w:t>
      </w:r>
    </w:p>
    <w:p>
      <w:pPr>
        <w:widowControl/>
        <w:jc w:val="center"/>
        <w:rPr>
          <w:rFonts w:hint="eastAsia" w:ascii="微软雅黑" w:hAnsi="微软雅黑" w:eastAsia="微软雅黑" w:cs="微软雅黑"/>
          <w:b/>
          <w:bCs/>
          <w:spacing w:val="21"/>
          <w:kern w:val="0"/>
          <w:sz w:val="32"/>
          <w:szCs w:val="32"/>
          <w:highlight w:val="none"/>
        </w:rPr>
      </w:pPr>
      <w:r>
        <w:rPr>
          <w:rFonts w:hint="eastAsia" w:ascii="微软雅黑" w:hAnsi="微软雅黑" w:eastAsia="微软雅黑" w:cs="微软雅黑"/>
          <w:b/>
          <w:bCs/>
          <w:spacing w:val="21"/>
          <w:kern w:val="0"/>
          <w:sz w:val="32"/>
          <w:szCs w:val="32"/>
          <w:highlight w:val="none"/>
        </w:rPr>
        <w:t>残疾人福利性单位声明函</w:t>
      </w:r>
    </w:p>
    <w:p>
      <w:pPr>
        <w:spacing w:line="588" w:lineRule="exact"/>
        <w:ind w:firstLine="504" w:firstLineChars="200"/>
        <w:rPr>
          <w:rFonts w:hint="eastAsia" w:ascii="微软雅黑" w:hAnsi="微软雅黑" w:eastAsia="微软雅黑" w:cs="微软雅黑"/>
          <w:spacing w:val="6"/>
          <w:sz w:val="24"/>
          <w:szCs w:val="24"/>
          <w:highlight w:val="none"/>
        </w:rPr>
      </w:pPr>
      <w:r>
        <w:rPr>
          <w:rFonts w:hint="eastAsia" w:ascii="微软雅黑" w:hAnsi="微软雅黑" w:eastAsia="微软雅黑" w:cs="微软雅黑"/>
          <w:spacing w:val="6"/>
          <w:sz w:val="24"/>
          <w:szCs w:val="24"/>
          <w:highlight w:val="none"/>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微软雅黑" w:hAnsi="微软雅黑" w:eastAsia="微软雅黑" w:cs="微软雅黑"/>
          <w:spacing w:val="6"/>
          <w:sz w:val="24"/>
          <w:szCs w:val="24"/>
          <w:highlight w:val="none"/>
        </w:rPr>
      </w:pPr>
      <w:r>
        <w:rPr>
          <w:rFonts w:hint="eastAsia" w:ascii="微软雅黑" w:hAnsi="微软雅黑" w:eastAsia="微软雅黑" w:cs="微软雅黑"/>
          <w:spacing w:val="6"/>
          <w:sz w:val="24"/>
          <w:szCs w:val="24"/>
          <w:highlight w:val="none"/>
        </w:rPr>
        <w:t>本单位对上述声明的真实性负责。如有虚假，将依法承担相应责任。</w:t>
      </w:r>
    </w:p>
    <w:p>
      <w:pPr>
        <w:tabs>
          <w:tab w:val="left" w:pos="4860"/>
        </w:tabs>
        <w:spacing w:line="588" w:lineRule="exact"/>
        <w:ind w:right="1560" w:firstLine="504" w:firstLineChars="200"/>
        <w:jc w:val="center"/>
        <w:rPr>
          <w:rFonts w:hint="eastAsia" w:ascii="微软雅黑" w:hAnsi="微软雅黑" w:eastAsia="微软雅黑" w:cs="微软雅黑"/>
          <w:spacing w:val="6"/>
          <w:sz w:val="24"/>
          <w:szCs w:val="24"/>
          <w:highlight w:val="none"/>
        </w:rPr>
      </w:pPr>
    </w:p>
    <w:p>
      <w:pPr>
        <w:tabs>
          <w:tab w:val="left" w:pos="4860"/>
        </w:tabs>
        <w:spacing w:line="588" w:lineRule="exact"/>
        <w:ind w:right="1560" w:firstLine="504" w:firstLineChars="200"/>
        <w:jc w:val="center"/>
        <w:rPr>
          <w:rFonts w:hint="eastAsia" w:ascii="微软雅黑" w:hAnsi="微软雅黑" w:eastAsia="微软雅黑" w:cs="微软雅黑"/>
          <w:spacing w:val="6"/>
          <w:sz w:val="24"/>
          <w:szCs w:val="24"/>
          <w:highlight w:val="none"/>
        </w:rPr>
      </w:pPr>
      <w:r>
        <w:rPr>
          <w:rFonts w:hint="eastAsia" w:ascii="微软雅黑" w:hAnsi="微软雅黑" w:eastAsia="微软雅黑" w:cs="微软雅黑"/>
          <w:spacing w:val="6"/>
          <w:sz w:val="24"/>
          <w:szCs w:val="24"/>
          <w:highlight w:val="none"/>
        </w:rPr>
        <w:t xml:space="preserve">             </w:t>
      </w:r>
      <w:r>
        <w:rPr>
          <w:rFonts w:hint="eastAsia" w:ascii="微软雅黑" w:hAnsi="微软雅黑" w:eastAsia="微软雅黑" w:cs="微软雅黑"/>
          <w:sz w:val="24"/>
          <w:szCs w:val="24"/>
          <w:highlight w:val="none"/>
        </w:rPr>
        <w:t>投标人名称（盖</w:t>
      </w:r>
      <w:r>
        <w:rPr>
          <w:rFonts w:hint="eastAsia" w:ascii="微软雅黑" w:hAnsi="微软雅黑" w:eastAsia="微软雅黑" w:cs="微软雅黑"/>
          <w:sz w:val="24"/>
          <w:szCs w:val="24"/>
          <w:highlight w:val="none"/>
          <w:lang w:val="en-US" w:eastAsia="zh-CN"/>
        </w:rPr>
        <w:t>公</w:t>
      </w:r>
      <w:r>
        <w:rPr>
          <w:rFonts w:hint="eastAsia" w:ascii="微软雅黑" w:hAnsi="微软雅黑" w:eastAsia="微软雅黑" w:cs="微软雅黑"/>
          <w:sz w:val="24"/>
          <w:szCs w:val="24"/>
          <w:highlight w:val="none"/>
        </w:rPr>
        <w:t>章）</w:t>
      </w:r>
      <w:r>
        <w:rPr>
          <w:rFonts w:hint="eastAsia" w:ascii="微软雅黑" w:hAnsi="微软雅黑" w:eastAsia="微软雅黑" w:cs="微软雅黑"/>
          <w:spacing w:val="6"/>
          <w:sz w:val="24"/>
          <w:szCs w:val="24"/>
          <w:highlight w:val="none"/>
        </w:rPr>
        <w:t>：</w:t>
      </w:r>
    </w:p>
    <w:p>
      <w:pPr>
        <w:tabs>
          <w:tab w:val="left" w:pos="4860"/>
        </w:tabs>
        <w:spacing w:line="588" w:lineRule="exact"/>
        <w:ind w:right="1560" w:firstLine="504" w:firstLineChars="20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pacing w:val="6"/>
          <w:sz w:val="24"/>
          <w:szCs w:val="24"/>
          <w:highlight w:val="none"/>
        </w:rPr>
        <w:t xml:space="preserve">       </w:t>
      </w:r>
      <w:r>
        <w:rPr>
          <w:rFonts w:hint="eastAsia" w:ascii="微软雅黑" w:hAnsi="微软雅黑" w:eastAsia="微软雅黑" w:cs="微软雅黑"/>
          <w:spacing w:val="6"/>
          <w:sz w:val="24"/>
          <w:szCs w:val="24"/>
          <w:highlight w:val="none"/>
          <w:lang w:val="en-US" w:eastAsia="zh-CN"/>
        </w:rPr>
        <w:t xml:space="preserve">                   </w:t>
      </w:r>
      <w:r>
        <w:rPr>
          <w:rFonts w:hint="eastAsia" w:ascii="微软雅黑" w:hAnsi="微软雅黑" w:eastAsia="微软雅黑" w:cs="微软雅黑"/>
          <w:spacing w:val="6"/>
          <w:sz w:val="24"/>
          <w:szCs w:val="24"/>
          <w:highlight w:val="none"/>
        </w:rPr>
        <w:t>日  期：</w:t>
      </w:r>
    </w:p>
    <w:p>
      <w:pPr>
        <w:pStyle w:val="57"/>
        <w:spacing w:line="360" w:lineRule="auto"/>
        <w:rPr>
          <w:rFonts w:hint="eastAsia" w:ascii="微软雅黑" w:hAnsi="微软雅黑" w:eastAsia="微软雅黑" w:cs="微软雅黑"/>
          <w:b/>
          <w:bCs/>
          <w:sz w:val="28"/>
          <w:szCs w:val="28"/>
          <w:highlight w:val="none"/>
        </w:rPr>
      </w:pPr>
    </w:p>
    <w:p>
      <w:pPr>
        <w:pStyle w:val="57"/>
        <w:spacing w:line="360" w:lineRule="auto"/>
        <w:rPr>
          <w:rFonts w:hint="eastAsia" w:ascii="微软雅黑" w:hAnsi="微软雅黑" w:eastAsia="微软雅黑" w:cs="微软雅黑"/>
          <w:b/>
          <w:bCs/>
          <w:sz w:val="28"/>
          <w:szCs w:val="28"/>
          <w:highlight w:val="none"/>
        </w:rPr>
      </w:pPr>
    </w:p>
    <w:p>
      <w:pPr>
        <w:pStyle w:val="57"/>
        <w:spacing w:line="360" w:lineRule="auto"/>
        <w:rPr>
          <w:rFonts w:hint="eastAsia" w:ascii="微软雅黑" w:hAnsi="微软雅黑" w:eastAsia="微软雅黑" w:cs="微软雅黑"/>
          <w:b/>
          <w:bCs/>
          <w:sz w:val="28"/>
          <w:szCs w:val="28"/>
          <w:highlight w:val="none"/>
        </w:rPr>
      </w:pPr>
    </w:p>
    <w:p>
      <w:pPr>
        <w:pStyle w:val="55"/>
        <w:widowControl/>
        <w:numPr>
          <w:ilvl w:val="0"/>
          <w:numId w:val="0"/>
        </w:numPr>
        <w:spacing w:line="360" w:lineRule="auto"/>
        <w:ind w:leftChars="0" w:right="84" w:rightChars="40"/>
        <w:jc w:val="left"/>
        <w:rPr>
          <w:rFonts w:hint="eastAsia" w:ascii="微软雅黑" w:hAnsi="微软雅黑" w:eastAsia="微软雅黑" w:cs="微软雅黑"/>
          <w:highlight w:val="none"/>
          <w:lang w:val="en-GB"/>
        </w:rPr>
      </w:pPr>
    </w:p>
    <w:p>
      <w:pPr>
        <w:spacing w:line="360" w:lineRule="auto"/>
        <w:rPr>
          <w:rFonts w:hint="eastAsia" w:ascii="微软雅黑" w:hAnsi="微软雅黑" w:eastAsia="微软雅黑" w:cs="微软雅黑"/>
          <w:b/>
          <w:bCs/>
          <w:sz w:val="28"/>
          <w:szCs w:val="28"/>
          <w:highlight w:val="none"/>
        </w:rPr>
      </w:pPr>
      <w:r>
        <w:rPr>
          <w:rFonts w:hint="eastAsia" w:ascii="微软雅黑" w:hAnsi="微软雅黑" w:eastAsia="微软雅黑" w:cs="微软雅黑"/>
          <w:b/>
          <w:bCs/>
          <w:sz w:val="28"/>
          <w:szCs w:val="28"/>
          <w:highlight w:val="none"/>
        </w:rPr>
        <w:br w:type="page"/>
      </w:r>
    </w:p>
    <w:p>
      <w:pPr>
        <w:pStyle w:val="59"/>
        <w:widowControl w:val="0"/>
        <w:snapToGrid w:val="0"/>
        <w:spacing w:line="500" w:lineRule="exact"/>
        <w:jc w:val="both"/>
        <w:rPr>
          <w:rFonts w:hint="eastAsia" w:ascii="微软雅黑" w:hAnsi="微软雅黑" w:eastAsia="微软雅黑" w:cs="微软雅黑"/>
          <w:b/>
          <w:bCs/>
          <w:sz w:val="28"/>
          <w:szCs w:val="28"/>
          <w:highlight w:val="none"/>
          <w:lang w:val="en-US" w:eastAsia="zh-CN"/>
        </w:rPr>
      </w:pPr>
      <w:r>
        <w:rPr>
          <w:rFonts w:hint="eastAsia" w:ascii="微软雅黑" w:hAnsi="微软雅黑" w:eastAsia="微软雅黑" w:cs="微软雅黑"/>
          <w:b/>
          <w:bCs/>
          <w:sz w:val="28"/>
          <w:szCs w:val="28"/>
          <w:highlight w:val="none"/>
        </w:rPr>
        <w:t>附件1</w:t>
      </w:r>
      <w:r>
        <w:rPr>
          <w:rFonts w:hint="eastAsia" w:ascii="微软雅黑" w:hAnsi="微软雅黑" w:eastAsia="微软雅黑" w:cs="微软雅黑"/>
          <w:b/>
          <w:bCs/>
          <w:sz w:val="28"/>
          <w:szCs w:val="28"/>
          <w:highlight w:val="none"/>
          <w:lang w:val="en-US" w:eastAsia="zh-CN"/>
        </w:rPr>
        <w:t xml:space="preserve">5         </w:t>
      </w:r>
    </w:p>
    <w:p>
      <w:pPr>
        <w:pStyle w:val="59"/>
        <w:widowControl w:val="0"/>
        <w:snapToGrid w:val="0"/>
        <w:spacing w:line="500" w:lineRule="exact"/>
        <w:ind w:firstLine="2520" w:firstLineChars="700"/>
        <w:jc w:val="both"/>
        <w:rPr>
          <w:rFonts w:hint="eastAsia" w:ascii="微软雅黑" w:hAnsi="微软雅黑" w:eastAsia="微软雅黑" w:cs="微软雅黑"/>
          <w:color w:val="000000"/>
          <w:sz w:val="32"/>
          <w:szCs w:val="32"/>
          <w:highlight w:val="none"/>
        </w:rPr>
      </w:pPr>
      <w:r>
        <w:rPr>
          <w:rFonts w:hint="eastAsia" w:ascii="微软雅黑" w:hAnsi="微软雅黑" w:eastAsia="微软雅黑" w:cs="微软雅黑"/>
          <w:b w:val="0"/>
          <w:bCs w:val="0"/>
          <w:color w:val="000000"/>
          <w:sz w:val="36"/>
          <w:szCs w:val="36"/>
          <w:highlight w:val="none"/>
          <w:lang w:eastAsia="zh-CN"/>
        </w:rPr>
        <w:t>政府采购活动</w:t>
      </w:r>
      <w:r>
        <w:rPr>
          <w:rFonts w:hint="eastAsia" w:ascii="微软雅黑" w:hAnsi="微软雅黑" w:eastAsia="微软雅黑" w:cs="微软雅黑"/>
          <w:b w:val="0"/>
          <w:bCs w:val="0"/>
          <w:color w:val="000000"/>
          <w:sz w:val="36"/>
          <w:szCs w:val="36"/>
          <w:highlight w:val="none"/>
        </w:rPr>
        <w:t>现</w:t>
      </w:r>
      <w:r>
        <w:rPr>
          <w:rFonts w:hint="eastAsia" w:ascii="微软雅黑" w:hAnsi="微软雅黑" w:eastAsia="微软雅黑" w:cs="微软雅黑"/>
          <w:b w:val="0"/>
          <w:color w:val="000000"/>
          <w:sz w:val="36"/>
          <w:szCs w:val="36"/>
          <w:highlight w:val="none"/>
        </w:rPr>
        <w:t>场确认声明书</w:t>
      </w:r>
    </w:p>
    <w:p>
      <w:pPr>
        <w:pStyle w:val="59"/>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rPr>
          <w:rFonts w:hint="eastAsia" w:ascii="微软雅黑" w:hAnsi="微软雅黑" w:eastAsia="微软雅黑" w:cs="微软雅黑"/>
          <w:b/>
          <w:color w:val="000000"/>
          <w:sz w:val="24"/>
          <w:szCs w:val="24"/>
          <w:highlight w:val="none"/>
        </w:rPr>
      </w:pPr>
      <w:r>
        <w:rPr>
          <w:rFonts w:hint="eastAsia" w:ascii="微软雅黑" w:hAnsi="微软雅黑" w:eastAsia="微软雅黑" w:cs="微软雅黑"/>
          <w:color w:val="000000"/>
          <w:kern w:val="0"/>
          <w:sz w:val="28"/>
          <w:highlight w:val="none"/>
        </w:rPr>
        <w:t xml:space="preserve"> </w:t>
      </w:r>
      <w:r>
        <w:rPr>
          <w:rFonts w:hint="eastAsia" w:ascii="微软雅黑" w:hAnsi="微软雅黑" w:eastAsia="微软雅黑" w:cs="微软雅黑"/>
          <w:color w:val="000000"/>
          <w:kern w:val="0"/>
          <w:sz w:val="24"/>
          <w:szCs w:val="24"/>
          <w:highlight w:val="none"/>
          <w:u w:val="single"/>
          <w:lang w:val="en-US" w:eastAsia="zh-CN"/>
        </w:rPr>
        <w:t>台州诚创招标代理</w:t>
      </w:r>
      <w:r>
        <w:rPr>
          <w:rFonts w:hint="eastAsia" w:ascii="微软雅黑" w:hAnsi="微软雅黑" w:eastAsia="微软雅黑" w:cs="微软雅黑"/>
          <w:color w:val="000000"/>
          <w:kern w:val="0"/>
          <w:sz w:val="24"/>
          <w:szCs w:val="24"/>
          <w:highlight w:val="none"/>
          <w:u w:val="single"/>
          <w:lang w:eastAsia="zh-CN"/>
        </w:rPr>
        <w:t>有限公司</w:t>
      </w:r>
      <w:r>
        <w:rPr>
          <w:rFonts w:hint="eastAsia" w:ascii="微软雅黑" w:hAnsi="微软雅黑" w:eastAsia="微软雅黑" w:cs="微软雅黑"/>
          <w:color w:val="000000"/>
          <w:kern w:val="0"/>
          <w:sz w:val="24"/>
          <w:szCs w:val="24"/>
          <w:highlight w:val="none"/>
          <w:u w:val="single"/>
        </w:rPr>
        <w:t xml:space="preserve"> </w:t>
      </w:r>
      <w:r>
        <w:rPr>
          <w:rFonts w:hint="eastAsia" w:ascii="微软雅黑" w:hAnsi="微软雅黑" w:eastAsia="微软雅黑" w:cs="微软雅黑"/>
          <w:color w:val="000000"/>
          <w:kern w:val="0"/>
          <w:sz w:val="24"/>
          <w:szCs w:val="24"/>
          <w:highlight w:val="none"/>
        </w:rPr>
        <w:t>（采购组织机构名称）：</w:t>
      </w:r>
    </w:p>
    <w:p>
      <w:pPr>
        <w:pStyle w:val="59"/>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504" w:firstLineChars="200"/>
        <w:jc w:val="both"/>
        <w:textAlignment w:val="auto"/>
        <w:rPr>
          <w:rFonts w:hint="eastAsia" w:ascii="微软雅黑" w:hAnsi="微软雅黑" w:eastAsia="微软雅黑" w:cs="微软雅黑"/>
          <w:color w:val="000000"/>
          <w:spacing w:val="6"/>
          <w:sz w:val="24"/>
          <w:szCs w:val="24"/>
          <w:highlight w:val="none"/>
        </w:rPr>
      </w:pP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04" w:firstLineChars="200"/>
        <w:jc w:val="both"/>
        <w:textAlignment w:val="auto"/>
        <w:rPr>
          <w:rFonts w:hint="eastAsia" w:ascii="微软雅黑" w:hAnsi="微软雅黑" w:eastAsia="微软雅黑" w:cs="微软雅黑"/>
          <w:color w:val="000000"/>
          <w:spacing w:val="6"/>
          <w:sz w:val="24"/>
          <w:szCs w:val="24"/>
          <w:highlight w:val="none"/>
        </w:rPr>
      </w:pPr>
      <w:r>
        <w:rPr>
          <w:rFonts w:hint="eastAsia" w:ascii="微软雅黑" w:hAnsi="微软雅黑" w:eastAsia="微软雅黑" w:cs="微软雅黑"/>
          <w:color w:val="000000"/>
          <w:spacing w:val="6"/>
          <w:sz w:val="24"/>
          <w:szCs w:val="24"/>
          <w:highlight w:val="none"/>
        </w:rPr>
        <w:t>本人经由</w:t>
      </w:r>
      <w:r>
        <w:rPr>
          <w:rFonts w:hint="eastAsia" w:ascii="微软雅黑" w:hAnsi="微软雅黑" w:eastAsia="微软雅黑" w:cs="微软雅黑"/>
          <w:color w:val="000000"/>
          <w:spacing w:val="6"/>
          <w:sz w:val="24"/>
          <w:szCs w:val="24"/>
          <w:highlight w:val="none"/>
          <w:u w:val="single"/>
        </w:rPr>
        <w:t xml:space="preserve">                 </w:t>
      </w:r>
      <w:r>
        <w:rPr>
          <w:rFonts w:hint="eastAsia" w:ascii="微软雅黑" w:hAnsi="微软雅黑" w:eastAsia="微软雅黑" w:cs="微软雅黑"/>
          <w:color w:val="000000"/>
          <w:spacing w:val="6"/>
          <w:sz w:val="24"/>
          <w:szCs w:val="24"/>
          <w:highlight w:val="none"/>
          <w:u w:val="single"/>
          <w:lang w:val="en-US" w:eastAsia="zh-CN"/>
        </w:rPr>
        <w:t xml:space="preserve">         </w:t>
      </w:r>
      <w:r>
        <w:rPr>
          <w:rFonts w:hint="eastAsia" w:ascii="微软雅黑" w:hAnsi="微软雅黑" w:eastAsia="微软雅黑" w:cs="微软雅黑"/>
          <w:color w:val="000000"/>
          <w:spacing w:val="6"/>
          <w:sz w:val="24"/>
          <w:szCs w:val="24"/>
          <w:highlight w:val="none"/>
          <w:u w:val="single"/>
        </w:rPr>
        <w:t xml:space="preserve"> （单位）</w:t>
      </w:r>
      <w:r>
        <w:rPr>
          <w:rFonts w:hint="eastAsia" w:ascii="微软雅黑" w:hAnsi="微软雅黑" w:eastAsia="微软雅黑" w:cs="微软雅黑"/>
          <w:color w:val="000000"/>
          <w:spacing w:val="6"/>
          <w:sz w:val="24"/>
          <w:szCs w:val="24"/>
          <w:highlight w:val="none"/>
        </w:rPr>
        <w:t>负责人</w:t>
      </w:r>
      <w:r>
        <w:rPr>
          <w:rFonts w:hint="eastAsia" w:ascii="微软雅黑" w:hAnsi="微软雅黑" w:eastAsia="微软雅黑" w:cs="微软雅黑"/>
          <w:color w:val="000000"/>
          <w:spacing w:val="6"/>
          <w:sz w:val="24"/>
          <w:szCs w:val="24"/>
          <w:highlight w:val="none"/>
          <w:u w:val="single"/>
        </w:rPr>
        <w:t xml:space="preserve">        </w:t>
      </w:r>
      <w:r>
        <w:rPr>
          <w:rFonts w:hint="eastAsia" w:ascii="微软雅黑" w:hAnsi="微软雅黑" w:eastAsia="微软雅黑" w:cs="微软雅黑"/>
          <w:color w:val="000000"/>
          <w:spacing w:val="6"/>
          <w:sz w:val="24"/>
          <w:szCs w:val="24"/>
          <w:highlight w:val="none"/>
          <w:u w:val="single"/>
          <w:lang w:val="en-US" w:eastAsia="zh-CN"/>
        </w:rPr>
        <w:t xml:space="preserve">    </w:t>
      </w:r>
      <w:r>
        <w:rPr>
          <w:rFonts w:hint="eastAsia" w:ascii="微软雅黑" w:hAnsi="微软雅黑" w:eastAsia="微软雅黑" w:cs="微软雅黑"/>
          <w:color w:val="000000"/>
          <w:spacing w:val="6"/>
          <w:sz w:val="24"/>
          <w:szCs w:val="24"/>
          <w:highlight w:val="none"/>
          <w:u w:val="single"/>
        </w:rPr>
        <w:t>（姓名）</w:t>
      </w:r>
      <w:r>
        <w:rPr>
          <w:rFonts w:hint="eastAsia" w:ascii="微软雅黑" w:hAnsi="微软雅黑" w:eastAsia="微软雅黑" w:cs="微软雅黑"/>
          <w:color w:val="000000"/>
          <w:spacing w:val="6"/>
          <w:sz w:val="24"/>
          <w:szCs w:val="24"/>
          <w:highlight w:val="none"/>
        </w:rPr>
        <w:t>合法授权参加</w:t>
      </w:r>
      <w:r>
        <w:rPr>
          <w:rFonts w:hint="eastAsia" w:ascii="微软雅黑" w:hAnsi="微软雅黑" w:eastAsia="微软雅黑" w:cs="微软雅黑"/>
          <w:color w:val="000000"/>
          <w:spacing w:val="6"/>
          <w:sz w:val="24"/>
          <w:szCs w:val="24"/>
          <w:highlight w:val="none"/>
          <w:u w:val="single"/>
          <w:lang w:val="en-US" w:eastAsia="zh-CN"/>
        </w:rPr>
        <w:t xml:space="preserve"> </w:t>
      </w:r>
      <w:r>
        <w:rPr>
          <w:rFonts w:hint="eastAsia" w:ascii="微软雅黑" w:hAnsi="微软雅黑" w:eastAsia="微软雅黑" w:cs="微软雅黑"/>
          <w:color w:val="000000"/>
          <w:kern w:val="0"/>
          <w:sz w:val="24"/>
          <w:szCs w:val="24"/>
          <w:highlight w:val="none"/>
          <w:u w:val="single"/>
          <w:lang w:val="en-US" w:eastAsia="zh-CN" w:bidi="ar-SA"/>
        </w:rPr>
        <w:t xml:space="preserve">                          </w:t>
      </w:r>
      <w:r>
        <w:rPr>
          <w:rFonts w:hint="eastAsia" w:ascii="微软雅黑" w:hAnsi="微软雅黑" w:eastAsia="微软雅黑" w:cs="微软雅黑"/>
          <w:color w:val="000000"/>
          <w:spacing w:val="6"/>
          <w:sz w:val="24"/>
          <w:szCs w:val="24"/>
          <w:highlight w:val="none"/>
          <w:u w:val="none"/>
        </w:rPr>
        <w:t>项目</w:t>
      </w:r>
      <w:r>
        <w:rPr>
          <w:rFonts w:hint="eastAsia" w:ascii="微软雅黑" w:hAnsi="微软雅黑" w:eastAsia="微软雅黑" w:cs="微软雅黑"/>
          <w:color w:val="000000"/>
          <w:spacing w:val="6"/>
          <w:sz w:val="24"/>
          <w:szCs w:val="24"/>
          <w:highlight w:val="none"/>
        </w:rPr>
        <w:t>（</w:t>
      </w:r>
      <w:r>
        <w:rPr>
          <w:rFonts w:hint="eastAsia" w:ascii="微软雅黑" w:hAnsi="微软雅黑" w:eastAsia="微软雅黑" w:cs="微软雅黑"/>
          <w:color w:val="000000"/>
          <w:spacing w:val="6"/>
          <w:sz w:val="24"/>
          <w:szCs w:val="24"/>
          <w:highlight w:val="none"/>
          <w:lang w:val="en-US" w:eastAsia="zh-CN"/>
        </w:rPr>
        <w:t>项目</w:t>
      </w:r>
      <w:r>
        <w:rPr>
          <w:rFonts w:hint="eastAsia" w:ascii="微软雅黑" w:hAnsi="微软雅黑" w:eastAsia="微软雅黑" w:cs="微软雅黑"/>
          <w:color w:val="000000"/>
          <w:spacing w:val="6"/>
          <w:sz w:val="24"/>
          <w:szCs w:val="24"/>
          <w:highlight w:val="none"/>
        </w:rPr>
        <w:t>编号：</w:t>
      </w:r>
      <w:r>
        <w:rPr>
          <w:rFonts w:hint="eastAsia" w:ascii="微软雅黑" w:hAnsi="微软雅黑" w:eastAsia="微软雅黑" w:cs="微软雅黑"/>
          <w:b w:val="0"/>
          <w:bCs w:val="0"/>
          <w:color w:val="000000"/>
          <w:spacing w:val="6"/>
          <w:sz w:val="24"/>
          <w:szCs w:val="24"/>
          <w:highlight w:val="none"/>
          <w:u w:val="single"/>
          <w:lang w:val="en-US" w:eastAsia="zh-CN"/>
        </w:rPr>
        <w:t xml:space="preserve">             </w:t>
      </w:r>
      <w:r>
        <w:rPr>
          <w:rFonts w:hint="eastAsia" w:ascii="微软雅黑" w:hAnsi="微软雅黑" w:eastAsia="微软雅黑" w:cs="微软雅黑"/>
          <w:color w:val="000000"/>
          <w:spacing w:val="6"/>
          <w:sz w:val="24"/>
          <w:szCs w:val="24"/>
          <w:highlight w:val="none"/>
        </w:rPr>
        <w:t xml:space="preserve">）政府采购活动，经与本单位法人代表（负责人）联系确认，现就有关公平竞争事项郑重声明如下： </w:t>
      </w:r>
    </w:p>
    <w:p>
      <w:pPr>
        <w:pStyle w:val="60"/>
        <w:keepNext w:val="0"/>
        <w:keepLines w:val="0"/>
        <w:pageBreakBefore w:val="0"/>
        <w:widowControl/>
        <w:numPr>
          <w:ilvl w:val="0"/>
          <w:numId w:val="0"/>
        </w:numPr>
        <w:kinsoku/>
        <w:wordWrap/>
        <w:overflowPunct/>
        <w:topLinePunct w:val="0"/>
        <w:autoSpaceDE/>
        <w:autoSpaceDN/>
        <w:bidi w:val="0"/>
        <w:adjustRightInd/>
        <w:snapToGrid w:val="0"/>
        <w:spacing w:line="480" w:lineRule="exact"/>
        <w:ind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lang w:val="en-US" w:eastAsia="zh-CN"/>
        </w:rPr>
        <w:t>一、</w:t>
      </w:r>
      <w:r>
        <w:rPr>
          <w:rFonts w:hint="eastAsia" w:ascii="微软雅黑" w:hAnsi="微软雅黑" w:eastAsia="微软雅黑" w:cs="微软雅黑"/>
          <w:color w:val="000000"/>
          <w:kern w:val="0"/>
          <w:sz w:val="24"/>
          <w:szCs w:val="24"/>
          <w:highlight w:val="none"/>
        </w:rPr>
        <w:t>本单位与采购人之间 □不存在利害关系 □存在下列利害关系</w:t>
      </w:r>
      <w:r>
        <w:rPr>
          <w:rFonts w:hint="eastAsia" w:ascii="微软雅黑" w:hAnsi="微软雅黑" w:eastAsia="微软雅黑" w:cs="微软雅黑"/>
          <w:color w:val="000000"/>
          <w:kern w:val="0"/>
          <w:sz w:val="24"/>
          <w:szCs w:val="24"/>
          <w:highlight w:val="none"/>
          <w:u w:val="single"/>
        </w:rPr>
        <w:t xml:space="preserve">           </w:t>
      </w:r>
      <w:r>
        <w:rPr>
          <w:rFonts w:hint="eastAsia" w:ascii="微软雅黑" w:hAnsi="微软雅黑" w:eastAsia="微软雅黑" w:cs="微软雅黑"/>
          <w:color w:val="000000"/>
          <w:kern w:val="0"/>
          <w:sz w:val="24"/>
          <w:szCs w:val="24"/>
          <w:highlight w:val="none"/>
        </w:rPr>
        <w:t>：</w:t>
      </w:r>
    </w:p>
    <w:p>
      <w:pPr>
        <w:pStyle w:val="60"/>
        <w:keepNext w:val="0"/>
        <w:keepLines w:val="0"/>
        <w:pageBreakBefore w:val="0"/>
        <w:widowControl/>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A.投资关系    B.行政隶属关系    C.业务指导关系</w:t>
      </w:r>
    </w:p>
    <w:p>
      <w:pPr>
        <w:pStyle w:val="60"/>
        <w:keepNext w:val="0"/>
        <w:keepLines w:val="0"/>
        <w:pageBreakBefore w:val="0"/>
        <w:widowControl/>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D.其他可能</w:t>
      </w:r>
      <w:r>
        <w:rPr>
          <w:rFonts w:hint="eastAsia" w:ascii="微软雅黑" w:hAnsi="微软雅黑" w:eastAsia="微软雅黑" w:cs="微软雅黑"/>
          <w:color w:val="000000"/>
          <w:sz w:val="24"/>
          <w:szCs w:val="24"/>
          <w:highlight w:val="none"/>
        </w:rPr>
        <w:t>影响采购公正的</w:t>
      </w:r>
      <w:r>
        <w:rPr>
          <w:rFonts w:hint="eastAsia" w:ascii="微软雅黑" w:hAnsi="微软雅黑" w:eastAsia="微软雅黑" w:cs="微软雅黑"/>
          <w:color w:val="000000"/>
          <w:kern w:val="0"/>
          <w:sz w:val="24"/>
          <w:szCs w:val="24"/>
          <w:highlight w:val="none"/>
        </w:rPr>
        <w:t>利害关系</w:t>
      </w:r>
      <w:r>
        <w:rPr>
          <w:rFonts w:hint="eastAsia" w:ascii="微软雅黑" w:hAnsi="微软雅黑" w:eastAsia="微软雅黑" w:cs="微软雅黑"/>
          <w:color w:val="000000"/>
          <w:kern w:val="0"/>
          <w:sz w:val="24"/>
          <w:szCs w:val="24"/>
          <w:highlight w:val="none"/>
          <w:u w:val="single"/>
        </w:rPr>
        <w:t xml:space="preserve">（如有，请如实说明） </w:t>
      </w:r>
      <w:r>
        <w:rPr>
          <w:rFonts w:hint="eastAsia" w:ascii="微软雅黑" w:hAnsi="微软雅黑" w:eastAsia="微软雅黑" w:cs="微软雅黑"/>
          <w:color w:val="000000"/>
          <w:kern w:val="0"/>
          <w:sz w:val="24"/>
          <w:szCs w:val="24"/>
          <w:highlight w:val="none"/>
          <w:u w:val="single"/>
          <w:lang w:val="en-US" w:eastAsia="zh-CN"/>
        </w:rPr>
        <w:t xml:space="preserve">        </w:t>
      </w:r>
      <w:r>
        <w:rPr>
          <w:rFonts w:hint="eastAsia" w:ascii="微软雅黑" w:hAnsi="微软雅黑" w:eastAsia="微软雅黑" w:cs="微软雅黑"/>
          <w:color w:val="000000"/>
          <w:kern w:val="0"/>
          <w:sz w:val="24"/>
          <w:szCs w:val="24"/>
          <w:highlight w:val="none"/>
          <w:u w:val="single"/>
        </w:rPr>
        <w:t xml:space="preserve">                </w:t>
      </w:r>
      <w:r>
        <w:rPr>
          <w:rFonts w:hint="eastAsia" w:ascii="微软雅黑" w:hAnsi="微软雅黑" w:eastAsia="微软雅黑" w:cs="微软雅黑"/>
          <w:color w:val="000000"/>
          <w:kern w:val="0"/>
          <w:sz w:val="24"/>
          <w:szCs w:val="24"/>
          <w:highlight w:val="none"/>
        </w:rPr>
        <w:t>。</w:t>
      </w:r>
    </w:p>
    <w:p>
      <w:pPr>
        <w:pStyle w:val="60"/>
        <w:keepNext w:val="0"/>
        <w:keepLines w:val="0"/>
        <w:pageBreakBefore w:val="0"/>
        <w:widowControl/>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spacing w:val="6"/>
          <w:sz w:val="24"/>
          <w:szCs w:val="24"/>
          <w:highlight w:val="none"/>
        </w:rPr>
        <w:t>二、</w:t>
      </w:r>
      <w:r>
        <w:rPr>
          <w:rFonts w:hint="eastAsia" w:ascii="微软雅黑" w:hAnsi="微软雅黑" w:eastAsia="微软雅黑" w:cs="微软雅黑"/>
          <w:color w:val="000000"/>
          <w:kern w:val="0"/>
          <w:sz w:val="24"/>
          <w:szCs w:val="24"/>
          <w:highlight w:val="none"/>
        </w:rPr>
        <w:t>现已清楚知道参加本项目采购活动的</w:t>
      </w:r>
      <w:r>
        <w:rPr>
          <w:rFonts w:hint="eastAsia" w:ascii="微软雅黑" w:hAnsi="微软雅黑" w:eastAsia="微软雅黑" w:cs="微软雅黑"/>
          <w:color w:val="000000"/>
          <w:kern w:val="0"/>
          <w:sz w:val="24"/>
          <w:szCs w:val="24"/>
          <w:highlight w:val="none"/>
          <w:lang w:eastAsia="zh-CN"/>
        </w:rPr>
        <w:t>其他</w:t>
      </w:r>
      <w:r>
        <w:rPr>
          <w:rFonts w:hint="eastAsia" w:ascii="微软雅黑" w:hAnsi="微软雅黑" w:eastAsia="微软雅黑" w:cs="微软雅黑"/>
          <w:color w:val="000000"/>
          <w:kern w:val="0"/>
          <w:sz w:val="24"/>
          <w:szCs w:val="24"/>
          <w:highlight w:val="none"/>
        </w:rPr>
        <w:t>所有供应商名称，本单位 □与</w:t>
      </w:r>
      <w:r>
        <w:rPr>
          <w:rFonts w:hint="eastAsia" w:ascii="微软雅黑" w:hAnsi="微软雅黑" w:eastAsia="微软雅黑" w:cs="微软雅黑"/>
          <w:color w:val="000000"/>
          <w:kern w:val="0"/>
          <w:sz w:val="24"/>
          <w:szCs w:val="24"/>
          <w:highlight w:val="none"/>
          <w:lang w:eastAsia="zh-CN"/>
        </w:rPr>
        <w:t>其他</w:t>
      </w:r>
      <w:r>
        <w:rPr>
          <w:rFonts w:hint="eastAsia" w:ascii="微软雅黑" w:hAnsi="微软雅黑" w:eastAsia="微软雅黑" w:cs="微软雅黑"/>
          <w:color w:val="000000"/>
          <w:kern w:val="0"/>
          <w:sz w:val="24"/>
          <w:szCs w:val="24"/>
          <w:highlight w:val="none"/>
        </w:rPr>
        <w:t>所有供应商之间均不存在利害关系 □与</w:t>
      </w:r>
      <w:r>
        <w:rPr>
          <w:rFonts w:hint="eastAsia" w:ascii="微软雅黑" w:hAnsi="微软雅黑" w:eastAsia="微软雅黑" w:cs="微软雅黑"/>
          <w:color w:val="000000"/>
          <w:kern w:val="0"/>
          <w:sz w:val="24"/>
          <w:szCs w:val="24"/>
          <w:highlight w:val="none"/>
          <w:u w:val="single"/>
        </w:rPr>
        <w:t xml:space="preserve">           （供应商名称）</w:t>
      </w:r>
      <w:r>
        <w:rPr>
          <w:rFonts w:hint="eastAsia" w:ascii="微软雅黑" w:hAnsi="微软雅黑" w:eastAsia="微软雅黑" w:cs="微软雅黑"/>
          <w:color w:val="000000"/>
          <w:kern w:val="0"/>
          <w:sz w:val="24"/>
          <w:szCs w:val="24"/>
          <w:highlight w:val="none"/>
        </w:rPr>
        <w:t>之间存在下列利害关系</w:t>
      </w:r>
      <w:r>
        <w:rPr>
          <w:rFonts w:hint="eastAsia" w:ascii="微软雅黑" w:hAnsi="微软雅黑" w:eastAsia="微软雅黑" w:cs="微软雅黑"/>
          <w:color w:val="000000"/>
          <w:kern w:val="0"/>
          <w:sz w:val="24"/>
          <w:szCs w:val="24"/>
          <w:highlight w:val="none"/>
          <w:u w:val="single"/>
        </w:rPr>
        <w:t xml:space="preserve">          </w:t>
      </w:r>
      <w:r>
        <w:rPr>
          <w:rFonts w:hint="eastAsia" w:ascii="微软雅黑" w:hAnsi="微软雅黑" w:eastAsia="微软雅黑" w:cs="微软雅黑"/>
          <w:color w:val="000000"/>
          <w:kern w:val="0"/>
          <w:sz w:val="24"/>
          <w:szCs w:val="24"/>
          <w:highlight w:val="none"/>
        </w:rPr>
        <w:t>：</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A.法定代表人或负责人或实际控制人是同一人</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spacing w:val="6"/>
          <w:sz w:val="24"/>
          <w:szCs w:val="24"/>
          <w:highlight w:val="none"/>
        </w:rPr>
      </w:pPr>
      <w:r>
        <w:rPr>
          <w:rFonts w:hint="eastAsia" w:ascii="微软雅黑" w:hAnsi="微软雅黑" w:eastAsia="微软雅黑" w:cs="微软雅黑"/>
          <w:color w:val="000000"/>
          <w:kern w:val="0"/>
          <w:sz w:val="24"/>
          <w:szCs w:val="24"/>
          <w:highlight w:val="none"/>
        </w:rPr>
        <w:t xml:space="preserve">  B.法定代表人或负责人或实际控制人是夫妻关系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spacing w:val="6"/>
          <w:sz w:val="24"/>
          <w:szCs w:val="24"/>
          <w:highlight w:val="none"/>
        </w:rPr>
      </w:pPr>
      <w:r>
        <w:rPr>
          <w:rFonts w:hint="eastAsia" w:ascii="微软雅黑" w:hAnsi="微软雅黑" w:eastAsia="微软雅黑" w:cs="微软雅黑"/>
          <w:color w:val="000000"/>
          <w:kern w:val="0"/>
          <w:sz w:val="24"/>
          <w:szCs w:val="24"/>
          <w:highlight w:val="none"/>
        </w:rPr>
        <w:t xml:space="preserve">  C.法定代表人或负责人或实际控制人是直系血亲关系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spacing w:val="6"/>
          <w:sz w:val="24"/>
          <w:szCs w:val="24"/>
          <w:highlight w:val="none"/>
        </w:rPr>
      </w:pPr>
      <w:r>
        <w:rPr>
          <w:rFonts w:hint="eastAsia" w:ascii="微软雅黑" w:hAnsi="微软雅黑" w:eastAsia="微软雅黑" w:cs="微软雅黑"/>
          <w:color w:val="000000"/>
          <w:kern w:val="0"/>
          <w:sz w:val="24"/>
          <w:szCs w:val="24"/>
          <w:highlight w:val="none"/>
        </w:rPr>
        <w:t xml:space="preserve">  D.法定代表人或负责人或实际控制人存在三代以内旁系血亲关系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E.法定代表人或负责人或实际控制人存在近姻亲关系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F.法定代表人或负责人或实际控制人存在股份控制或实际控制关系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outlineLvl w:val="0"/>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kern w:val="0"/>
          <w:sz w:val="24"/>
          <w:szCs w:val="24"/>
          <w:highlight w:val="none"/>
        </w:rPr>
        <w:t xml:space="preserve">  G.存在共同直接或间接投资设立子公司、联营企业和合营企业情况</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kern w:val="0"/>
          <w:sz w:val="24"/>
          <w:szCs w:val="24"/>
          <w:highlight w:val="none"/>
        </w:rPr>
        <w:t xml:space="preserve">  H.存在分级代理或代销关系、</w:t>
      </w:r>
      <w:r>
        <w:rPr>
          <w:rFonts w:hint="eastAsia" w:ascii="微软雅黑" w:hAnsi="微软雅黑" w:eastAsia="微软雅黑" w:cs="微软雅黑"/>
          <w:color w:val="000000"/>
          <w:kern w:val="0"/>
          <w:sz w:val="24"/>
          <w:szCs w:val="24"/>
          <w:highlight w:val="none"/>
          <w:lang w:eastAsia="zh-CN"/>
        </w:rPr>
        <w:t>同一生产制造商关系、</w:t>
      </w:r>
      <w:r>
        <w:rPr>
          <w:rFonts w:hint="eastAsia" w:ascii="微软雅黑" w:hAnsi="微软雅黑" w:eastAsia="微软雅黑" w:cs="微软雅黑"/>
          <w:color w:val="000000"/>
          <w:sz w:val="24"/>
          <w:szCs w:val="24"/>
          <w:highlight w:val="none"/>
        </w:rPr>
        <w:t>管理关系、重要业务（占主营业务收入50%以上）或重要财务往来关系（如融资）等其他实质性控制关系</w:t>
      </w:r>
    </w:p>
    <w:p>
      <w:pPr>
        <w:pStyle w:val="59"/>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rPr>
          <w:rFonts w:hint="eastAsia" w:ascii="微软雅黑" w:hAnsi="微软雅黑" w:eastAsia="微软雅黑" w:cs="微软雅黑"/>
          <w:color w:val="000000"/>
          <w:spacing w:val="6"/>
          <w:sz w:val="24"/>
          <w:szCs w:val="24"/>
          <w:highlight w:val="none"/>
        </w:rPr>
      </w:pPr>
      <w:r>
        <w:rPr>
          <w:rFonts w:hint="eastAsia" w:ascii="微软雅黑" w:hAnsi="微软雅黑" w:eastAsia="微软雅黑" w:cs="微软雅黑"/>
          <w:color w:val="000000"/>
          <w:sz w:val="24"/>
          <w:szCs w:val="24"/>
          <w:highlight w:val="none"/>
        </w:rPr>
        <w:t xml:space="preserve"> </w:t>
      </w:r>
      <w:r>
        <w:rPr>
          <w:rFonts w:hint="eastAsia" w:ascii="微软雅黑" w:hAnsi="微软雅黑" w:eastAsia="微软雅黑" w:cs="微软雅黑"/>
          <w:color w:val="000000"/>
          <w:sz w:val="24"/>
          <w:szCs w:val="24"/>
          <w:highlight w:val="none"/>
          <w:lang w:val="en-US" w:eastAsia="zh-CN"/>
        </w:rPr>
        <w:t xml:space="preserve"> </w:t>
      </w:r>
      <w:r>
        <w:rPr>
          <w:rFonts w:hint="eastAsia" w:ascii="微软雅黑" w:hAnsi="微软雅黑" w:eastAsia="微软雅黑" w:cs="微软雅黑"/>
          <w:color w:val="000000"/>
          <w:sz w:val="24"/>
          <w:szCs w:val="24"/>
          <w:highlight w:val="none"/>
        </w:rPr>
        <w:t>I</w:t>
      </w:r>
      <w:r>
        <w:rPr>
          <w:rFonts w:hint="eastAsia" w:ascii="微软雅黑" w:hAnsi="微软雅黑" w:eastAsia="微软雅黑" w:cs="微软雅黑"/>
          <w:color w:val="000000"/>
          <w:kern w:val="0"/>
          <w:sz w:val="24"/>
          <w:szCs w:val="24"/>
          <w:highlight w:val="none"/>
        </w:rPr>
        <w:t>.</w:t>
      </w:r>
      <w:r>
        <w:rPr>
          <w:rFonts w:hint="eastAsia" w:ascii="微软雅黑" w:hAnsi="微软雅黑" w:eastAsia="微软雅黑" w:cs="微软雅黑"/>
          <w:color w:val="000000"/>
          <w:sz w:val="24"/>
          <w:szCs w:val="24"/>
          <w:highlight w:val="none"/>
        </w:rPr>
        <w:t>其他利害关系情况</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kern w:val="0"/>
          <w:sz w:val="24"/>
          <w:szCs w:val="24"/>
          <w:highlight w:val="none"/>
        </w:rPr>
        <w:t>。</w:t>
      </w:r>
    </w:p>
    <w:p>
      <w:pPr>
        <w:pStyle w:val="60"/>
        <w:keepNext w:val="0"/>
        <w:keepLines w:val="0"/>
        <w:pageBreakBefore w:val="0"/>
        <w:widowControl/>
        <w:numPr>
          <w:ilvl w:val="0"/>
          <w:numId w:val="0"/>
        </w:numPr>
        <w:kinsoku/>
        <w:wordWrap/>
        <w:overflowPunct/>
        <w:topLinePunct w:val="0"/>
        <w:autoSpaceDE/>
        <w:autoSpaceDN/>
        <w:bidi w:val="0"/>
        <w:adjustRightInd/>
        <w:snapToGrid w:val="0"/>
        <w:spacing w:line="480" w:lineRule="exact"/>
        <w:ind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sz w:val="24"/>
          <w:szCs w:val="24"/>
          <w:highlight w:val="none"/>
          <w:lang w:val="en-US" w:eastAsia="zh-CN"/>
        </w:rPr>
        <w:t>三、</w:t>
      </w:r>
      <w:r>
        <w:rPr>
          <w:rFonts w:hint="eastAsia" w:ascii="微软雅黑" w:hAnsi="微软雅黑" w:eastAsia="微软雅黑" w:cs="微软雅黑"/>
          <w:color w:val="000000"/>
          <w:sz w:val="24"/>
          <w:szCs w:val="24"/>
          <w:highlight w:val="none"/>
        </w:rPr>
        <w:t>现已清楚知道并</w:t>
      </w:r>
      <w:r>
        <w:rPr>
          <w:rFonts w:hint="eastAsia" w:ascii="微软雅黑" w:hAnsi="微软雅黑" w:eastAsia="微软雅黑" w:cs="微软雅黑"/>
          <w:color w:val="000000"/>
          <w:kern w:val="0"/>
          <w:sz w:val="24"/>
          <w:szCs w:val="24"/>
          <w:highlight w:val="none"/>
        </w:rPr>
        <w:t>严格遵守政府采购法律法规和现场纪律。</w:t>
      </w:r>
    </w:p>
    <w:p>
      <w:pPr>
        <w:pStyle w:val="60"/>
        <w:keepNext w:val="0"/>
        <w:keepLines w:val="0"/>
        <w:pageBreakBefore w:val="0"/>
        <w:widowControl/>
        <w:numPr>
          <w:ilvl w:val="0"/>
          <w:numId w:val="0"/>
        </w:numPr>
        <w:kinsoku/>
        <w:wordWrap/>
        <w:overflowPunct/>
        <w:topLinePunct w:val="0"/>
        <w:autoSpaceDE/>
        <w:autoSpaceDN/>
        <w:bidi w:val="0"/>
        <w:adjustRightInd/>
        <w:snapToGrid w:val="0"/>
        <w:spacing w:line="480" w:lineRule="exact"/>
        <w:ind w:right="0" w:rightChars="0"/>
        <w:jc w:val="both"/>
        <w:textAlignment w:val="auto"/>
        <w:rPr>
          <w:rFonts w:hint="eastAsia" w:ascii="微软雅黑" w:hAnsi="微软雅黑" w:eastAsia="微软雅黑" w:cs="微软雅黑"/>
          <w:color w:val="000000"/>
          <w:kern w:val="0"/>
          <w:sz w:val="24"/>
          <w:szCs w:val="24"/>
          <w:highlight w:val="none"/>
        </w:rPr>
      </w:pPr>
      <w:r>
        <w:rPr>
          <w:rFonts w:hint="eastAsia" w:ascii="微软雅黑" w:hAnsi="微软雅黑" w:eastAsia="微软雅黑" w:cs="微软雅黑"/>
          <w:color w:val="000000"/>
          <w:sz w:val="24"/>
          <w:szCs w:val="24"/>
          <w:highlight w:val="none"/>
          <w:lang w:val="en-US" w:eastAsia="zh-CN"/>
        </w:rPr>
        <w:t>四、</w:t>
      </w:r>
      <w:r>
        <w:rPr>
          <w:rFonts w:hint="eastAsia" w:ascii="微软雅黑" w:hAnsi="微软雅黑" w:eastAsia="微软雅黑" w:cs="微软雅黑"/>
          <w:color w:val="000000"/>
          <w:kern w:val="0"/>
          <w:sz w:val="24"/>
          <w:szCs w:val="24"/>
          <w:highlight w:val="none"/>
          <w:u w:val="none" w:color="auto"/>
          <w:lang w:val="en-US" w:eastAsia="zh-CN"/>
        </w:rPr>
        <w:t>我发现</w:t>
      </w:r>
      <w:r>
        <w:rPr>
          <w:rFonts w:hint="eastAsia" w:ascii="微软雅黑" w:hAnsi="微软雅黑" w:eastAsia="微软雅黑" w:cs="微软雅黑"/>
          <w:color w:val="000000"/>
          <w:kern w:val="0"/>
          <w:sz w:val="24"/>
          <w:szCs w:val="24"/>
          <w:highlight w:val="none"/>
          <w:u w:val="single" w:color="auto"/>
          <w:lang w:val="en-US" w:eastAsia="zh-CN"/>
        </w:rPr>
        <w:t xml:space="preserve">               </w:t>
      </w:r>
      <w:r>
        <w:rPr>
          <w:rFonts w:hint="eastAsia" w:ascii="微软雅黑" w:hAnsi="微软雅黑" w:eastAsia="微软雅黑" w:cs="微软雅黑"/>
          <w:color w:val="000000"/>
          <w:kern w:val="0"/>
          <w:sz w:val="24"/>
          <w:szCs w:val="24"/>
          <w:highlight w:val="none"/>
          <w:u w:val="none" w:color="auto"/>
          <w:lang w:val="en-US" w:eastAsia="zh-CN"/>
        </w:rPr>
        <w:t>供应商之间存在或可能存在上述第二条第</w:t>
      </w:r>
      <w:r>
        <w:rPr>
          <w:rFonts w:hint="eastAsia" w:ascii="微软雅黑" w:hAnsi="微软雅黑" w:eastAsia="微软雅黑" w:cs="微软雅黑"/>
          <w:color w:val="000000"/>
          <w:kern w:val="0"/>
          <w:sz w:val="24"/>
          <w:szCs w:val="24"/>
          <w:highlight w:val="none"/>
          <w:u w:val="single" w:color="auto"/>
          <w:lang w:val="en-US" w:eastAsia="zh-CN"/>
        </w:rPr>
        <w:t xml:space="preserve">        </w:t>
      </w:r>
      <w:r>
        <w:rPr>
          <w:rFonts w:hint="eastAsia" w:ascii="微软雅黑" w:hAnsi="微软雅黑" w:eastAsia="微软雅黑" w:cs="微软雅黑"/>
          <w:color w:val="000000"/>
          <w:kern w:val="0"/>
          <w:sz w:val="24"/>
          <w:szCs w:val="24"/>
          <w:highlight w:val="none"/>
          <w:u w:val="none" w:color="auto"/>
          <w:lang w:val="en-US" w:eastAsia="zh-CN"/>
        </w:rPr>
        <w:t>项利害关系。</w:t>
      </w:r>
    </w:p>
    <w:p>
      <w:pPr>
        <w:pStyle w:val="59"/>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rPr>
          <w:rFonts w:hint="eastAsia" w:ascii="微软雅黑" w:hAnsi="微软雅黑" w:eastAsia="微软雅黑" w:cs="微软雅黑"/>
          <w:color w:val="000000"/>
          <w:sz w:val="24"/>
          <w:szCs w:val="24"/>
          <w:highlight w:val="none"/>
        </w:rPr>
      </w:pPr>
    </w:p>
    <w:p>
      <w:pPr>
        <w:pStyle w:val="59"/>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480" w:firstLineChars="200"/>
        <w:jc w:val="both"/>
        <w:textAlignment w:val="auto"/>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rPr>
        <w:t xml:space="preserve">                             （供应商代表签名）</w:t>
      </w:r>
      <w:r>
        <w:rPr>
          <w:rFonts w:hint="eastAsia" w:ascii="微软雅黑" w:hAnsi="微软雅黑" w:eastAsia="微软雅黑" w:cs="微软雅黑"/>
          <w:color w:val="000000"/>
          <w:sz w:val="24"/>
          <w:szCs w:val="24"/>
          <w:highlight w:val="none"/>
          <w:lang w:eastAsia="zh-CN"/>
        </w:rPr>
        <w:t>：</w:t>
      </w:r>
    </w:p>
    <w:p>
      <w:pPr>
        <w:pStyle w:val="59"/>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480" w:firstLineChars="200"/>
        <w:jc w:val="both"/>
        <w:textAlignment w:val="auto"/>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color w:val="000000"/>
          <w:sz w:val="24"/>
          <w:szCs w:val="24"/>
          <w:highlight w:val="none"/>
        </w:rPr>
        <w:t xml:space="preserve">                               </w:t>
      </w:r>
      <w:r>
        <w:rPr>
          <w:rFonts w:hint="eastAsia" w:ascii="微软雅黑" w:hAnsi="微软雅黑" w:eastAsia="微软雅黑" w:cs="微软雅黑"/>
          <w:color w:val="000000"/>
          <w:sz w:val="24"/>
          <w:szCs w:val="24"/>
          <w:highlight w:val="none"/>
          <w:lang w:val="en-US" w:eastAsia="zh-CN"/>
        </w:rPr>
        <w:t xml:space="preserve"> 日期：</w:t>
      </w: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lang w:eastAsia="zh-CN"/>
        </w:rPr>
        <w:t>年</w:t>
      </w: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lang w:eastAsia="zh-CN"/>
        </w:rPr>
        <w:t>月</w:t>
      </w: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lang w:eastAsia="zh-CN"/>
        </w:rPr>
        <w:t>日</w:t>
      </w:r>
    </w:p>
    <w:p>
      <w:pPr>
        <w:pStyle w:val="59"/>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480" w:firstLineChars="200"/>
        <w:jc w:val="both"/>
        <w:textAlignment w:val="auto"/>
        <w:rPr>
          <w:rFonts w:hint="eastAsia" w:ascii="微软雅黑" w:hAnsi="微软雅黑" w:eastAsia="微软雅黑" w:cs="微软雅黑"/>
          <w:sz w:val="24"/>
          <w:szCs w:val="24"/>
          <w:highlight w:val="none"/>
          <w:lang w:eastAsia="zh-CN"/>
        </w:rPr>
      </w:pPr>
    </w:p>
    <w:p>
      <w:pPr>
        <w:pStyle w:val="67"/>
        <w:snapToGrid w:val="0"/>
        <w:spacing w:before="0" w:beforeAutospacing="0" w:after="0" w:afterAutospacing="0" w:line="240" w:lineRule="exact"/>
        <w:ind w:firstLine="480" w:firstLineChars="200"/>
        <w:jc w:val="both"/>
        <w:textAlignment w:val="baseline"/>
        <w:rPr>
          <w:rStyle w:val="62"/>
          <w:rFonts w:ascii="宋体" w:hAnsi="宋体" w:eastAsia="宋体"/>
          <w:b w:val="0"/>
          <w:i w:val="0"/>
          <w:caps w:val="0"/>
          <w:color w:val="000000"/>
          <w:spacing w:val="0"/>
          <w:w w:val="100"/>
          <w:kern w:val="2"/>
          <w:sz w:val="24"/>
          <w:szCs w:val="24"/>
          <w:highlight w:val="none"/>
          <w:lang w:val="en-US" w:eastAsia="zh-CN" w:bidi="ar-SA"/>
        </w:rPr>
      </w:pPr>
      <w:r>
        <w:rPr>
          <w:rStyle w:val="62"/>
          <w:rFonts w:ascii="微软雅黑" w:hAnsi="微软雅黑" w:eastAsia="微软雅黑" w:cs="微软雅黑"/>
          <w:b/>
          <w:bCs/>
          <w:i w:val="0"/>
          <w:caps w:val="0"/>
          <w:color w:val="000000"/>
          <w:spacing w:val="0"/>
          <w:w w:val="100"/>
          <w:kern w:val="2"/>
          <w:sz w:val="24"/>
          <w:szCs w:val="24"/>
          <w:highlight w:val="none"/>
          <w:lang w:val="en-US" w:eastAsia="zh-CN" w:bidi="ar-SA"/>
        </w:rPr>
        <w:t>附件1</w:t>
      </w:r>
      <w:r>
        <w:rPr>
          <w:rStyle w:val="62"/>
          <w:rFonts w:hint="eastAsia" w:ascii="微软雅黑" w:hAnsi="微软雅黑" w:eastAsia="微软雅黑" w:cs="微软雅黑"/>
          <w:b/>
          <w:bCs/>
          <w:i w:val="0"/>
          <w:caps w:val="0"/>
          <w:color w:val="000000"/>
          <w:spacing w:val="0"/>
          <w:w w:val="100"/>
          <w:kern w:val="2"/>
          <w:sz w:val="24"/>
          <w:szCs w:val="24"/>
          <w:highlight w:val="none"/>
          <w:lang w:val="en-US" w:eastAsia="zh-CN" w:bidi="ar-SA"/>
        </w:rPr>
        <w:t>6</w:t>
      </w:r>
    </w:p>
    <w:tbl>
      <w:tblPr>
        <w:tblStyle w:val="23"/>
        <w:tblW w:w="103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4"/>
        <w:gridCol w:w="860"/>
        <w:gridCol w:w="2157"/>
        <w:gridCol w:w="874"/>
        <w:gridCol w:w="4913"/>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103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62"/>
                <w:rFonts w:ascii="黑体" w:hAnsi="宋体" w:eastAsia="黑体"/>
                <w:b/>
                <w:i w:val="0"/>
                <w:caps w:val="0"/>
                <w:color w:val="000000"/>
                <w:spacing w:val="0"/>
                <w:w w:val="100"/>
                <w:kern w:val="2"/>
                <w:sz w:val="24"/>
                <w:szCs w:val="24"/>
                <w:highlight w:val="none"/>
                <w:lang w:val="en-US" w:eastAsia="zh-CN" w:bidi="ar-SA"/>
              </w:rPr>
            </w:pPr>
            <w:r>
              <w:rPr>
                <w:rStyle w:val="62"/>
                <w:rFonts w:ascii="黑体" w:hAnsi="宋体" w:eastAsia="黑体"/>
                <w:b/>
                <w:i w:val="0"/>
                <w:caps w:val="0"/>
                <w:color w:val="000000"/>
                <w:spacing w:val="0"/>
                <w:w w:val="100"/>
                <w:kern w:val="0"/>
                <w:sz w:val="24"/>
                <w:szCs w:val="24"/>
                <w:highlight w:val="none"/>
                <w:lang w:val="en-US" w:eastAsia="zh-CN"/>
              </w:rPr>
              <w:t>中小企业划型标准规定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103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工信部联企业【2011】300号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序号</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行业</w:t>
            </w:r>
          </w:p>
        </w:tc>
        <w:tc>
          <w:tcPr>
            <w:tcW w:w="215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原则</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具体规定</w:t>
            </w:r>
          </w:p>
        </w:tc>
        <w:tc>
          <w:tcPr>
            <w:tcW w:w="1052" w:type="dxa"/>
            <w:tcBorders>
              <w:top w:val="nil"/>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农、林、牧、渔业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r>
              <w:rPr>
                <w:rStyle w:val="62"/>
                <w:rFonts w:ascii="Times New Roman" w:hAnsi="Times New Roman" w:eastAsia="宋体"/>
                <w:b w:val="0"/>
                <w:i w:val="0"/>
                <w:caps w:val="0"/>
                <w:color w:val="000000"/>
                <w:spacing w:val="0"/>
                <w:w w:val="100"/>
                <w:kern w:val="0"/>
                <w:sz w:val="20"/>
                <w:szCs w:val="20"/>
                <w:highlight w:val="none"/>
                <w:lang w:val="en-US" w:eastAsia="zh-CN"/>
              </w:rPr>
              <w:t>20000</w:t>
            </w:r>
            <w:r>
              <w:rPr>
                <w:rStyle w:val="62"/>
                <w:rFonts w:ascii="宋体" w:hAnsi="宋体" w:eastAsia="宋体"/>
                <w:b w:val="0"/>
                <w:i w:val="0"/>
                <w:caps w:val="0"/>
                <w:color w:val="000000"/>
                <w:spacing w:val="0"/>
                <w:w w:val="100"/>
                <w:kern w:val="0"/>
                <w:sz w:val="20"/>
                <w:szCs w:val="20"/>
                <w:highlight w:val="none"/>
                <w:lang w:val="en-US" w:eastAsia="zh-CN"/>
              </w:rPr>
              <w:t>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r>
              <w:rPr>
                <w:rStyle w:val="62"/>
                <w:rFonts w:ascii="Times New Roman" w:hAnsi="Times New Roman" w:eastAsia="宋体"/>
                <w:b w:val="0"/>
                <w:i w:val="0"/>
                <w:caps w:val="0"/>
                <w:color w:val="000000"/>
                <w:spacing w:val="0"/>
                <w:w w:val="100"/>
                <w:kern w:val="0"/>
                <w:sz w:val="20"/>
                <w:szCs w:val="20"/>
                <w:highlight w:val="none"/>
                <w:lang w:val="en-US" w:eastAsia="zh-CN"/>
              </w:rPr>
              <w:t>500</w:t>
            </w:r>
            <w:r>
              <w:rPr>
                <w:rStyle w:val="62"/>
                <w:rFonts w:ascii="宋体" w:hAnsi="宋体" w:eastAsia="宋体"/>
                <w:b w:val="0"/>
                <w:i w:val="0"/>
                <w:caps w:val="0"/>
                <w:color w:val="000000"/>
                <w:spacing w:val="0"/>
                <w:w w:val="100"/>
                <w:kern w:val="0"/>
                <w:sz w:val="20"/>
                <w:szCs w:val="20"/>
                <w:highlight w:val="none"/>
                <w:lang w:val="en-US" w:eastAsia="zh-CN"/>
              </w:rPr>
              <w:t>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r>
              <w:rPr>
                <w:rStyle w:val="62"/>
                <w:rFonts w:ascii="Times New Roman" w:hAnsi="Times New Roman" w:eastAsia="宋体"/>
                <w:b w:val="0"/>
                <w:i w:val="0"/>
                <w:caps w:val="0"/>
                <w:color w:val="000000"/>
                <w:spacing w:val="0"/>
                <w:w w:val="100"/>
                <w:kern w:val="0"/>
                <w:sz w:val="20"/>
                <w:szCs w:val="20"/>
                <w:highlight w:val="none"/>
                <w:lang w:val="en-US" w:eastAsia="zh-CN"/>
              </w:rPr>
              <w:t>50</w:t>
            </w:r>
            <w:r>
              <w:rPr>
                <w:rStyle w:val="62"/>
                <w:rFonts w:ascii="宋体" w:hAnsi="宋体" w:eastAsia="宋体"/>
                <w:b w:val="0"/>
                <w:i w:val="0"/>
                <w:caps w:val="0"/>
                <w:color w:val="000000"/>
                <w:spacing w:val="0"/>
                <w:w w:val="100"/>
                <w:kern w:val="0"/>
                <w:sz w:val="20"/>
                <w:szCs w:val="20"/>
                <w:highlight w:val="none"/>
                <w:lang w:val="en-US" w:eastAsia="zh-CN"/>
              </w:rPr>
              <w:t>万元及以上的</w:t>
            </w:r>
          </w:p>
        </w:tc>
        <w:tc>
          <w:tcPr>
            <w:tcW w:w="1052" w:type="dxa"/>
            <w:tcBorders>
              <w:top w:val="nil"/>
              <w:left w:val="single" w:color="000000" w:sz="4" w:space="0"/>
              <w:bottom w:val="nil"/>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r>
              <w:rPr>
                <w:rStyle w:val="62"/>
                <w:rFonts w:ascii="Times New Roman" w:hAnsi="Times New Roman" w:eastAsia="宋体"/>
                <w:b w:val="0"/>
                <w:i w:val="0"/>
                <w:caps w:val="0"/>
                <w:color w:val="000000"/>
                <w:spacing w:val="0"/>
                <w:w w:val="100"/>
                <w:kern w:val="0"/>
                <w:sz w:val="20"/>
                <w:szCs w:val="20"/>
                <w:highlight w:val="none"/>
                <w:lang w:val="en-US" w:eastAsia="zh-CN"/>
              </w:rPr>
              <w:t>50</w:t>
            </w:r>
            <w:r>
              <w:rPr>
                <w:rStyle w:val="62"/>
                <w:rFonts w:ascii="宋体" w:hAnsi="宋体" w:eastAsia="宋体"/>
                <w:b w:val="0"/>
                <w:i w:val="0"/>
                <w:caps w:val="0"/>
                <w:color w:val="000000"/>
                <w:spacing w:val="0"/>
                <w:w w:val="100"/>
                <w:kern w:val="0"/>
                <w:sz w:val="20"/>
                <w:szCs w:val="20"/>
                <w:highlight w:val="none"/>
                <w:lang w:val="en-US" w:eastAsia="zh-CN"/>
              </w:rPr>
              <w:t>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2</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工业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从业人员1000人以下或营业收入40000万元以下的为中小微型企业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从业人员300人及以上，且营业收入2000万元及以上的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从业人员20人及以上，且营业收入300万元及以上的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从业人员20人以下或营业收入300万元以下的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3</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建筑业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营业收入80000万元以下或资产总额80000万元以下的为中小微型企业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营业收入6000万元及以上，且资产总额5000万元及以上的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营业收入300万元及以上，且资产总额300万元及以上的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资产总额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营业收入300万元以下或资产总额300万元以下的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4</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批发业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从业人员200人以下或营业收入40000万元以下的为中小微型企业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从业人员20人及以上，且营业收入5000万元及以上的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从业人员5人及以上，且营业收入1000万元及以上的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从业人员5人以下或营业收入1000万元以下的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5</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零售业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从业人员300人以下或营业收入20000万元以下的为中小微型企业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从业人员50人及以上，且营业收入500万元及以上的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6</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交通运输业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从业人员1000人以下或营业收入30000万元以下的为中小微型企业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从业人员300人及以上，且营业收入3000万元及以上的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从业人员20人及以上，且营业收入200万元及以上的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从业人员20人以下或营业收入200万元以下的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7</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仓储业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从业人员200人以下或营业收入30000万元以下的为中小微型企业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从业人员100人及以上，且营业收入1000万元及以上的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8</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邮政业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从业人员1000人以下或营业收入30000万元以下的为中小微型企业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从业人员300人及以上，且营业收入2000万元及以上的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9</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住宿业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从业人员300人以下或营业收入10000万元以下的为中小微型企业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从业人员100人及以上，且营业收入2000万元及以上的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10</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餐饮业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从业人员300人以下或营业收入10000万元以下的为中小微型企业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从业人员100人及以上，且营业收入2000万元及以上的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11</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信息传输业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从业人员2000人以下或营业收入100000万元以下的为中小微型企业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从业人员100人及以上，且营业收入1000万元及以上的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从业人员10人及以上，且营业收入100万元及以上的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从业人员10人以下或营业收入100万元以下的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12</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软件和信息技术服务业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从业人员300人以下或营业收入10000万元以下的为中小微型企业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从业人员100人及以上，且营业收入1000万元及以上的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从业人员10人及以上，且营业收入50万元及以上的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从业人员10人以下或营业收入50万元以下的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13</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房地产开发经营</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营业收入200000万元以下或资产总额10000万元以下的为中小微型企业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营业收入1000万元及以上，且资产总额5000万元及以上的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营业收入100万元及以上，且资产总额2000万元及以上的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资产总额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营业收入100万元以下或资产总额2000万元以下的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14</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物业管理</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从业人员1000人以下或营业收入5000万元以下的为中小微型企业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从业人员300人及以上，且营业收入1000万元及以上的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从业人员100人及以上，且营业收入500万元及以上的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从业人员100人以下或营业收入500万元以下的为微型企业</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15</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租赁和商务服务业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从业人员300人以下或资产总额120000万元以下的为中小微型企业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从业人员100人及以上，且资产总额8000万元及以上的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从业人员10人及以上，且资产总额100万元及以上的</w:t>
            </w:r>
          </w:p>
        </w:tc>
        <w:tc>
          <w:tcPr>
            <w:tcW w:w="1052" w:type="dxa"/>
            <w:tcBorders>
              <w:top w:val="nil"/>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资产总额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从业人员10人以下或资产总额100万元以下的</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62"/>
                <w:rFonts w:ascii="Times New Roman" w:hAnsi="Times New Roman" w:eastAsia="宋体"/>
                <w:b w:val="0"/>
                <w:i w:val="0"/>
                <w:caps w:val="0"/>
                <w:color w:val="000000"/>
                <w:spacing w:val="0"/>
                <w:w w:val="100"/>
                <w:kern w:val="2"/>
                <w:sz w:val="20"/>
                <w:szCs w:val="20"/>
                <w:highlight w:val="none"/>
                <w:lang w:val="en-US" w:eastAsia="zh-CN" w:bidi="ar-SA"/>
              </w:rPr>
            </w:pPr>
            <w:r>
              <w:rPr>
                <w:rStyle w:val="62"/>
                <w:rFonts w:ascii="Times New Roman" w:hAnsi="Times New Roman" w:eastAsia="宋体"/>
                <w:b w:val="0"/>
                <w:i w:val="0"/>
                <w:caps w:val="0"/>
                <w:color w:val="000000"/>
                <w:spacing w:val="0"/>
                <w:w w:val="100"/>
                <w:kern w:val="0"/>
                <w:sz w:val="20"/>
                <w:szCs w:val="20"/>
                <w:highlight w:val="none"/>
                <w:lang w:val="en-US" w:eastAsia="zh-CN"/>
              </w:rPr>
              <w:t>16</w:t>
            </w: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其他未列明行业</w:t>
            </w:r>
          </w:p>
        </w:tc>
        <w:tc>
          <w:tcPr>
            <w:tcW w:w="215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从业人员300人以下的为中小微型企业</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中型企业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从业人员100人及以上的</w:t>
            </w:r>
          </w:p>
        </w:tc>
        <w:tc>
          <w:tcPr>
            <w:tcW w:w="1052" w:type="dxa"/>
            <w:tcBorders>
              <w:top w:val="single" w:color="000000" w:sz="4" w:space="0"/>
              <w:left w:val="single" w:color="000000" w:sz="4" w:space="0"/>
              <w:bottom w:val="nil"/>
              <w:right w:val="single" w:color="000000" w:sz="4" w:space="0"/>
            </w:tcBorders>
            <w:noWrap/>
            <w:vAlign w:val="center"/>
          </w:tcPr>
          <w:p>
            <w:pPr>
              <w:widowControl/>
              <w:snapToGrid w:val="0"/>
              <w:spacing w:before="0" w:beforeAutospacing="0" w:after="0" w:afterAutospacing="0" w:line="240" w:lineRule="auto"/>
              <w:jc w:val="left"/>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小型企业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从业人员10人及以上的</w:t>
            </w:r>
          </w:p>
        </w:tc>
        <w:tc>
          <w:tcPr>
            <w:tcW w:w="1052" w:type="dxa"/>
            <w:tcBorders>
              <w:top w:val="nil"/>
              <w:left w:val="single" w:color="000000" w:sz="4" w:space="0"/>
              <w:bottom w:val="nil"/>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62"/>
                <w:rFonts w:ascii="Times New Roman" w:hAnsi="Times New Roman" w:eastAsia="宋体"/>
                <w:b w:val="0"/>
                <w:i w:val="0"/>
                <w:caps w:val="0"/>
                <w:color w:val="000000"/>
                <w:spacing w:val="0"/>
                <w:w w:val="100"/>
                <w:kern w:val="2"/>
                <w:sz w:val="20"/>
                <w:szCs w:val="20"/>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21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微型企业</w:t>
            </w:r>
          </w:p>
        </w:tc>
        <w:tc>
          <w:tcPr>
            <w:tcW w:w="491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both"/>
              <w:textAlignment w:val="center"/>
              <w:rPr>
                <w:rStyle w:val="62"/>
                <w:rFonts w:ascii="宋体" w:hAnsi="宋体" w:eastAsia="宋体"/>
                <w:b w:val="0"/>
                <w:i w:val="0"/>
                <w:caps w:val="0"/>
                <w:color w:val="000000"/>
                <w:spacing w:val="0"/>
                <w:w w:val="100"/>
                <w:kern w:val="2"/>
                <w:sz w:val="20"/>
                <w:szCs w:val="20"/>
                <w:highlight w:val="none"/>
                <w:lang w:val="en-US" w:eastAsia="zh-CN" w:bidi="ar-SA"/>
              </w:rPr>
            </w:pPr>
            <w:r>
              <w:rPr>
                <w:rStyle w:val="62"/>
                <w:rFonts w:ascii="宋体" w:hAnsi="宋体" w:eastAsia="宋体"/>
                <w:b w:val="0"/>
                <w:i w:val="0"/>
                <w:caps w:val="0"/>
                <w:color w:val="000000"/>
                <w:spacing w:val="0"/>
                <w:w w:val="100"/>
                <w:kern w:val="0"/>
                <w:sz w:val="20"/>
                <w:szCs w:val="20"/>
                <w:highlight w:val="none"/>
                <w:lang w:val="en-US" w:eastAsia="zh-CN"/>
              </w:rPr>
              <w:t>从业人员10人以下的为微型企业</w:t>
            </w:r>
          </w:p>
        </w:tc>
        <w:tc>
          <w:tcPr>
            <w:tcW w:w="1052" w:type="dxa"/>
            <w:tcBorders>
              <w:top w:val="nil"/>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62"/>
                <w:rFonts w:ascii="宋体" w:hAnsi="宋体" w:eastAsia="宋体"/>
                <w:b w:val="0"/>
                <w:i w:val="0"/>
                <w:caps w:val="0"/>
                <w:color w:val="000000"/>
                <w:spacing w:val="0"/>
                <w:w w:val="100"/>
                <w:kern w:val="2"/>
                <w:sz w:val="20"/>
                <w:szCs w:val="20"/>
                <w:highlight w:val="none"/>
                <w:lang w:val="en-US" w:eastAsia="zh-CN" w:bidi="ar-SA"/>
              </w:rPr>
            </w:pPr>
          </w:p>
        </w:tc>
      </w:tr>
    </w:tbl>
    <w:p>
      <w:pPr>
        <w:pStyle w:val="67"/>
        <w:snapToGrid w:val="0"/>
        <w:spacing w:before="0" w:beforeAutospacing="0" w:after="0" w:afterAutospacing="0" w:line="480" w:lineRule="auto"/>
        <w:ind w:firstLine="420" w:firstLineChars="200"/>
        <w:jc w:val="both"/>
        <w:textAlignment w:val="baseline"/>
        <w:rPr>
          <w:rStyle w:val="62"/>
          <w:rFonts w:ascii="微软雅黑" w:hAnsi="微软雅黑" w:eastAsia="微软雅黑"/>
          <w:b w:val="0"/>
          <w:i w:val="0"/>
          <w:caps w:val="0"/>
          <w:color w:val="000000"/>
          <w:spacing w:val="0"/>
          <w:w w:val="100"/>
          <w:kern w:val="2"/>
          <w:sz w:val="21"/>
          <w:highlight w:val="none"/>
          <w:lang w:val="en-US" w:eastAsia="zh-CN" w:bidi="ar-SA"/>
        </w:rPr>
      </w:pPr>
      <w:r>
        <w:rPr>
          <w:rStyle w:val="62"/>
          <w:rFonts w:ascii="微软雅黑" w:hAnsi="微软雅黑" w:eastAsia="微软雅黑"/>
          <w:b w:val="0"/>
          <w:i w:val="0"/>
          <w:caps w:val="0"/>
          <w:color w:val="000000"/>
          <w:spacing w:val="0"/>
          <w:w w:val="100"/>
          <w:kern w:val="2"/>
          <w:sz w:val="21"/>
          <w:highlight w:val="none"/>
          <w:lang w:val="en-US" w:eastAsia="zh-CN" w:bidi="ar-SA"/>
        </w:rPr>
        <w:t>该附件可供投标人参考。</w:t>
      </w:r>
    </w:p>
    <w:p>
      <w:pPr>
        <w:pStyle w:val="59"/>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480" w:firstLineChars="200"/>
        <w:jc w:val="both"/>
        <w:textAlignment w:val="auto"/>
        <w:rPr>
          <w:rFonts w:hint="eastAsia" w:ascii="微软雅黑" w:hAnsi="微软雅黑" w:eastAsia="微软雅黑" w:cs="微软雅黑"/>
          <w:sz w:val="24"/>
          <w:szCs w:val="24"/>
          <w:highlight w:val="none"/>
          <w:lang w:eastAsia="zh-CN"/>
        </w:rPr>
      </w:pPr>
    </w:p>
    <w:sectPr>
      <w:headerReference r:id="rId7" w:type="first"/>
      <w:headerReference r:id="rId5" w:type="default"/>
      <w:footerReference r:id="rId8" w:type="default"/>
      <w:headerReference r:id="rId6" w:type="even"/>
      <w:pgSz w:w="11906" w:h="16838"/>
      <w:pgMar w:top="1440"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panose1 w:val="020B0604020202020204"/>
    <w:charset w:val="00"/>
    <w:family w:val="swiss"/>
    <w:pitch w:val="default"/>
    <w:sig w:usb0="00000000" w:usb1="00000000" w:usb2="00000000" w:usb3="00000000" w:csb0="00000000"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widowControl/>
      <w:spacing w:line="14" w:lineRule="auto"/>
      <w:ind w:left="0"/>
      <w:textAlignment w:val="baseline"/>
      <w:rPr>
        <w:rStyle w:val="62"/>
        <w:kern w:val="2"/>
        <w:sz w:val="20"/>
        <w:szCs w:val="24"/>
        <w:lang w:val="en-US" w:eastAsia="zh-CN" w:bidi="ar-SA"/>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62"/>
        <w:kern w:val="2"/>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widowControl/>
                            <w:snapToGrid w:val="0"/>
                            <w:jc w:val="left"/>
                            <w:textAlignment w:val="baseline"/>
                            <w:rPr>
                              <w:rStyle w:val="62"/>
                              <w:rFonts w:eastAsia="宋体"/>
                              <w:kern w:val="2"/>
                              <w:sz w:val="18"/>
                              <w:szCs w:val="18"/>
                              <w:lang w:val="en-US" w:eastAsia="zh-CN" w:bidi="ar-SA"/>
                            </w:rPr>
                          </w:pPr>
                        </w:p>
                        <w:p>
                          <w:pPr>
                            <w:jc w:val="both"/>
                            <w:textAlignment w:val="baseline"/>
                            <w:rPr>
                              <w:rStyle w:val="62"/>
                              <w:kern w:val="2"/>
                              <w:sz w:val="21"/>
                              <w:szCs w:val="21"/>
                              <w:lang w:val="en-US" w:eastAsia="zh-CN" w:bidi="ar-SA"/>
                            </w:rPr>
                          </w:pPr>
                        </w:p>
                      </w:txbxContent>
                    </wps:txbx>
                    <wps:bodyPr lIns="0" tIns="0" rIns="0" bIns="0" upright="1"/>
                  </wps:wsp>
                </a:graphicData>
              </a:graphic>
            </wp:anchor>
          </w:drawing>
        </mc:Choice>
        <mc:Fallback>
          <w:pict>
            <v:shape id="文本框 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Nb2tGm2AQAAdgMAAA4AAAAAAAAAAQAgAAAAIQEAAGRycy9lMm9Eb2MueG1sUEsFBgAAAAAGAAYA&#10;WQEAAEkFAAAAAA==&#10;">
              <v:fill on="f" focussize="0,0"/>
              <v:stroke on="f"/>
              <v:imagedata o:title=""/>
              <o:lock v:ext="edit" aspectratio="f"/>
              <v:textbox inset="0mm,0mm,0mm,0mm">
                <w:txbxContent>
                  <w:p>
                    <w:pPr>
                      <w:pStyle w:val="16"/>
                      <w:widowControl/>
                      <w:snapToGrid w:val="0"/>
                      <w:jc w:val="left"/>
                      <w:textAlignment w:val="baseline"/>
                      <w:rPr>
                        <w:rStyle w:val="62"/>
                        <w:rFonts w:eastAsia="宋体"/>
                        <w:kern w:val="2"/>
                        <w:sz w:val="18"/>
                        <w:szCs w:val="18"/>
                        <w:lang w:val="en-US" w:eastAsia="zh-CN" w:bidi="ar-SA"/>
                      </w:rPr>
                    </w:pPr>
                  </w:p>
                  <w:p>
                    <w:pPr>
                      <w:jc w:val="both"/>
                      <w:textAlignment w:val="baseline"/>
                      <w:rPr>
                        <w:rStyle w:val="62"/>
                        <w:kern w:val="2"/>
                        <w:sz w:val="21"/>
                        <w:szCs w:val="21"/>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pBdr>
        <w:top w:val="none" w:color="000000" w:sz="0" w:space="1"/>
        <w:left w:val="none" w:color="000000" w:sz="0" w:space="4"/>
        <w:bottom w:val="none" w:color="000000" w:sz="0" w:space="1"/>
        <w:right w:val="none" w:color="000000" w:sz="0" w:space="4"/>
      </w:pBdr>
      <w:snapToGrid w:val="0"/>
      <w:textAlignment w:val="baseline"/>
      <w:rPr>
        <w:rStyle w:val="62"/>
        <w:kern w:val="2"/>
        <w:sz w:val="18"/>
        <w:szCs w:val="18"/>
        <w:lang w:val="en-US" w:eastAsia="zh-CN" w:bidi="ar-SA"/>
      </w:rPr>
    </w:pPr>
    <w:r>
      <w:rPr>
        <w:rStyle w:val="62"/>
        <w:rFonts w:cs="宋体"/>
        <w:b/>
        <w:bCs/>
        <w:color w:val="000000"/>
        <w:kern w:val="0"/>
        <w:sz w:val="18"/>
        <w:szCs w:val="18"/>
        <w:u w:val="single"/>
        <w:lang w:val="en-US" w:eastAsia="zh-CN" w:bidi="ar-SA"/>
      </w:rPr>
      <w:t>温岭市政府采购招标文件</w:t>
    </w:r>
    <w:r>
      <w:rPr>
        <w:rStyle w:val="62"/>
        <w:rFonts w:cs="Times New Roman"/>
        <w:b/>
        <w:bCs/>
        <w:color w:val="000000"/>
        <w:kern w:val="0"/>
        <w:sz w:val="18"/>
        <w:szCs w:val="18"/>
        <w:u w:val="single"/>
        <w:lang w:val="en-US" w:eastAsia="zh-CN" w:bidi="ar-SA"/>
      </w:rPr>
      <w:t xml:space="preserve"> </w:t>
    </w:r>
    <w:r>
      <w:rPr>
        <w:rStyle w:val="62"/>
        <w:rFonts w:cs="宋体"/>
        <w:b/>
        <w:bCs/>
        <w:color w:val="000000"/>
        <w:kern w:val="0"/>
        <w:sz w:val="18"/>
        <w:szCs w:val="18"/>
        <w:u w:val="single"/>
        <w:lang w:val="en-US" w:eastAsia="zh-CN" w:bidi="ar-SA"/>
      </w:rPr>
      <w:t>（电子招投标）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color w:val="000000"/>
        <w:kern w:val="0"/>
        <w:sz w:val="18"/>
        <w:szCs w:val="18"/>
        <w:u w:val="single"/>
      </w:rPr>
      <w:t>温岭市政府采购招标文件</w:t>
    </w:r>
    <w:r>
      <w:rPr>
        <w:b/>
        <w:bCs/>
        <w:color w:val="000000"/>
        <w:kern w:val="0"/>
        <w:sz w:val="18"/>
        <w:szCs w:val="18"/>
        <w:u w:val="single"/>
      </w:rPr>
      <w:t xml:space="preserve"> </w:t>
    </w:r>
    <w:r>
      <w:rPr>
        <w:rFonts w:hint="eastAsia"/>
        <w:b/>
        <w:bCs/>
        <w:color w:val="000000"/>
        <w:kern w:val="0"/>
        <w:sz w:val="18"/>
        <w:szCs w:val="18"/>
        <w:u w:val="single"/>
        <w:lang w:eastAsia="zh-CN"/>
      </w:rPr>
      <w:t>（</w:t>
    </w:r>
    <w:r>
      <w:rPr>
        <w:rFonts w:hint="eastAsia"/>
        <w:b/>
        <w:bCs/>
        <w:color w:val="000000"/>
        <w:kern w:val="0"/>
        <w:sz w:val="18"/>
        <w:szCs w:val="18"/>
        <w:u w:val="single"/>
        <w:lang w:val="en-US" w:eastAsia="zh-CN"/>
      </w:rPr>
      <w:t>电子招标</w:t>
    </w:r>
    <w:r>
      <w:rPr>
        <w:rFonts w:hint="eastAsia"/>
        <w:b/>
        <w:bCs/>
        <w:color w:val="000000"/>
        <w:kern w:val="0"/>
        <w:sz w:val="18"/>
        <w:szCs w:val="18"/>
        <w:u w:val="single"/>
        <w:lang w:eastAsia="zh-CN"/>
      </w:rPr>
      <w:t>）</w:t>
    </w:r>
    <w:r>
      <w:rPr>
        <w:b/>
        <w:bCs/>
        <w:color w:val="000000"/>
        <w:kern w:val="0"/>
        <w:sz w:val="18"/>
        <w:szCs w:val="18"/>
        <w:u w:val="single"/>
      </w:rPr>
      <w:t xml:space="preserve">    </w:t>
    </w:r>
    <w:r>
      <w:rPr>
        <w:b/>
        <w:bCs/>
        <w:i/>
        <w:iCs/>
        <w:color w:val="000000"/>
        <w:kern w:val="0"/>
        <w:sz w:val="18"/>
        <w:szCs w:val="18"/>
        <w:u w:val="single"/>
      </w:rPr>
      <w:t xml:space="preserve">  </w:t>
    </w:r>
    <w:r>
      <w:rPr>
        <w:rFonts w:hint="eastAsia"/>
        <w:b/>
        <w:bCs/>
        <w:i/>
        <w:iCs/>
        <w:color w:val="000000"/>
        <w:kern w:val="0"/>
        <w:sz w:val="18"/>
        <w:szCs w:val="18"/>
        <w:u w:val="single"/>
        <w:lang w:val="en-US" w:eastAsia="zh-CN"/>
      </w:rPr>
      <w:t xml:space="preserve"> </w:t>
    </w:r>
    <w:r>
      <w:rPr>
        <w:b/>
        <w:bCs/>
        <w:i/>
        <w:iCs/>
        <w:color w:val="000000"/>
        <w:kern w:val="0"/>
        <w:sz w:val="18"/>
        <w:szCs w:val="18"/>
        <w:u w:val="single"/>
      </w:rPr>
      <w:t xml:space="preserve">                                </w:t>
    </w:r>
    <w:r>
      <w:rPr>
        <w:rFonts w:hint="eastAsia"/>
        <w:b/>
        <w:bCs/>
        <w:i/>
        <w:iCs/>
        <w:color w:val="000000"/>
        <w:kern w:val="0"/>
        <w:sz w:val="18"/>
        <w:szCs w:val="18"/>
        <w:u w:val="single"/>
        <w:lang w:val="en-US" w:eastAsia="zh-CN"/>
      </w:rPr>
      <w:t xml:space="preserve">             </w:t>
    </w:r>
    <w:r>
      <w:rPr>
        <w:b/>
        <w:bCs/>
        <w:i/>
        <w:iCs/>
        <w:color w:val="000000"/>
        <w:kern w:val="0"/>
        <w:sz w:val="18"/>
        <w:szCs w:val="18"/>
        <w:u w:val="single"/>
      </w:rPr>
      <w:t xml:space="preserve">        </w:t>
    </w:r>
    <w:r>
      <w:rPr>
        <w:rFonts w:hint="eastAsia" w:cs="宋体"/>
        <w:b/>
        <w:bCs/>
        <w:color w:val="000000"/>
        <w:spacing w:val="-20"/>
        <w:kern w:val="0"/>
        <w:sz w:val="18"/>
        <w:szCs w:val="18"/>
        <w:u w:val="single"/>
      </w:rPr>
      <w:t>第</w:t>
    </w:r>
    <w:r>
      <w:rPr>
        <w:b/>
        <w:bCs/>
        <w:color w:val="000000"/>
        <w:spacing w:val="-20"/>
        <w:kern w:val="0"/>
        <w:sz w:val="18"/>
        <w:szCs w:val="18"/>
        <w:u w:val="single"/>
      </w:rPr>
      <w:fldChar w:fldCharType="begin"/>
    </w:r>
    <w:r>
      <w:rPr>
        <w:b/>
        <w:bCs/>
        <w:color w:val="000000"/>
        <w:spacing w:val="-20"/>
        <w:kern w:val="0"/>
        <w:sz w:val="18"/>
        <w:szCs w:val="18"/>
        <w:u w:val="single"/>
      </w:rPr>
      <w:instrText xml:space="preserve"> PAGE </w:instrText>
    </w:r>
    <w:r>
      <w:rPr>
        <w:b/>
        <w:bCs/>
        <w:color w:val="000000"/>
        <w:spacing w:val="-20"/>
        <w:kern w:val="0"/>
        <w:sz w:val="18"/>
        <w:szCs w:val="18"/>
        <w:u w:val="single"/>
      </w:rPr>
      <w:fldChar w:fldCharType="separate"/>
    </w:r>
    <w:r>
      <w:rPr>
        <w:b/>
        <w:bCs/>
        <w:color w:val="000000"/>
        <w:spacing w:val="-20"/>
        <w:kern w:val="0"/>
        <w:sz w:val="18"/>
        <w:szCs w:val="18"/>
        <w:u w:val="single"/>
      </w:rPr>
      <w:t>1</w:t>
    </w:r>
    <w:r>
      <w:rPr>
        <w:b/>
        <w:bCs/>
        <w:color w:val="000000"/>
        <w:spacing w:val="-20"/>
        <w:kern w:val="0"/>
        <w:sz w:val="18"/>
        <w:szCs w:val="18"/>
        <w:u w:val="single"/>
      </w:rPr>
      <w:fldChar w:fldCharType="end"/>
    </w:r>
    <w:r>
      <w:rPr>
        <w:rFonts w:hint="eastAsia" w:cs="宋体"/>
        <w:b/>
        <w:bCs/>
        <w:color w:val="000000"/>
        <w:spacing w:val="-20"/>
        <w:kern w:val="0"/>
        <w:sz w:val="18"/>
        <w:szCs w:val="18"/>
        <w:u w:val="single"/>
      </w:rPr>
      <w:t>页共</w:t>
    </w:r>
    <w:r>
      <w:rPr>
        <w:b/>
        <w:bCs/>
        <w:color w:val="000000"/>
        <w:spacing w:val="-20"/>
        <w:kern w:val="0"/>
        <w:sz w:val="18"/>
        <w:szCs w:val="18"/>
        <w:u w:val="single"/>
      </w:rPr>
      <w:fldChar w:fldCharType="begin"/>
    </w:r>
    <w:r>
      <w:rPr>
        <w:b/>
        <w:bCs/>
        <w:color w:val="000000"/>
        <w:spacing w:val="-20"/>
        <w:kern w:val="0"/>
        <w:sz w:val="18"/>
        <w:szCs w:val="18"/>
        <w:u w:val="single"/>
      </w:rPr>
      <w:instrText xml:space="preserve"> NUMPAGES </w:instrText>
    </w:r>
    <w:r>
      <w:rPr>
        <w:b/>
        <w:bCs/>
        <w:color w:val="000000"/>
        <w:spacing w:val="-20"/>
        <w:kern w:val="0"/>
        <w:sz w:val="18"/>
        <w:szCs w:val="18"/>
        <w:u w:val="single"/>
      </w:rPr>
      <w:fldChar w:fldCharType="separate"/>
    </w:r>
    <w:r>
      <w:rPr>
        <w:b/>
        <w:bCs/>
        <w:color w:val="000000"/>
        <w:spacing w:val="-20"/>
        <w:kern w:val="0"/>
        <w:sz w:val="18"/>
        <w:szCs w:val="18"/>
        <w:u w:val="single"/>
      </w:rPr>
      <w:t>54</w:t>
    </w:r>
    <w:r>
      <w:rPr>
        <w:b/>
        <w:bCs/>
        <w:color w:val="000000"/>
        <w:spacing w:val="-20"/>
        <w:kern w:val="0"/>
        <w:sz w:val="18"/>
        <w:szCs w:val="18"/>
        <w:u w:val="single"/>
      </w:rPr>
      <w:fldChar w:fldCharType="end"/>
    </w:r>
    <w:r>
      <w:rPr>
        <w:rFonts w:hint="eastAsia" w:cs="宋体"/>
        <w:b/>
        <w:bCs/>
        <w:color w:val="000000"/>
        <w:spacing w:val="-20"/>
        <w:kern w:val="0"/>
        <w:sz w:val="18"/>
        <w:szCs w:val="18"/>
        <w:u w:val="single"/>
      </w:rPr>
      <w:t>页</w:t>
    </w:r>
  </w:p>
  <w:p>
    <w:pPr>
      <w:pStyle w:val="1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rPr>
        <w:rFonts w:cs="Times New Roman"/>
      </w:rPr>
    </w:lvl>
  </w:abstractNum>
  <w:abstractNum w:abstractNumId="1">
    <w:nsid w:val="837853C1"/>
    <w:multiLevelType w:val="singleLevel"/>
    <w:tmpl w:val="837853C1"/>
    <w:lvl w:ilvl="0" w:tentative="0">
      <w:start w:val="1"/>
      <w:numFmt w:val="lowerLetter"/>
      <w:lvlText w:val="%1."/>
      <w:lvlJc w:val="left"/>
      <w:pPr>
        <w:tabs>
          <w:tab w:val="left" w:pos="312"/>
        </w:tabs>
      </w:pPr>
    </w:lvl>
  </w:abstractNum>
  <w:abstractNum w:abstractNumId="2">
    <w:nsid w:val="8C5697AE"/>
    <w:multiLevelType w:val="singleLevel"/>
    <w:tmpl w:val="8C5697AE"/>
    <w:lvl w:ilvl="0" w:tentative="0">
      <w:start w:val="1"/>
      <w:numFmt w:val="decimal"/>
      <w:suff w:val="space"/>
      <w:lvlText w:val="%1."/>
      <w:lvlJc w:val="left"/>
      <w:pPr>
        <w:ind w:left="0" w:firstLine="567"/>
      </w:pPr>
      <w:rPr>
        <w:rFonts w:hint="default"/>
      </w:rPr>
    </w:lvl>
  </w:abstractNum>
  <w:abstractNum w:abstractNumId="3">
    <w:nsid w:val="967510D7"/>
    <w:multiLevelType w:val="singleLevel"/>
    <w:tmpl w:val="967510D7"/>
    <w:lvl w:ilvl="0" w:tentative="0">
      <w:start w:val="1"/>
      <w:numFmt w:val="decimal"/>
      <w:lvlText w:val="%1)"/>
      <w:lvlJc w:val="left"/>
      <w:pPr>
        <w:ind w:left="425" w:hanging="425"/>
      </w:pPr>
      <w:rPr>
        <w:rFonts w:hint="default"/>
      </w:rPr>
    </w:lvl>
  </w:abstractNum>
  <w:abstractNum w:abstractNumId="4">
    <w:nsid w:val="978283F7"/>
    <w:multiLevelType w:val="singleLevel"/>
    <w:tmpl w:val="978283F7"/>
    <w:lvl w:ilvl="0" w:tentative="0">
      <w:start w:val="1"/>
      <w:numFmt w:val="decimal"/>
      <w:suff w:val="nothing"/>
      <w:lvlText w:val="%1．"/>
      <w:lvlJc w:val="left"/>
      <w:pPr>
        <w:ind w:left="0" w:firstLine="400"/>
      </w:pPr>
      <w:rPr>
        <w:rFonts w:hint="default"/>
      </w:rPr>
    </w:lvl>
  </w:abstractNum>
  <w:abstractNum w:abstractNumId="5">
    <w:nsid w:val="98C19939"/>
    <w:multiLevelType w:val="singleLevel"/>
    <w:tmpl w:val="98C19939"/>
    <w:lvl w:ilvl="0" w:tentative="0">
      <w:start w:val="1"/>
      <w:numFmt w:val="decimal"/>
      <w:suff w:val="nothing"/>
      <w:lvlText w:val="（%1）"/>
      <w:lvlJc w:val="left"/>
    </w:lvl>
  </w:abstractNum>
  <w:abstractNum w:abstractNumId="6">
    <w:nsid w:val="9A44593C"/>
    <w:multiLevelType w:val="singleLevel"/>
    <w:tmpl w:val="9A44593C"/>
    <w:lvl w:ilvl="0" w:tentative="0">
      <w:start w:val="1"/>
      <w:numFmt w:val="decimal"/>
      <w:suff w:val="space"/>
      <w:lvlText w:val="(%1)"/>
      <w:lvlJc w:val="left"/>
      <w:pPr>
        <w:ind w:left="0" w:firstLine="567"/>
      </w:pPr>
      <w:rPr>
        <w:rFonts w:hint="default"/>
      </w:rPr>
    </w:lvl>
  </w:abstractNum>
  <w:abstractNum w:abstractNumId="7">
    <w:nsid w:val="9FD174FB"/>
    <w:multiLevelType w:val="singleLevel"/>
    <w:tmpl w:val="9FD174FB"/>
    <w:lvl w:ilvl="0" w:tentative="0">
      <w:start w:val="1"/>
      <w:numFmt w:val="decimal"/>
      <w:suff w:val="nothing"/>
      <w:lvlText w:val="%1．"/>
      <w:lvlJc w:val="left"/>
      <w:pPr>
        <w:ind w:left="0" w:firstLine="400"/>
      </w:pPr>
      <w:rPr>
        <w:rFonts w:hint="default"/>
      </w:rPr>
    </w:lvl>
  </w:abstractNum>
  <w:abstractNum w:abstractNumId="8">
    <w:nsid w:val="9FF4F580"/>
    <w:multiLevelType w:val="singleLevel"/>
    <w:tmpl w:val="9FF4F580"/>
    <w:lvl w:ilvl="0" w:tentative="0">
      <w:start w:val="1"/>
      <w:numFmt w:val="decimal"/>
      <w:suff w:val="space"/>
      <w:lvlText w:val="(%1)"/>
      <w:lvlJc w:val="left"/>
      <w:pPr>
        <w:ind w:left="0" w:firstLine="567"/>
      </w:pPr>
      <w:rPr>
        <w:rFonts w:hint="default"/>
      </w:rPr>
    </w:lvl>
  </w:abstractNum>
  <w:abstractNum w:abstractNumId="9">
    <w:nsid w:val="AE2D8F7B"/>
    <w:multiLevelType w:val="singleLevel"/>
    <w:tmpl w:val="AE2D8F7B"/>
    <w:lvl w:ilvl="0" w:tentative="0">
      <w:start w:val="1"/>
      <w:numFmt w:val="decimal"/>
      <w:pStyle w:val="6"/>
      <w:lvlText w:val="%1."/>
      <w:lvlJc w:val="left"/>
      <w:pPr>
        <w:tabs>
          <w:tab w:val="left" w:pos="1070"/>
        </w:tabs>
        <w:ind w:left="1070" w:hanging="360"/>
      </w:pPr>
      <w:rPr>
        <w:rFonts w:cs="Times New Roman"/>
      </w:rPr>
    </w:lvl>
  </w:abstractNum>
  <w:abstractNum w:abstractNumId="10">
    <w:nsid w:val="B09E43A5"/>
    <w:multiLevelType w:val="singleLevel"/>
    <w:tmpl w:val="B09E43A5"/>
    <w:lvl w:ilvl="0" w:tentative="0">
      <w:start w:val="1"/>
      <w:numFmt w:val="decimal"/>
      <w:suff w:val="space"/>
      <w:lvlText w:val="%1."/>
      <w:lvlJc w:val="left"/>
    </w:lvl>
  </w:abstractNum>
  <w:abstractNum w:abstractNumId="11">
    <w:nsid w:val="BAAD4F14"/>
    <w:multiLevelType w:val="singleLevel"/>
    <w:tmpl w:val="BAAD4F14"/>
    <w:lvl w:ilvl="0" w:tentative="0">
      <w:start w:val="1"/>
      <w:numFmt w:val="decimal"/>
      <w:suff w:val="space"/>
      <w:lvlText w:val="%1."/>
      <w:lvlJc w:val="left"/>
      <w:pPr>
        <w:ind w:left="0" w:firstLine="567"/>
      </w:pPr>
      <w:rPr>
        <w:rFonts w:hint="default"/>
      </w:rPr>
    </w:lvl>
  </w:abstractNum>
  <w:abstractNum w:abstractNumId="12">
    <w:nsid w:val="BD9C0705"/>
    <w:multiLevelType w:val="singleLevel"/>
    <w:tmpl w:val="BD9C0705"/>
    <w:lvl w:ilvl="0" w:tentative="0">
      <w:start w:val="1"/>
      <w:numFmt w:val="decimal"/>
      <w:suff w:val="space"/>
      <w:lvlText w:val="%1."/>
      <w:lvlJc w:val="left"/>
      <w:pPr>
        <w:ind w:left="0" w:firstLine="567"/>
      </w:pPr>
      <w:rPr>
        <w:rFonts w:hint="default"/>
      </w:rPr>
    </w:lvl>
  </w:abstractNum>
  <w:abstractNum w:abstractNumId="13">
    <w:nsid w:val="BE2DD199"/>
    <w:multiLevelType w:val="singleLevel"/>
    <w:tmpl w:val="BE2DD199"/>
    <w:lvl w:ilvl="0" w:tentative="0">
      <w:start w:val="1"/>
      <w:numFmt w:val="chineseCounting"/>
      <w:suff w:val="nothing"/>
      <w:lvlText w:val="（%1）"/>
      <w:lvlJc w:val="left"/>
      <w:pPr>
        <w:ind w:left="0" w:firstLine="420"/>
      </w:pPr>
      <w:rPr>
        <w:rFonts w:hint="eastAsia"/>
      </w:rPr>
    </w:lvl>
  </w:abstractNum>
  <w:abstractNum w:abstractNumId="14">
    <w:nsid w:val="BEC33CB9"/>
    <w:multiLevelType w:val="singleLevel"/>
    <w:tmpl w:val="BEC33CB9"/>
    <w:lvl w:ilvl="0" w:tentative="0">
      <w:start w:val="1"/>
      <w:numFmt w:val="decimal"/>
      <w:suff w:val="nothing"/>
      <w:lvlText w:val="%1、"/>
      <w:lvlJc w:val="left"/>
    </w:lvl>
  </w:abstractNum>
  <w:abstractNum w:abstractNumId="15">
    <w:nsid w:val="C10BF0AA"/>
    <w:multiLevelType w:val="singleLevel"/>
    <w:tmpl w:val="C10BF0AA"/>
    <w:lvl w:ilvl="0" w:tentative="0">
      <w:start w:val="1"/>
      <w:numFmt w:val="decimal"/>
      <w:suff w:val="space"/>
      <w:lvlText w:val="%1."/>
      <w:lvlJc w:val="left"/>
    </w:lvl>
  </w:abstractNum>
  <w:abstractNum w:abstractNumId="16">
    <w:nsid w:val="C1D97511"/>
    <w:multiLevelType w:val="singleLevel"/>
    <w:tmpl w:val="C1D97511"/>
    <w:lvl w:ilvl="0" w:tentative="0">
      <w:start w:val="1"/>
      <w:numFmt w:val="decimal"/>
      <w:suff w:val="nothing"/>
      <w:lvlText w:val="%1．"/>
      <w:lvlJc w:val="left"/>
      <w:pPr>
        <w:ind w:left="0" w:firstLine="400"/>
      </w:pPr>
      <w:rPr>
        <w:rFonts w:hint="default"/>
      </w:rPr>
    </w:lvl>
  </w:abstractNum>
  <w:abstractNum w:abstractNumId="17">
    <w:nsid w:val="C8E4A651"/>
    <w:multiLevelType w:val="singleLevel"/>
    <w:tmpl w:val="C8E4A651"/>
    <w:lvl w:ilvl="0" w:tentative="0">
      <w:start w:val="1"/>
      <w:numFmt w:val="decimal"/>
      <w:lvlText w:val="(%1)"/>
      <w:lvlJc w:val="left"/>
      <w:pPr>
        <w:ind w:left="425" w:hanging="425"/>
      </w:pPr>
      <w:rPr>
        <w:rFonts w:hint="default"/>
      </w:rPr>
    </w:lvl>
  </w:abstractNum>
  <w:abstractNum w:abstractNumId="18">
    <w:nsid w:val="CDCA295D"/>
    <w:multiLevelType w:val="singleLevel"/>
    <w:tmpl w:val="CDCA295D"/>
    <w:lvl w:ilvl="0" w:tentative="0">
      <w:start w:val="1"/>
      <w:numFmt w:val="decimal"/>
      <w:suff w:val="space"/>
      <w:lvlText w:val="(%1)"/>
      <w:lvlJc w:val="left"/>
      <w:pPr>
        <w:ind w:left="0" w:firstLine="567"/>
      </w:pPr>
      <w:rPr>
        <w:rFonts w:hint="default"/>
      </w:rPr>
    </w:lvl>
  </w:abstractNum>
  <w:abstractNum w:abstractNumId="19">
    <w:nsid w:val="E6A328EA"/>
    <w:multiLevelType w:val="singleLevel"/>
    <w:tmpl w:val="E6A328EA"/>
    <w:lvl w:ilvl="0" w:tentative="0">
      <w:start w:val="1"/>
      <w:numFmt w:val="decimal"/>
      <w:suff w:val="space"/>
      <w:lvlText w:val="%1."/>
      <w:lvlJc w:val="left"/>
      <w:pPr>
        <w:ind w:left="0" w:firstLine="567"/>
      </w:pPr>
      <w:rPr>
        <w:rFonts w:hint="default"/>
      </w:rPr>
    </w:lvl>
  </w:abstractNum>
  <w:abstractNum w:abstractNumId="20">
    <w:nsid w:val="F05E6C47"/>
    <w:multiLevelType w:val="singleLevel"/>
    <w:tmpl w:val="F05E6C47"/>
    <w:lvl w:ilvl="0" w:tentative="0">
      <w:start w:val="1"/>
      <w:numFmt w:val="decimal"/>
      <w:suff w:val="space"/>
      <w:lvlText w:val="%1."/>
      <w:lvlJc w:val="left"/>
      <w:pPr>
        <w:ind w:left="0" w:firstLine="567"/>
      </w:pPr>
      <w:rPr>
        <w:rFonts w:hint="default"/>
      </w:rPr>
    </w:lvl>
  </w:abstractNum>
  <w:abstractNum w:abstractNumId="21">
    <w:nsid w:val="F289773D"/>
    <w:multiLevelType w:val="singleLevel"/>
    <w:tmpl w:val="F289773D"/>
    <w:lvl w:ilvl="0" w:tentative="0">
      <w:start w:val="1"/>
      <w:numFmt w:val="decimal"/>
      <w:suff w:val="space"/>
      <w:lvlText w:val="%1."/>
      <w:lvlJc w:val="left"/>
    </w:lvl>
  </w:abstractNum>
  <w:abstractNum w:abstractNumId="22">
    <w:nsid w:val="F5742714"/>
    <w:multiLevelType w:val="singleLevel"/>
    <w:tmpl w:val="F5742714"/>
    <w:lvl w:ilvl="0" w:tentative="0">
      <w:start w:val="1"/>
      <w:numFmt w:val="decimal"/>
      <w:suff w:val="nothing"/>
      <w:lvlText w:val="%1．"/>
      <w:lvlJc w:val="left"/>
      <w:pPr>
        <w:ind w:left="0" w:firstLine="400"/>
      </w:pPr>
      <w:rPr>
        <w:rFonts w:hint="default"/>
      </w:rPr>
    </w:lvl>
  </w:abstractNum>
  <w:abstractNum w:abstractNumId="23">
    <w:nsid w:val="F66E19C4"/>
    <w:multiLevelType w:val="singleLevel"/>
    <w:tmpl w:val="F66E19C4"/>
    <w:lvl w:ilvl="0" w:tentative="0">
      <w:start w:val="1"/>
      <w:numFmt w:val="decimal"/>
      <w:suff w:val="space"/>
      <w:lvlText w:val="(%1)"/>
      <w:lvlJc w:val="left"/>
      <w:pPr>
        <w:ind w:left="0" w:firstLine="567"/>
      </w:pPr>
      <w:rPr>
        <w:rFonts w:hint="default"/>
      </w:rPr>
    </w:lvl>
  </w:abstractNum>
  <w:abstractNum w:abstractNumId="24">
    <w:nsid w:val="F9F6C18D"/>
    <w:multiLevelType w:val="singleLevel"/>
    <w:tmpl w:val="F9F6C18D"/>
    <w:lvl w:ilvl="0" w:tentative="0">
      <w:start w:val="1"/>
      <w:numFmt w:val="decimal"/>
      <w:suff w:val="nothing"/>
      <w:lvlText w:val="%1．"/>
      <w:lvlJc w:val="left"/>
      <w:pPr>
        <w:ind w:left="0" w:firstLine="400"/>
      </w:pPr>
      <w:rPr>
        <w:rFonts w:hint="default"/>
      </w:rPr>
    </w:lvl>
  </w:abstractNum>
  <w:abstractNum w:abstractNumId="25">
    <w:nsid w:val="FF283022"/>
    <w:multiLevelType w:val="singleLevel"/>
    <w:tmpl w:val="FF283022"/>
    <w:lvl w:ilvl="0" w:tentative="0">
      <w:start w:val="1"/>
      <w:numFmt w:val="decimal"/>
      <w:suff w:val="nothing"/>
      <w:lvlText w:val="%1．"/>
      <w:lvlJc w:val="left"/>
      <w:pPr>
        <w:ind w:left="0" w:firstLine="400"/>
      </w:pPr>
      <w:rPr>
        <w:rFonts w:hint="default"/>
      </w:rPr>
    </w:lvl>
  </w:abstractNum>
  <w:abstractNum w:abstractNumId="26">
    <w:nsid w:val="01972658"/>
    <w:multiLevelType w:val="singleLevel"/>
    <w:tmpl w:val="01972658"/>
    <w:lvl w:ilvl="0" w:tentative="0">
      <w:start w:val="1"/>
      <w:numFmt w:val="decimal"/>
      <w:suff w:val="space"/>
      <w:lvlText w:val="(%1)"/>
      <w:lvlJc w:val="left"/>
      <w:pPr>
        <w:ind w:left="0" w:firstLine="567"/>
      </w:pPr>
      <w:rPr>
        <w:rFonts w:hint="default"/>
      </w:rPr>
    </w:lvl>
  </w:abstractNum>
  <w:abstractNum w:abstractNumId="27">
    <w:nsid w:val="096890A5"/>
    <w:multiLevelType w:val="singleLevel"/>
    <w:tmpl w:val="096890A5"/>
    <w:lvl w:ilvl="0" w:tentative="0">
      <w:start w:val="1"/>
      <w:numFmt w:val="chineseCounting"/>
      <w:suff w:val="nothing"/>
      <w:lvlText w:val="%1、"/>
      <w:lvlJc w:val="left"/>
      <w:pPr>
        <w:ind w:left="0" w:firstLine="420"/>
      </w:pPr>
      <w:rPr>
        <w:rFonts w:hint="eastAsia"/>
      </w:rPr>
    </w:lvl>
  </w:abstractNum>
  <w:abstractNum w:abstractNumId="28">
    <w:nsid w:val="0F3810B9"/>
    <w:multiLevelType w:val="singleLevel"/>
    <w:tmpl w:val="0F3810B9"/>
    <w:lvl w:ilvl="0" w:tentative="0">
      <w:start w:val="1"/>
      <w:numFmt w:val="decimal"/>
      <w:suff w:val="nothing"/>
      <w:lvlText w:val="%1．"/>
      <w:lvlJc w:val="left"/>
      <w:pPr>
        <w:ind w:left="0" w:firstLine="400"/>
      </w:pPr>
      <w:rPr>
        <w:rFonts w:hint="default"/>
      </w:rPr>
    </w:lvl>
  </w:abstractNum>
  <w:abstractNum w:abstractNumId="29">
    <w:nsid w:val="153494F4"/>
    <w:multiLevelType w:val="singleLevel"/>
    <w:tmpl w:val="153494F4"/>
    <w:lvl w:ilvl="0" w:tentative="0">
      <w:start w:val="1"/>
      <w:numFmt w:val="chineseCounting"/>
      <w:suff w:val="space"/>
      <w:lvlText w:val="第%1章"/>
      <w:lvlJc w:val="left"/>
      <w:rPr>
        <w:rFonts w:hint="eastAsia"/>
      </w:rPr>
    </w:lvl>
  </w:abstractNum>
  <w:abstractNum w:abstractNumId="30">
    <w:nsid w:val="23F9248F"/>
    <w:multiLevelType w:val="singleLevel"/>
    <w:tmpl w:val="23F9248F"/>
    <w:lvl w:ilvl="0" w:tentative="0">
      <w:start w:val="4"/>
      <w:numFmt w:val="chineseCounting"/>
      <w:suff w:val="nothing"/>
      <w:lvlText w:val="（%1）"/>
      <w:lvlJc w:val="left"/>
      <w:rPr>
        <w:rFonts w:hint="eastAsia"/>
      </w:rPr>
    </w:lvl>
  </w:abstractNum>
  <w:abstractNum w:abstractNumId="31">
    <w:nsid w:val="283CAC3F"/>
    <w:multiLevelType w:val="singleLevel"/>
    <w:tmpl w:val="283CAC3F"/>
    <w:lvl w:ilvl="0" w:tentative="0">
      <w:start w:val="1"/>
      <w:numFmt w:val="decimal"/>
      <w:suff w:val="space"/>
      <w:lvlText w:val="%1."/>
      <w:lvlJc w:val="left"/>
      <w:pPr>
        <w:ind w:left="0" w:firstLine="567"/>
      </w:pPr>
      <w:rPr>
        <w:rFonts w:hint="default"/>
      </w:rPr>
    </w:lvl>
  </w:abstractNum>
  <w:abstractNum w:abstractNumId="32">
    <w:nsid w:val="2C28DA5A"/>
    <w:multiLevelType w:val="singleLevel"/>
    <w:tmpl w:val="2C28DA5A"/>
    <w:lvl w:ilvl="0" w:tentative="0">
      <w:start w:val="1"/>
      <w:numFmt w:val="decimal"/>
      <w:suff w:val="nothing"/>
      <w:lvlText w:val="%1．"/>
      <w:lvlJc w:val="left"/>
      <w:pPr>
        <w:ind w:left="0" w:firstLine="400"/>
      </w:pPr>
      <w:rPr>
        <w:rFonts w:hint="default"/>
      </w:rPr>
    </w:lvl>
  </w:abstractNum>
  <w:abstractNum w:abstractNumId="33">
    <w:nsid w:val="2C7BE671"/>
    <w:multiLevelType w:val="singleLevel"/>
    <w:tmpl w:val="2C7BE671"/>
    <w:lvl w:ilvl="0" w:tentative="0">
      <w:start w:val="1"/>
      <w:numFmt w:val="decimal"/>
      <w:suff w:val="space"/>
      <w:lvlText w:val="%1."/>
      <w:lvlJc w:val="left"/>
    </w:lvl>
  </w:abstractNum>
  <w:abstractNum w:abstractNumId="34">
    <w:nsid w:val="32C0AFB5"/>
    <w:multiLevelType w:val="singleLevel"/>
    <w:tmpl w:val="32C0AFB5"/>
    <w:lvl w:ilvl="0" w:tentative="0">
      <w:start w:val="2"/>
      <w:numFmt w:val="decimal"/>
      <w:suff w:val="space"/>
      <w:lvlText w:val="%1."/>
      <w:lvlJc w:val="left"/>
    </w:lvl>
  </w:abstractNum>
  <w:abstractNum w:abstractNumId="35">
    <w:nsid w:val="37698926"/>
    <w:multiLevelType w:val="singleLevel"/>
    <w:tmpl w:val="37698926"/>
    <w:lvl w:ilvl="0" w:tentative="0">
      <w:start w:val="1"/>
      <w:numFmt w:val="decimal"/>
      <w:suff w:val="nothing"/>
      <w:lvlText w:val="%1．"/>
      <w:lvlJc w:val="left"/>
      <w:pPr>
        <w:ind w:left="0" w:firstLine="400"/>
      </w:pPr>
      <w:rPr>
        <w:rFonts w:hint="default"/>
      </w:rPr>
    </w:lvl>
  </w:abstractNum>
  <w:abstractNum w:abstractNumId="36">
    <w:nsid w:val="3BAA76DB"/>
    <w:multiLevelType w:val="singleLevel"/>
    <w:tmpl w:val="3BAA76DB"/>
    <w:lvl w:ilvl="0" w:tentative="0">
      <w:start w:val="1"/>
      <w:numFmt w:val="chineseCounting"/>
      <w:suff w:val="nothing"/>
      <w:lvlText w:val="（%1）"/>
      <w:lvlJc w:val="left"/>
      <w:pPr>
        <w:ind w:left="0" w:firstLine="420"/>
      </w:pPr>
      <w:rPr>
        <w:rFonts w:hint="eastAsia"/>
      </w:rPr>
    </w:lvl>
  </w:abstractNum>
  <w:abstractNum w:abstractNumId="37">
    <w:nsid w:val="3DF55DD3"/>
    <w:multiLevelType w:val="singleLevel"/>
    <w:tmpl w:val="3DF55DD3"/>
    <w:lvl w:ilvl="0" w:tentative="0">
      <w:start w:val="1"/>
      <w:numFmt w:val="chineseCounting"/>
      <w:suff w:val="nothing"/>
      <w:lvlText w:val="第%1条、"/>
      <w:lvlJc w:val="left"/>
      <w:rPr>
        <w:rFonts w:hint="eastAsia"/>
      </w:rPr>
    </w:lvl>
  </w:abstractNum>
  <w:abstractNum w:abstractNumId="38">
    <w:nsid w:val="4D39DBE0"/>
    <w:multiLevelType w:val="singleLevel"/>
    <w:tmpl w:val="4D39DBE0"/>
    <w:lvl w:ilvl="0" w:tentative="0">
      <w:start w:val="1"/>
      <w:numFmt w:val="chineseCounting"/>
      <w:suff w:val="nothing"/>
      <w:lvlText w:val="（%1）"/>
      <w:lvlJc w:val="left"/>
      <w:pPr>
        <w:ind w:left="0" w:firstLine="420"/>
      </w:pPr>
      <w:rPr>
        <w:rFonts w:hint="eastAsia"/>
      </w:rPr>
    </w:lvl>
  </w:abstractNum>
  <w:abstractNum w:abstractNumId="39">
    <w:nsid w:val="4E9A9543"/>
    <w:multiLevelType w:val="singleLevel"/>
    <w:tmpl w:val="4E9A9543"/>
    <w:lvl w:ilvl="0" w:tentative="0">
      <w:start w:val="1"/>
      <w:numFmt w:val="decimal"/>
      <w:suff w:val="nothing"/>
      <w:lvlText w:val="%1、"/>
      <w:lvlJc w:val="left"/>
    </w:lvl>
  </w:abstractNum>
  <w:abstractNum w:abstractNumId="40">
    <w:nsid w:val="4EFFBE91"/>
    <w:multiLevelType w:val="singleLevel"/>
    <w:tmpl w:val="4EFFBE91"/>
    <w:lvl w:ilvl="0" w:tentative="0">
      <w:start w:val="1"/>
      <w:numFmt w:val="decimal"/>
      <w:suff w:val="space"/>
      <w:lvlText w:val="(%1)"/>
      <w:lvlJc w:val="left"/>
      <w:pPr>
        <w:ind w:left="0" w:firstLine="567"/>
      </w:pPr>
      <w:rPr>
        <w:rFonts w:hint="default"/>
      </w:rPr>
    </w:lvl>
  </w:abstractNum>
  <w:abstractNum w:abstractNumId="41">
    <w:nsid w:val="4FAA4857"/>
    <w:multiLevelType w:val="singleLevel"/>
    <w:tmpl w:val="4FAA4857"/>
    <w:lvl w:ilvl="0" w:tentative="0">
      <w:start w:val="1"/>
      <w:numFmt w:val="decimal"/>
      <w:suff w:val="space"/>
      <w:lvlText w:val="%1."/>
      <w:lvlJc w:val="left"/>
      <w:pPr>
        <w:ind w:left="0" w:firstLine="567"/>
      </w:pPr>
      <w:rPr>
        <w:rFonts w:hint="default"/>
      </w:rPr>
    </w:lvl>
  </w:abstractNum>
  <w:abstractNum w:abstractNumId="42">
    <w:nsid w:val="586CD3BE"/>
    <w:multiLevelType w:val="singleLevel"/>
    <w:tmpl w:val="586CD3BE"/>
    <w:lvl w:ilvl="0" w:tentative="0">
      <w:start w:val="1"/>
      <w:numFmt w:val="decimal"/>
      <w:suff w:val="space"/>
      <w:lvlText w:val="(%1)"/>
      <w:lvlJc w:val="left"/>
      <w:pPr>
        <w:ind w:left="0" w:firstLine="567"/>
      </w:pPr>
      <w:rPr>
        <w:rFonts w:hint="default"/>
      </w:rPr>
    </w:lvl>
  </w:abstractNum>
  <w:abstractNum w:abstractNumId="43">
    <w:nsid w:val="598030E0"/>
    <w:multiLevelType w:val="multilevel"/>
    <w:tmpl w:val="598030E0"/>
    <w:lvl w:ilvl="0" w:tentative="0">
      <w:start w:val="1"/>
      <w:numFmt w:val="decimal"/>
      <w:pStyle w:val="6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4">
    <w:nsid w:val="5A8E71E2"/>
    <w:multiLevelType w:val="singleLevel"/>
    <w:tmpl w:val="5A8E71E2"/>
    <w:lvl w:ilvl="0" w:tentative="0">
      <w:start w:val="1"/>
      <w:numFmt w:val="decimal"/>
      <w:suff w:val="space"/>
      <w:lvlText w:val="%1."/>
      <w:lvlJc w:val="left"/>
    </w:lvl>
  </w:abstractNum>
  <w:abstractNum w:abstractNumId="45">
    <w:nsid w:val="5B8A874A"/>
    <w:multiLevelType w:val="singleLevel"/>
    <w:tmpl w:val="5B8A874A"/>
    <w:lvl w:ilvl="0" w:tentative="0">
      <w:start w:val="1"/>
      <w:numFmt w:val="decimal"/>
      <w:suff w:val="nothing"/>
      <w:lvlText w:val="%1．"/>
      <w:lvlJc w:val="left"/>
      <w:pPr>
        <w:ind w:left="0" w:firstLine="400"/>
      </w:pPr>
      <w:rPr>
        <w:rFonts w:hint="default"/>
      </w:rPr>
    </w:lvl>
  </w:abstractNum>
  <w:abstractNum w:abstractNumId="46">
    <w:nsid w:val="5BC2FE87"/>
    <w:multiLevelType w:val="singleLevel"/>
    <w:tmpl w:val="5BC2FE87"/>
    <w:lvl w:ilvl="0" w:tentative="0">
      <w:start w:val="1"/>
      <w:numFmt w:val="decimal"/>
      <w:suff w:val="space"/>
      <w:lvlText w:val="(%1)"/>
      <w:lvlJc w:val="left"/>
      <w:pPr>
        <w:ind w:left="0" w:firstLine="567"/>
      </w:pPr>
      <w:rPr>
        <w:rFonts w:hint="default"/>
      </w:rPr>
    </w:lvl>
  </w:abstractNum>
  <w:abstractNum w:abstractNumId="47">
    <w:nsid w:val="6370856C"/>
    <w:multiLevelType w:val="singleLevel"/>
    <w:tmpl w:val="6370856C"/>
    <w:lvl w:ilvl="0" w:tentative="0">
      <w:start w:val="1"/>
      <w:numFmt w:val="decimal"/>
      <w:suff w:val="space"/>
      <w:lvlText w:val="%1."/>
      <w:lvlJc w:val="left"/>
      <w:pPr>
        <w:ind w:left="0" w:firstLine="567"/>
      </w:pPr>
      <w:rPr>
        <w:rFonts w:hint="default"/>
      </w:rPr>
    </w:lvl>
  </w:abstractNum>
  <w:abstractNum w:abstractNumId="48">
    <w:nsid w:val="73592BD9"/>
    <w:multiLevelType w:val="singleLevel"/>
    <w:tmpl w:val="73592BD9"/>
    <w:lvl w:ilvl="0" w:tentative="0">
      <w:start w:val="1"/>
      <w:numFmt w:val="decimal"/>
      <w:suff w:val="space"/>
      <w:lvlText w:val="(%1)"/>
      <w:lvlJc w:val="left"/>
      <w:pPr>
        <w:ind w:left="0" w:firstLine="567"/>
      </w:pPr>
      <w:rPr>
        <w:rFonts w:hint="default"/>
      </w:rPr>
    </w:lvl>
  </w:abstractNum>
  <w:abstractNum w:abstractNumId="49">
    <w:nsid w:val="75FA021B"/>
    <w:multiLevelType w:val="singleLevel"/>
    <w:tmpl w:val="75FA021B"/>
    <w:lvl w:ilvl="0" w:tentative="0">
      <w:start w:val="1"/>
      <w:numFmt w:val="decimal"/>
      <w:lvlText w:val="%1."/>
      <w:lvlJc w:val="left"/>
      <w:pPr>
        <w:tabs>
          <w:tab w:val="left" w:pos="312"/>
        </w:tabs>
      </w:pPr>
      <w:rPr>
        <w:rFonts w:cs="Times New Roman"/>
      </w:rPr>
    </w:lvl>
  </w:abstractNum>
  <w:abstractNum w:abstractNumId="50">
    <w:nsid w:val="7B19ED63"/>
    <w:multiLevelType w:val="singleLevel"/>
    <w:tmpl w:val="7B19ED63"/>
    <w:lvl w:ilvl="0" w:tentative="0">
      <w:start w:val="1"/>
      <w:numFmt w:val="chineseCounting"/>
      <w:suff w:val="nothing"/>
      <w:lvlText w:val="（%1）"/>
      <w:lvlJc w:val="left"/>
      <w:pPr>
        <w:ind w:left="0" w:firstLine="420"/>
      </w:pPr>
      <w:rPr>
        <w:rFonts w:hint="eastAsia"/>
      </w:rPr>
    </w:lvl>
  </w:abstractNum>
  <w:num w:numId="1">
    <w:abstractNumId w:val="9"/>
  </w:num>
  <w:num w:numId="2">
    <w:abstractNumId w:val="43"/>
  </w:num>
  <w:num w:numId="3">
    <w:abstractNumId w:val="29"/>
  </w:num>
  <w:num w:numId="4">
    <w:abstractNumId w:val="34"/>
  </w:num>
  <w:num w:numId="5">
    <w:abstractNumId w:val="10"/>
  </w:num>
  <w:num w:numId="6">
    <w:abstractNumId w:val="49"/>
  </w:num>
  <w:num w:numId="7">
    <w:abstractNumId w:val="1"/>
  </w:num>
  <w:num w:numId="8">
    <w:abstractNumId w:val="5"/>
  </w:num>
  <w:num w:numId="9">
    <w:abstractNumId w:val="17"/>
  </w:num>
  <w:num w:numId="10">
    <w:abstractNumId w:val="30"/>
  </w:num>
  <w:num w:numId="11">
    <w:abstractNumId w:val="39"/>
  </w:num>
  <w:num w:numId="12">
    <w:abstractNumId w:val="27"/>
  </w:num>
  <w:num w:numId="13">
    <w:abstractNumId w:val="32"/>
  </w:num>
  <w:num w:numId="14">
    <w:abstractNumId w:val="38"/>
  </w:num>
  <w:num w:numId="15">
    <w:abstractNumId w:val="28"/>
  </w:num>
  <w:num w:numId="16">
    <w:abstractNumId w:val="7"/>
  </w:num>
  <w:num w:numId="17">
    <w:abstractNumId w:val="45"/>
  </w:num>
  <w:num w:numId="18">
    <w:abstractNumId w:val="22"/>
  </w:num>
  <w:num w:numId="19">
    <w:abstractNumId w:val="3"/>
  </w:num>
  <w:num w:numId="20">
    <w:abstractNumId w:val="8"/>
  </w:num>
  <w:num w:numId="21">
    <w:abstractNumId w:val="46"/>
  </w:num>
  <w:num w:numId="22">
    <w:abstractNumId w:val="50"/>
  </w:num>
  <w:num w:numId="23">
    <w:abstractNumId w:val="24"/>
  </w:num>
  <w:num w:numId="24">
    <w:abstractNumId w:val="16"/>
  </w:num>
  <w:num w:numId="25">
    <w:abstractNumId w:val="36"/>
  </w:num>
  <w:num w:numId="26">
    <w:abstractNumId w:val="4"/>
  </w:num>
  <w:num w:numId="27">
    <w:abstractNumId w:val="25"/>
  </w:num>
  <w:num w:numId="28">
    <w:abstractNumId w:val="26"/>
  </w:num>
  <w:num w:numId="29">
    <w:abstractNumId w:val="23"/>
  </w:num>
  <w:num w:numId="30">
    <w:abstractNumId w:val="12"/>
  </w:num>
  <w:num w:numId="31">
    <w:abstractNumId w:val="19"/>
  </w:num>
  <w:num w:numId="32">
    <w:abstractNumId w:val="41"/>
  </w:num>
  <w:num w:numId="33">
    <w:abstractNumId w:val="35"/>
  </w:num>
  <w:num w:numId="34">
    <w:abstractNumId w:val="20"/>
  </w:num>
  <w:num w:numId="35">
    <w:abstractNumId w:val="40"/>
  </w:num>
  <w:num w:numId="36">
    <w:abstractNumId w:val="42"/>
  </w:num>
  <w:num w:numId="37">
    <w:abstractNumId w:val="11"/>
  </w:num>
  <w:num w:numId="38">
    <w:abstractNumId w:val="18"/>
  </w:num>
  <w:num w:numId="39">
    <w:abstractNumId w:val="13"/>
  </w:num>
  <w:num w:numId="40">
    <w:abstractNumId w:val="47"/>
  </w:num>
  <w:num w:numId="41">
    <w:abstractNumId w:val="2"/>
  </w:num>
  <w:num w:numId="42">
    <w:abstractNumId w:val="37"/>
  </w:num>
  <w:num w:numId="43">
    <w:abstractNumId w:val="21"/>
  </w:num>
  <w:num w:numId="44">
    <w:abstractNumId w:val="44"/>
  </w:num>
  <w:num w:numId="45">
    <w:abstractNumId w:val="15"/>
  </w:num>
  <w:num w:numId="46">
    <w:abstractNumId w:val="33"/>
  </w:num>
  <w:num w:numId="47">
    <w:abstractNumId w:val="31"/>
  </w:num>
  <w:num w:numId="48">
    <w:abstractNumId w:val="6"/>
  </w:num>
  <w:num w:numId="49">
    <w:abstractNumId w:val="48"/>
  </w:num>
  <w:num w:numId="50">
    <w:abstractNumId w:val="0"/>
  </w:num>
  <w:num w:numId="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00F17"/>
    <w:rsid w:val="00001503"/>
    <w:rsid w:val="0002199D"/>
    <w:rsid w:val="0004261B"/>
    <w:rsid w:val="000455D1"/>
    <w:rsid w:val="0004585A"/>
    <w:rsid w:val="00051A10"/>
    <w:rsid w:val="0006294D"/>
    <w:rsid w:val="00062AB3"/>
    <w:rsid w:val="000A36D3"/>
    <w:rsid w:val="000D067B"/>
    <w:rsid w:val="000E49F9"/>
    <w:rsid w:val="000F06E9"/>
    <w:rsid w:val="000F4673"/>
    <w:rsid w:val="000F4C1C"/>
    <w:rsid w:val="00107BF6"/>
    <w:rsid w:val="00112D0E"/>
    <w:rsid w:val="00116C73"/>
    <w:rsid w:val="00122944"/>
    <w:rsid w:val="00154250"/>
    <w:rsid w:val="00165F2A"/>
    <w:rsid w:val="001728EE"/>
    <w:rsid w:val="00191927"/>
    <w:rsid w:val="001A3E7A"/>
    <w:rsid w:val="001D7044"/>
    <w:rsid w:val="001F762C"/>
    <w:rsid w:val="00201D62"/>
    <w:rsid w:val="0021318F"/>
    <w:rsid w:val="002165E9"/>
    <w:rsid w:val="002232BE"/>
    <w:rsid w:val="00226D4D"/>
    <w:rsid w:val="00243FB3"/>
    <w:rsid w:val="00250AF1"/>
    <w:rsid w:val="00251214"/>
    <w:rsid w:val="00275207"/>
    <w:rsid w:val="00275AD9"/>
    <w:rsid w:val="002A1620"/>
    <w:rsid w:val="002B1189"/>
    <w:rsid w:val="002D51C5"/>
    <w:rsid w:val="002D5ACF"/>
    <w:rsid w:val="002E3E2F"/>
    <w:rsid w:val="002E4DD6"/>
    <w:rsid w:val="003102FB"/>
    <w:rsid w:val="00313638"/>
    <w:rsid w:val="003171FB"/>
    <w:rsid w:val="00332E30"/>
    <w:rsid w:val="00346584"/>
    <w:rsid w:val="00346DD8"/>
    <w:rsid w:val="003638D8"/>
    <w:rsid w:val="003639DE"/>
    <w:rsid w:val="003645B3"/>
    <w:rsid w:val="0037446B"/>
    <w:rsid w:val="003806B8"/>
    <w:rsid w:val="003907AB"/>
    <w:rsid w:val="003A0D2A"/>
    <w:rsid w:val="003A1960"/>
    <w:rsid w:val="003B75F0"/>
    <w:rsid w:val="003C5E00"/>
    <w:rsid w:val="003D4ECD"/>
    <w:rsid w:val="003E32CD"/>
    <w:rsid w:val="003F595C"/>
    <w:rsid w:val="003F78E0"/>
    <w:rsid w:val="0040648F"/>
    <w:rsid w:val="00414343"/>
    <w:rsid w:val="00417D90"/>
    <w:rsid w:val="004223B8"/>
    <w:rsid w:val="0042491E"/>
    <w:rsid w:val="00441FAE"/>
    <w:rsid w:val="00446CEF"/>
    <w:rsid w:val="00452C78"/>
    <w:rsid w:val="00462ED2"/>
    <w:rsid w:val="0046320E"/>
    <w:rsid w:val="00463352"/>
    <w:rsid w:val="004811AA"/>
    <w:rsid w:val="00491BDF"/>
    <w:rsid w:val="00492E70"/>
    <w:rsid w:val="004A2A54"/>
    <w:rsid w:val="004A44AA"/>
    <w:rsid w:val="004B20C8"/>
    <w:rsid w:val="004B4165"/>
    <w:rsid w:val="004B41F3"/>
    <w:rsid w:val="004C2DD5"/>
    <w:rsid w:val="004C44FA"/>
    <w:rsid w:val="004E66F6"/>
    <w:rsid w:val="005176A9"/>
    <w:rsid w:val="00523883"/>
    <w:rsid w:val="0054372B"/>
    <w:rsid w:val="005439FA"/>
    <w:rsid w:val="00561B0B"/>
    <w:rsid w:val="0057140A"/>
    <w:rsid w:val="00582481"/>
    <w:rsid w:val="00584BEC"/>
    <w:rsid w:val="0059487B"/>
    <w:rsid w:val="005A1E9A"/>
    <w:rsid w:val="005A410D"/>
    <w:rsid w:val="00607C73"/>
    <w:rsid w:val="00615CB3"/>
    <w:rsid w:val="00616E31"/>
    <w:rsid w:val="00624393"/>
    <w:rsid w:val="00625D50"/>
    <w:rsid w:val="00635EB5"/>
    <w:rsid w:val="00655E3C"/>
    <w:rsid w:val="00663E40"/>
    <w:rsid w:val="00670734"/>
    <w:rsid w:val="00674C42"/>
    <w:rsid w:val="00680F4D"/>
    <w:rsid w:val="00683396"/>
    <w:rsid w:val="00683E7C"/>
    <w:rsid w:val="00696B76"/>
    <w:rsid w:val="006A1428"/>
    <w:rsid w:val="006B1C70"/>
    <w:rsid w:val="006B4465"/>
    <w:rsid w:val="006C01EC"/>
    <w:rsid w:val="006C2786"/>
    <w:rsid w:val="006E0C84"/>
    <w:rsid w:val="006F4DFE"/>
    <w:rsid w:val="00704B23"/>
    <w:rsid w:val="00720551"/>
    <w:rsid w:val="00767E76"/>
    <w:rsid w:val="00771BFE"/>
    <w:rsid w:val="00792925"/>
    <w:rsid w:val="007A2629"/>
    <w:rsid w:val="007C1005"/>
    <w:rsid w:val="007C52FB"/>
    <w:rsid w:val="007C7544"/>
    <w:rsid w:val="007E76D9"/>
    <w:rsid w:val="007E7DE2"/>
    <w:rsid w:val="007F7A18"/>
    <w:rsid w:val="008000E9"/>
    <w:rsid w:val="00802325"/>
    <w:rsid w:val="00806EAF"/>
    <w:rsid w:val="00810314"/>
    <w:rsid w:val="0081778E"/>
    <w:rsid w:val="00820750"/>
    <w:rsid w:val="008272FC"/>
    <w:rsid w:val="00847BE5"/>
    <w:rsid w:val="0085220F"/>
    <w:rsid w:val="00855B29"/>
    <w:rsid w:val="008618DC"/>
    <w:rsid w:val="0086410A"/>
    <w:rsid w:val="008656B0"/>
    <w:rsid w:val="00875AC9"/>
    <w:rsid w:val="008765C3"/>
    <w:rsid w:val="0088066B"/>
    <w:rsid w:val="008807ED"/>
    <w:rsid w:val="0088496C"/>
    <w:rsid w:val="00891BA9"/>
    <w:rsid w:val="008C55AE"/>
    <w:rsid w:val="008D349F"/>
    <w:rsid w:val="008E422D"/>
    <w:rsid w:val="008F5018"/>
    <w:rsid w:val="00912983"/>
    <w:rsid w:val="009149C1"/>
    <w:rsid w:val="0092485D"/>
    <w:rsid w:val="009501D3"/>
    <w:rsid w:val="00964258"/>
    <w:rsid w:val="0098003D"/>
    <w:rsid w:val="009B3E22"/>
    <w:rsid w:val="009D0731"/>
    <w:rsid w:val="009D576B"/>
    <w:rsid w:val="009D7DF0"/>
    <w:rsid w:val="009E3D2C"/>
    <w:rsid w:val="009F0D00"/>
    <w:rsid w:val="009F3459"/>
    <w:rsid w:val="00A0183F"/>
    <w:rsid w:val="00A14C19"/>
    <w:rsid w:val="00A24CB5"/>
    <w:rsid w:val="00A30B75"/>
    <w:rsid w:val="00A51DC9"/>
    <w:rsid w:val="00A561B9"/>
    <w:rsid w:val="00A730CA"/>
    <w:rsid w:val="00A9111E"/>
    <w:rsid w:val="00A96C38"/>
    <w:rsid w:val="00AA1D6F"/>
    <w:rsid w:val="00AC45B4"/>
    <w:rsid w:val="00AD682D"/>
    <w:rsid w:val="00B01964"/>
    <w:rsid w:val="00B10D42"/>
    <w:rsid w:val="00B12F04"/>
    <w:rsid w:val="00B15DDF"/>
    <w:rsid w:val="00B31BFD"/>
    <w:rsid w:val="00B3382E"/>
    <w:rsid w:val="00B5399A"/>
    <w:rsid w:val="00B72B07"/>
    <w:rsid w:val="00B85EAB"/>
    <w:rsid w:val="00BB3F4B"/>
    <w:rsid w:val="00BC7C1E"/>
    <w:rsid w:val="00BD161F"/>
    <w:rsid w:val="00BE0DD6"/>
    <w:rsid w:val="00BE222A"/>
    <w:rsid w:val="00BE3743"/>
    <w:rsid w:val="00BE4F0E"/>
    <w:rsid w:val="00C00ACE"/>
    <w:rsid w:val="00C068E1"/>
    <w:rsid w:val="00C31D3D"/>
    <w:rsid w:val="00C34A14"/>
    <w:rsid w:val="00C45068"/>
    <w:rsid w:val="00C52E14"/>
    <w:rsid w:val="00C610B0"/>
    <w:rsid w:val="00C65624"/>
    <w:rsid w:val="00C716C9"/>
    <w:rsid w:val="00C71C50"/>
    <w:rsid w:val="00C767D4"/>
    <w:rsid w:val="00C76F3B"/>
    <w:rsid w:val="00CB4902"/>
    <w:rsid w:val="00CB6273"/>
    <w:rsid w:val="00CC232E"/>
    <w:rsid w:val="00CC3DE2"/>
    <w:rsid w:val="00CD1804"/>
    <w:rsid w:val="00CE4D1B"/>
    <w:rsid w:val="00CF7AF2"/>
    <w:rsid w:val="00D117BA"/>
    <w:rsid w:val="00D13ADB"/>
    <w:rsid w:val="00D220E4"/>
    <w:rsid w:val="00D603C1"/>
    <w:rsid w:val="00D731C1"/>
    <w:rsid w:val="00D869EF"/>
    <w:rsid w:val="00D974D8"/>
    <w:rsid w:val="00DA3EDF"/>
    <w:rsid w:val="00DA5164"/>
    <w:rsid w:val="00DC4B61"/>
    <w:rsid w:val="00DD188E"/>
    <w:rsid w:val="00DD1EFC"/>
    <w:rsid w:val="00DD32AE"/>
    <w:rsid w:val="00DF1EBB"/>
    <w:rsid w:val="00DF7DAB"/>
    <w:rsid w:val="00E03442"/>
    <w:rsid w:val="00E253CA"/>
    <w:rsid w:val="00E319E7"/>
    <w:rsid w:val="00E452AE"/>
    <w:rsid w:val="00E45F1A"/>
    <w:rsid w:val="00E5764B"/>
    <w:rsid w:val="00E663E4"/>
    <w:rsid w:val="00E67C65"/>
    <w:rsid w:val="00E7788A"/>
    <w:rsid w:val="00E936B3"/>
    <w:rsid w:val="00EC18E9"/>
    <w:rsid w:val="00EC7A17"/>
    <w:rsid w:val="00ED5039"/>
    <w:rsid w:val="00EF2797"/>
    <w:rsid w:val="00F10AC9"/>
    <w:rsid w:val="00F127FF"/>
    <w:rsid w:val="00F21B06"/>
    <w:rsid w:val="00F41457"/>
    <w:rsid w:val="00F4402B"/>
    <w:rsid w:val="00F4419E"/>
    <w:rsid w:val="00F72C48"/>
    <w:rsid w:val="00F7484A"/>
    <w:rsid w:val="00F96DCE"/>
    <w:rsid w:val="00FB6666"/>
    <w:rsid w:val="00FC1944"/>
    <w:rsid w:val="00FD4075"/>
    <w:rsid w:val="00FD457D"/>
    <w:rsid w:val="00FD6DA1"/>
    <w:rsid w:val="00FE4FF9"/>
    <w:rsid w:val="00FF1405"/>
    <w:rsid w:val="010A3996"/>
    <w:rsid w:val="01935887"/>
    <w:rsid w:val="019F6A66"/>
    <w:rsid w:val="01B320DF"/>
    <w:rsid w:val="02710D5A"/>
    <w:rsid w:val="02727799"/>
    <w:rsid w:val="02BF06E2"/>
    <w:rsid w:val="02F32350"/>
    <w:rsid w:val="03472280"/>
    <w:rsid w:val="04CC341D"/>
    <w:rsid w:val="05137CD7"/>
    <w:rsid w:val="056005E7"/>
    <w:rsid w:val="05C376DA"/>
    <w:rsid w:val="060B26E0"/>
    <w:rsid w:val="0677789B"/>
    <w:rsid w:val="06F72998"/>
    <w:rsid w:val="07252202"/>
    <w:rsid w:val="074A7DFB"/>
    <w:rsid w:val="07D5456E"/>
    <w:rsid w:val="0927061E"/>
    <w:rsid w:val="0979543D"/>
    <w:rsid w:val="09AF7109"/>
    <w:rsid w:val="09BD30E6"/>
    <w:rsid w:val="09BE0C91"/>
    <w:rsid w:val="0A1C6A46"/>
    <w:rsid w:val="0AB24B2F"/>
    <w:rsid w:val="0AC4738A"/>
    <w:rsid w:val="0BCB5C91"/>
    <w:rsid w:val="0C1E2BA0"/>
    <w:rsid w:val="0C765CB2"/>
    <w:rsid w:val="0C852972"/>
    <w:rsid w:val="0DDE53D1"/>
    <w:rsid w:val="0DFD33A3"/>
    <w:rsid w:val="0E2444CA"/>
    <w:rsid w:val="0E6C6E7C"/>
    <w:rsid w:val="0E953208"/>
    <w:rsid w:val="0E970358"/>
    <w:rsid w:val="0E9F1AC1"/>
    <w:rsid w:val="0ECF3CE7"/>
    <w:rsid w:val="10392EAE"/>
    <w:rsid w:val="10706EC2"/>
    <w:rsid w:val="112C736C"/>
    <w:rsid w:val="120A13A3"/>
    <w:rsid w:val="12211341"/>
    <w:rsid w:val="12807280"/>
    <w:rsid w:val="12815949"/>
    <w:rsid w:val="13230255"/>
    <w:rsid w:val="13242A0C"/>
    <w:rsid w:val="13763F7F"/>
    <w:rsid w:val="13C074E3"/>
    <w:rsid w:val="148463E6"/>
    <w:rsid w:val="14D20D9B"/>
    <w:rsid w:val="15A72BED"/>
    <w:rsid w:val="1621170E"/>
    <w:rsid w:val="16402CAE"/>
    <w:rsid w:val="16C8140E"/>
    <w:rsid w:val="16D12AFF"/>
    <w:rsid w:val="17A228C6"/>
    <w:rsid w:val="17D760A5"/>
    <w:rsid w:val="18423F57"/>
    <w:rsid w:val="18B91D2B"/>
    <w:rsid w:val="18C40414"/>
    <w:rsid w:val="18C94A73"/>
    <w:rsid w:val="194D203A"/>
    <w:rsid w:val="19D05660"/>
    <w:rsid w:val="1A38436D"/>
    <w:rsid w:val="1A6A6D44"/>
    <w:rsid w:val="1A817123"/>
    <w:rsid w:val="1AA961F1"/>
    <w:rsid w:val="1AD750F9"/>
    <w:rsid w:val="1C093ECB"/>
    <w:rsid w:val="1C867392"/>
    <w:rsid w:val="1CE4433A"/>
    <w:rsid w:val="1D4402E6"/>
    <w:rsid w:val="1DAE442A"/>
    <w:rsid w:val="1E4B7DC8"/>
    <w:rsid w:val="1EE84AA8"/>
    <w:rsid w:val="1F0129AF"/>
    <w:rsid w:val="1FB11A74"/>
    <w:rsid w:val="1FD12F61"/>
    <w:rsid w:val="21870045"/>
    <w:rsid w:val="21D97FE2"/>
    <w:rsid w:val="22825CA9"/>
    <w:rsid w:val="228447E5"/>
    <w:rsid w:val="22C26EC7"/>
    <w:rsid w:val="23424F53"/>
    <w:rsid w:val="234D6CA7"/>
    <w:rsid w:val="236E14E2"/>
    <w:rsid w:val="23D15AAC"/>
    <w:rsid w:val="23EE3E1E"/>
    <w:rsid w:val="242B717E"/>
    <w:rsid w:val="2576737F"/>
    <w:rsid w:val="25A95538"/>
    <w:rsid w:val="25EC09D3"/>
    <w:rsid w:val="25FC2868"/>
    <w:rsid w:val="265E218A"/>
    <w:rsid w:val="270F260A"/>
    <w:rsid w:val="276B0933"/>
    <w:rsid w:val="27833C1F"/>
    <w:rsid w:val="279A2B80"/>
    <w:rsid w:val="27A57AF1"/>
    <w:rsid w:val="27FD6D34"/>
    <w:rsid w:val="27FE3D0F"/>
    <w:rsid w:val="28D9453A"/>
    <w:rsid w:val="28DD2258"/>
    <w:rsid w:val="28EB083D"/>
    <w:rsid w:val="291F0838"/>
    <w:rsid w:val="29D148D0"/>
    <w:rsid w:val="29FA0B2A"/>
    <w:rsid w:val="2A8C3220"/>
    <w:rsid w:val="2AC803DC"/>
    <w:rsid w:val="2AE36155"/>
    <w:rsid w:val="2B0207B0"/>
    <w:rsid w:val="2B3857D9"/>
    <w:rsid w:val="2B716543"/>
    <w:rsid w:val="2C022208"/>
    <w:rsid w:val="2C1F37E1"/>
    <w:rsid w:val="2C1F77F8"/>
    <w:rsid w:val="2CC85D82"/>
    <w:rsid w:val="2D2A0E61"/>
    <w:rsid w:val="2D5033D9"/>
    <w:rsid w:val="2E900620"/>
    <w:rsid w:val="2F835C3F"/>
    <w:rsid w:val="2FAF01D9"/>
    <w:rsid w:val="30143D85"/>
    <w:rsid w:val="303672AF"/>
    <w:rsid w:val="304E4746"/>
    <w:rsid w:val="310131BB"/>
    <w:rsid w:val="312E7FEB"/>
    <w:rsid w:val="31752B09"/>
    <w:rsid w:val="317A49FD"/>
    <w:rsid w:val="3188760C"/>
    <w:rsid w:val="31B66B76"/>
    <w:rsid w:val="31CA40AB"/>
    <w:rsid w:val="33B01461"/>
    <w:rsid w:val="341548E3"/>
    <w:rsid w:val="35885F15"/>
    <w:rsid w:val="35E245C9"/>
    <w:rsid w:val="36316D28"/>
    <w:rsid w:val="36C43F50"/>
    <w:rsid w:val="37712A39"/>
    <w:rsid w:val="38B6335D"/>
    <w:rsid w:val="38E6391E"/>
    <w:rsid w:val="39342439"/>
    <w:rsid w:val="393B323A"/>
    <w:rsid w:val="3A1C72B7"/>
    <w:rsid w:val="3AB45DB4"/>
    <w:rsid w:val="3AE50133"/>
    <w:rsid w:val="3B3453EC"/>
    <w:rsid w:val="3B345EA5"/>
    <w:rsid w:val="3C37763B"/>
    <w:rsid w:val="3CC6623C"/>
    <w:rsid w:val="3D2E07DF"/>
    <w:rsid w:val="3D3832E4"/>
    <w:rsid w:val="3DB531EC"/>
    <w:rsid w:val="3EA66F49"/>
    <w:rsid w:val="3F306704"/>
    <w:rsid w:val="3F987107"/>
    <w:rsid w:val="40326585"/>
    <w:rsid w:val="40A74C14"/>
    <w:rsid w:val="40ED3FCE"/>
    <w:rsid w:val="41883B56"/>
    <w:rsid w:val="41FD10A6"/>
    <w:rsid w:val="42F81D9C"/>
    <w:rsid w:val="43036342"/>
    <w:rsid w:val="431D7CCF"/>
    <w:rsid w:val="4352557C"/>
    <w:rsid w:val="437651F2"/>
    <w:rsid w:val="44530ABF"/>
    <w:rsid w:val="446A4B30"/>
    <w:rsid w:val="448D46E0"/>
    <w:rsid w:val="44F62B4E"/>
    <w:rsid w:val="4563730C"/>
    <w:rsid w:val="467A7E85"/>
    <w:rsid w:val="46D805D2"/>
    <w:rsid w:val="47746915"/>
    <w:rsid w:val="484641CE"/>
    <w:rsid w:val="48694FA0"/>
    <w:rsid w:val="488E768B"/>
    <w:rsid w:val="49A56E92"/>
    <w:rsid w:val="49EC4917"/>
    <w:rsid w:val="49F41D5E"/>
    <w:rsid w:val="4A0E782A"/>
    <w:rsid w:val="4AE94CC1"/>
    <w:rsid w:val="4B1E31F7"/>
    <w:rsid w:val="4B5303A5"/>
    <w:rsid w:val="4BC33BC8"/>
    <w:rsid w:val="4BCB3573"/>
    <w:rsid w:val="4BD20226"/>
    <w:rsid w:val="4C551448"/>
    <w:rsid w:val="4CB97FE2"/>
    <w:rsid w:val="4CE75373"/>
    <w:rsid w:val="4D106856"/>
    <w:rsid w:val="4D5276BA"/>
    <w:rsid w:val="4D62276C"/>
    <w:rsid w:val="4E734EC0"/>
    <w:rsid w:val="4EC14884"/>
    <w:rsid w:val="4F317B60"/>
    <w:rsid w:val="4FE75E9C"/>
    <w:rsid w:val="50B40B1A"/>
    <w:rsid w:val="50F91B15"/>
    <w:rsid w:val="522F1048"/>
    <w:rsid w:val="538349F2"/>
    <w:rsid w:val="538B53D9"/>
    <w:rsid w:val="55F214F1"/>
    <w:rsid w:val="566D4B95"/>
    <w:rsid w:val="56735779"/>
    <w:rsid w:val="56B82987"/>
    <w:rsid w:val="56E60976"/>
    <w:rsid w:val="572656D4"/>
    <w:rsid w:val="577262FC"/>
    <w:rsid w:val="58173D39"/>
    <w:rsid w:val="58880F34"/>
    <w:rsid w:val="59364EC4"/>
    <w:rsid w:val="59AD06A4"/>
    <w:rsid w:val="59AD449B"/>
    <w:rsid w:val="59D246C7"/>
    <w:rsid w:val="59F16A8D"/>
    <w:rsid w:val="5A4D586D"/>
    <w:rsid w:val="5A6249B0"/>
    <w:rsid w:val="5BEC54CB"/>
    <w:rsid w:val="5C067760"/>
    <w:rsid w:val="5C210D03"/>
    <w:rsid w:val="5C36583D"/>
    <w:rsid w:val="5D426EB1"/>
    <w:rsid w:val="5E786E84"/>
    <w:rsid w:val="5EAC6DDE"/>
    <w:rsid w:val="5EE84C68"/>
    <w:rsid w:val="5F0D5669"/>
    <w:rsid w:val="5F206102"/>
    <w:rsid w:val="5FBE1447"/>
    <w:rsid w:val="601B1531"/>
    <w:rsid w:val="61600A74"/>
    <w:rsid w:val="616B2128"/>
    <w:rsid w:val="617756FB"/>
    <w:rsid w:val="618004EC"/>
    <w:rsid w:val="618556C6"/>
    <w:rsid w:val="621D5BA4"/>
    <w:rsid w:val="62305F82"/>
    <w:rsid w:val="627E5098"/>
    <w:rsid w:val="62A20DB0"/>
    <w:rsid w:val="62AB0C78"/>
    <w:rsid w:val="634559C4"/>
    <w:rsid w:val="635B6748"/>
    <w:rsid w:val="63947A95"/>
    <w:rsid w:val="649C2CE5"/>
    <w:rsid w:val="64C13327"/>
    <w:rsid w:val="64D478EB"/>
    <w:rsid w:val="65263EC4"/>
    <w:rsid w:val="65975254"/>
    <w:rsid w:val="65F106A7"/>
    <w:rsid w:val="67372C0B"/>
    <w:rsid w:val="674D020A"/>
    <w:rsid w:val="67623332"/>
    <w:rsid w:val="67A07A0C"/>
    <w:rsid w:val="67B167D1"/>
    <w:rsid w:val="67B174A4"/>
    <w:rsid w:val="685F1C50"/>
    <w:rsid w:val="69450DD0"/>
    <w:rsid w:val="69450E60"/>
    <w:rsid w:val="699022E9"/>
    <w:rsid w:val="6A3E12D8"/>
    <w:rsid w:val="6A714498"/>
    <w:rsid w:val="6A981B84"/>
    <w:rsid w:val="6B135539"/>
    <w:rsid w:val="6B362113"/>
    <w:rsid w:val="6B666BDC"/>
    <w:rsid w:val="6C4E1915"/>
    <w:rsid w:val="6D212AC9"/>
    <w:rsid w:val="6D340EB8"/>
    <w:rsid w:val="6E1514AB"/>
    <w:rsid w:val="6E864272"/>
    <w:rsid w:val="6EF46240"/>
    <w:rsid w:val="6FCF4469"/>
    <w:rsid w:val="70FB3F01"/>
    <w:rsid w:val="710F7BE1"/>
    <w:rsid w:val="7167618F"/>
    <w:rsid w:val="719E18AC"/>
    <w:rsid w:val="71C918AC"/>
    <w:rsid w:val="72085FB6"/>
    <w:rsid w:val="724200B4"/>
    <w:rsid w:val="7244049D"/>
    <w:rsid w:val="724A48E1"/>
    <w:rsid w:val="727E5123"/>
    <w:rsid w:val="730E29BA"/>
    <w:rsid w:val="733554C1"/>
    <w:rsid w:val="733E07A1"/>
    <w:rsid w:val="736245DA"/>
    <w:rsid w:val="73747FB2"/>
    <w:rsid w:val="74491E81"/>
    <w:rsid w:val="745919C6"/>
    <w:rsid w:val="74702A9A"/>
    <w:rsid w:val="748F5E2A"/>
    <w:rsid w:val="74AA50FB"/>
    <w:rsid w:val="752846C5"/>
    <w:rsid w:val="754D285E"/>
    <w:rsid w:val="75743375"/>
    <w:rsid w:val="75D86065"/>
    <w:rsid w:val="761C2BBB"/>
    <w:rsid w:val="76733561"/>
    <w:rsid w:val="768A1320"/>
    <w:rsid w:val="77017466"/>
    <w:rsid w:val="770F40E7"/>
    <w:rsid w:val="776A1DE8"/>
    <w:rsid w:val="785D00CA"/>
    <w:rsid w:val="789C11A2"/>
    <w:rsid w:val="78BC4175"/>
    <w:rsid w:val="79BB7A15"/>
    <w:rsid w:val="7B1833D4"/>
    <w:rsid w:val="7B7F2AA7"/>
    <w:rsid w:val="7B8E050C"/>
    <w:rsid w:val="7BAF7E70"/>
    <w:rsid w:val="7C1C7854"/>
    <w:rsid w:val="7C516455"/>
    <w:rsid w:val="7CF50987"/>
    <w:rsid w:val="7D0A09DE"/>
    <w:rsid w:val="7D390621"/>
    <w:rsid w:val="7D401E17"/>
    <w:rsid w:val="7D5D3BC3"/>
    <w:rsid w:val="7DDD6CEA"/>
    <w:rsid w:val="7E373298"/>
    <w:rsid w:val="7E55571B"/>
    <w:rsid w:val="7E636E14"/>
    <w:rsid w:val="7EAE2287"/>
    <w:rsid w:val="7F0B3B32"/>
    <w:rsid w:val="7FFC72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0"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hint="eastAsia" w:ascii="宋体" w:hAnsi="宋体"/>
      <w:b/>
      <w:color w:val="000000"/>
      <w:kern w:val="0"/>
      <w:sz w:val="36"/>
      <w:szCs w:val="20"/>
      <w14:shadow w14:blurRad="50800" w14:dist="38100" w14:dir="2700000" w14:sx="100000" w14:sy="100000" w14:kx="0" w14:ky="0" w14:algn="tl">
        <w14:srgbClr w14:val="000000">
          <w14:alpha w14:val="60000"/>
        </w14:srgbClr>
      </w14:shadow>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link w:val="32"/>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7" w:lineRule="auto"/>
      <w:outlineLvl w:val="3"/>
    </w:pPr>
    <w:rPr>
      <w:rFonts w:ascii="Times" w:hAnsi="Times" w:eastAsia="微软雅黑" w:cs="Times New Roman"/>
      <w:b/>
      <w:bCs/>
      <w:kern w:val="2"/>
      <w:sz w:val="24"/>
      <w:szCs w:val="28"/>
      <w:lang w:val="en-US" w:eastAsia="zh-CN" w:bidi="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99"/>
    <w:pPr>
      <w:numPr>
        <w:ilvl w:val="0"/>
        <w:numId w:val="1"/>
      </w:numPr>
    </w:pPr>
  </w:style>
  <w:style w:type="paragraph" w:styleId="7">
    <w:name w:val="Normal Indent"/>
    <w:basedOn w:val="1"/>
    <w:next w:val="8"/>
    <w:qFormat/>
    <w:uiPriority w:val="99"/>
    <w:pPr>
      <w:ind w:firstLine="420"/>
    </w:pPr>
  </w:style>
  <w:style w:type="paragraph" w:styleId="8">
    <w:name w:val="toc 2"/>
    <w:basedOn w:val="1"/>
    <w:next w:val="1"/>
    <w:qFormat/>
    <w:uiPriority w:val="0"/>
    <w:pPr>
      <w:spacing w:line="480" w:lineRule="auto"/>
      <w:ind w:left="200" w:leftChars="200"/>
    </w:pPr>
  </w:style>
  <w:style w:type="paragraph" w:styleId="9">
    <w:name w:val="annotation text"/>
    <w:basedOn w:val="1"/>
    <w:link w:val="33"/>
    <w:semiHidden/>
    <w:qFormat/>
    <w:uiPriority w:val="99"/>
    <w:pPr>
      <w:jc w:val="left"/>
    </w:pPr>
  </w:style>
  <w:style w:type="paragraph" w:styleId="10">
    <w:name w:val="Body Text"/>
    <w:basedOn w:val="1"/>
    <w:next w:val="1"/>
    <w:link w:val="35"/>
    <w:qFormat/>
    <w:uiPriority w:val="99"/>
    <w:pPr>
      <w:spacing w:line="360" w:lineRule="exact"/>
    </w:pPr>
    <w:rPr>
      <w:sz w:val="24"/>
      <w:szCs w:val="24"/>
    </w:rPr>
  </w:style>
  <w:style w:type="paragraph" w:styleId="11">
    <w:name w:val="Body Text Indent"/>
    <w:basedOn w:val="1"/>
    <w:link w:val="36"/>
    <w:qFormat/>
    <w:uiPriority w:val="99"/>
    <w:pPr>
      <w:spacing w:after="120"/>
      <w:ind w:left="420" w:leftChars="200"/>
    </w:pPr>
  </w:style>
  <w:style w:type="paragraph" w:styleId="12">
    <w:name w:val="Plain Text"/>
    <w:basedOn w:val="1"/>
    <w:next w:val="13"/>
    <w:link w:val="37"/>
    <w:qFormat/>
    <w:uiPriority w:val="99"/>
    <w:rPr>
      <w:rFonts w:ascii="宋体" w:hAnsi="Courier New" w:cs="宋体"/>
    </w:rPr>
  </w:style>
  <w:style w:type="paragraph" w:customStyle="1" w:styleId="13">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14">
    <w:name w:val="Date"/>
    <w:basedOn w:val="1"/>
    <w:next w:val="1"/>
    <w:link w:val="38"/>
    <w:qFormat/>
    <w:uiPriority w:val="99"/>
    <w:pPr>
      <w:ind w:left="2500" w:leftChars="2500"/>
    </w:pPr>
    <w:rPr>
      <w:rFonts w:ascii="Calibri" w:hAnsi="Calibri" w:eastAsia="楷体_GB2312" w:cs="Calibri"/>
      <w:sz w:val="32"/>
      <w:szCs w:val="32"/>
    </w:rPr>
  </w:style>
  <w:style w:type="paragraph" w:styleId="15">
    <w:name w:val="Balloon Text"/>
    <w:basedOn w:val="1"/>
    <w:link w:val="39"/>
    <w:semiHidden/>
    <w:qFormat/>
    <w:uiPriority w:val="99"/>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8">
    <w:name w:val="toc 6"/>
    <w:basedOn w:val="1"/>
    <w:next w:val="1"/>
    <w:qFormat/>
    <w:uiPriority w:val="0"/>
    <w:pPr>
      <w:autoSpaceDE w:val="0"/>
      <w:autoSpaceDN w:val="0"/>
      <w:adjustRightInd w:val="0"/>
      <w:ind w:left="2100" w:leftChars="1000"/>
      <w:jc w:val="left"/>
    </w:pPr>
    <w:rPr>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21">
    <w:name w:val="annotation subject"/>
    <w:basedOn w:val="9"/>
    <w:next w:val="9"/>
    <w:link w:val="34"/>
    <w:semiHidden/>
    <w:qFormat/>
    <w:uiPriority w:val="99"/>
    <w:rPr>
      <w:b/>
      <w:bCs/>
    </w:rPr>
  </w:style>
  <w:style w:type="paragraph" w:styleId="22">
    <w:name w:val="Body Text First Indent"/>
    <w:basedOn w:val="10"/>
    <w:next w:val="1"/>
    <w:qFormat/>
    <w:locked/>
    <w:uiPriority w:val="99"/>
    <w:pPr>
      <w:autoSpaceDE/>
      <w:autoSpaceDN/>
      <w:adjustRightInd/>
      <w:ind w:firstLine="420"/>
      <w:jc w:val="both"/>
    </w:pPr>
    <w:rPr>
      <w:rFonts w:ascii="Times New Roman"/>
      <w:kern w:val="2"/>
      <w:sz w:val="21"/>
      <w:szCs w:val="24"/>
    </w:rPr>
  </w:style>
  <w:style w:type="table" w:styleId="24">
    <w:name w:val="Table Grid"/>
    <w:basedOn w:val="2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locked/>
    <w:uiPriority w:val="0"/>
  </w:style>
  <w:style w:type="character" w:styleId="27">
    <w:name w:val="Hyperlink"/>
    <w:basedOn w:val="25"/>
    <w:unhideWhenUsed/>
    <w:qFormat/>
    <w:locked/>
    <w:uiPriority w:val="0"/>
    <w:rPr>
      <w:color w:val="0000FF" w:themeColor="hyperlink"/>
      <w:u w:val="single"/>
      <w14:textFill>
        <w14:solidFill>
          <w14:schemeClr w14:val="hlink"/>
        </w14:solidFill>
      </w14:textFill>
    </w:rPr>
  </w:style>
  <w:style w:type="character" w:styleId="28">
    <w:name w:val="annotation reference"/>
    <w:basedOn w:val="25"/>
    <w:semiHidden/>
    <w:qFormat/>
    <w:uiPriority w:val="99"/>
    <w:rPr>
      <w:rFonts w:cs="Times New Roman"/>
      <w:sz w:val="21"/>
      <w:szCs w:val="21"/>
    </w:rPr>
  </w:style>
  <w:style w:type="paragraph" w:customStyle="1" w:styleId="29">
    <w:name w:val="章正文"/>
    <w:basedOn w:val="1"/>
    <w:qFormat/>
    <w:uiPriority w:val="99"/>
    <w:pPr>
      <w:spacing w:beforeLines="50" w:after="120" w:line="300" w:lineRule="auto"/>
      <w:ind w:firstLine="480"/>
    </w:pPr>
    <w:rPr>
      <w:rFonts w:ascii="Helvetica" w:hAnsi="Helvetica"/>
      <w:kern w:val="0"/>
      <w:sz w:val="24"/>
    </w:rPr>
  </w:style>
  <w:style w:type="paragraph" w:customStyle="1" w:styleId="30">
    <w:name w:val="表格文字"/>
    <w:basedOn w:val="1"/>
    <w:next w:val="10"/>
    <w:qFormat/>
    <w:uiPriority w:val="0"/>
    <w:pPr>
      <w:jc w:val="left"/>
    </w:pPr>
    <w:rPr>
      <w:kern w:val="21"/>
      <w:szCs w:val="21"/>
    </w:rPr>
  </w:style>
  <w:style w:type="paragraph" w:customStyle="1" w:styleId="31">
    <w:name w:val="Heading1"/>
    <w:basedOn w:val="1"/>
    <w:next w:val="1"/>
    <w:qFormat/>
    <w:uiPriority w:val="0"/>
    <w:pPr>
      <w:keepNext/>
      <w:keepLines/>
      <w:spacing w:before="340" w:after="330" w:line="576" w:lineRule="auto"/>
      <w:jc w:val="both"/>
      <w:textAlignment w:val="baseline"/>
    </w:pPr>
    <w:rPr>
      <w:rFonts w:ascii="宋体" w:hAnsi="宋体"/>
      <w:b/>
      <w:color w:val="000000"/>
      <w:kern w:val="0"/>
      <w:sz w:val="36"/>
      <w:szCs w:val="20"/>
      <w:lang w:val="en-US" w:eastAsia="zh-CN" w:bidi="ar-SA"/>
      <w14:shadow w14:blurRad="50800" w14:dist="38100" w14:dir="2700000" w14:sx="100000" w14:sy="100000" w14:kx="0" w14:ky="0" w14:algn="tl">
        <w14:srgbClr w14:val="000000">
          <w14:alpha w14:val="60000"/>
        </w14:srgbClr>
      </w14:shadow>
    </w:rPr>
  </w:style>
  <w:style w:type="character" w:customStyle="1" w:styleId="32">
    <w:name w:val="标题 3 Char"/>
    <w:basedOn w:val="25"/>
    <w:link w:val="4"/>
    <w:semiHidden/>
    <w:qFormat/>
    <w:locked/>
    <w:uiPriority w:val="99"/>
    <w:rPr>
      <w:rFonts w:cs="Times New Roman"/>
      <w:b/>
      <w:bCs/>
      <w:sz w:val="32"/>
      <w:szCs w:val="32"/>
    </w:rPr>
  </w:style>
  <w:style w:type="character" w:customStyle="1" w:styleId="33">
    <w:name w:val="批注文字 Char"/>
    <w:basedOn w:val="25"/>
    <w:link w:val="9"/>
    <w:qFormat/>
    <w:locked/>
    <w:uiPriority w:val="99"/>
    <w:rPr>
      <w:rFonts w:ascii="Times New Roman" w:hAnsi="Times New Roman" w:eastAsia="宋体" w:cs="Times New Roman"/>
      <w:kern w:val="2"/>
      <w:sz w:val="24"/>
      <w:szCs w:val="24"/>
    </w:rPr>
  </w:style>
  <w:style w:type="character" w:customStyle="1" w:styleId="34">
    <w:name w:val="批注主题 Char"/>
    <w:basedOn w:val="33"/>
    <w:link w:val="21"/>
    <w:qFormat/>
    <w:locked/>
    <w:uiPriority w:val="99"/>
    <w:rPr>
      <w:b/>
      <w:bCs/>
    </w:rPr>
  </w:style>
  <w:style w:type="character" w:customStyle="1" w:styleId="35">
    <w:name w:val="正文文本 Char"/>
    <w:basedOn w:val="25"/>
    <w:link w:val="10"/>
    <w:semiHidden/>
    <w:qFormat/>
    <w:locked/>
    <w:uiPriority w:val="99"/>
    <w:rPr>
      <w:rFonts w:cs="Times New Roman"/>
      <w:sz w:val="21"/>
      <w:szCs w:val="21"/>
    </w:rPr>
  </w:style>
  <w:style w:type="character" w:customStyle="1" w:styleId="36">
    <w:name w:val="正文文本缩进 Char"/>
    <w:basedOn w:val="25"/>
    <w:link w:val="11"/>
    <w:qFormat/>
    <w:locked/>
    <w:uiPriority w:val="99"/>
    <w:rPr>
      <w:rFonts w:cs="Times New Roman"/>
      <w:kern w:val="2"/>
      <w:sz w:val="24"/>
      <w:szCs w:val="24"/>
    </w:rPr>
  </w:style>
  <w:style w:type="character" w:customStyle="1" w:styleId="37">
    <w:name w:val="纯文本 Char"/>
    <w:basedOn w:val="25"/>
    <w:link w:val="12"/>
    <w:semiHidden/>
    <w:qFormat/>
    <w:locked/>
    <w:uiPriority w:val="99"/>
    <w:rPr>
      <w:rFonts w:ascii="宋体" w:hAnsi="Courier New" w:cs="Courier New"/>
      <w:sz w:val="21"/>
      <w:szCs w:val="21"/>
    </w:rPr>
  </w:style>
  <w:style w:type="character" w:customStyle="1" w:styleId="38">
    <w:name w:val="日期 Char"/>
    <w:basedOn w:val="25"/>
    <w:link w:val="14"/>
    <w:semiHidden/>
    <w:qFormat/>
    <w:locked/>
    <w:uiPriority w:val="99"/>
    <w:rPr>
      <w:rFonts w:cs="Times New Roman"/>
      <w:sz w:val="21"/>
      <w:szCs w:val="21"/>
    </w:rPr>
  </w:style>
  <w:style w:type="character" w:customStyle="1" w:styleId="39">
    <w:name w:val="批注框文本 Char"/>
    <w:basedOn w:val="25"/>
    <w:link w:val="15"/>
    <w:qFormat/>
    <w:locked/>
    <w:uiPriority w:val="99"/>
    <w:rPr>
      <w:rFonts w:ascii="Times New Roman" w:hAnsi="Times New Roman" w:eastAsia="宋体" w:cs="Times New Roman"/>
      <w:kern w:val="2"/>
      <w:sz w:val="18"/>
      <w:szCs w:val="18"/>
    </w:rPr>
  </w:style>
  <w:style w:type="character" w:customStyle="1" w:styleId="40">
    <w:name w:val="页脚 Char"/>
    <w:basedOn w:val="25"/>
    <w:link w:val="16"/>
    <w:semiHidden/>
    <w:qFormat/>
    <w:locked/>
    <w:uiPriority w:val="99"/>
    <w:rPr>
      <w:rFonts w:cs="Times New Roman"/>
      <w:sz w:val="18"/>
      <w:szCs w:val="18"/>
    </w:rPr>
  </w:style>
  <w:style w:type="character" w:customStyle="1" w:styleId="41">
    <w:name w:val="页眉 Char"/>
    <w:basedOn w:val="25"/>
    <w:link w:val="17"/>
    <w:semiHidden/>
    <w:qFormat/>
    <w:locked/>
    <w:uiPriority w:val="99"/>
    <w:rPr>
      <w:rFonts w:cs="Times New Roman"/>
      <w:sz w:val="18"/>
      <w:szCs w:val="18"/>
    </w:rPr>
  </w:style>
  <w:style w:type="paragraph" w:customStyle="1" w:styleId="42">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43">
    <w:name w:val="List Paragraph"/>
    <w:basedOn w:val="1"/>
    <w:qFormat/>
    <w:uiPriority w:val="99"/>
    <w:pPr>
      <w:ind w:firstLine="420" w:firstLineChars="200"/>
    </w:pPr>
    <w:rPr>
      <w:rFonts w:ascii="Calibri" w:hAnsi="Calibri" w:cs="Calibri"/>
    </w:rPr>
  </w:style>
  <w:style w:type="paragraph" w:customStyle="1" w:styleId="44">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45">
    <w:name w:val="列出段落1"/>
    <w:basedOn w:val="1"/>
    <w:qFormat/>
    <w:uiPriority w:val="99"/>
    <w:pPr>
      <w:ind w:firstLine="420" w:firstLineChars="200"/>
    </w:pPr>
    <w:rPr>
      <w:rFonts w:ascii="Calibri" w:hAnsi="Calibri" w:cs="Calibri"/>
      <w:kern w:val="0"/>
    </w:rPr>
  </w:style>
  <w:style w:type="paragraph" w:customStyle="1" w:styleId="46">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47">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8">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正文_14"/>
    <w:qFormat/>
    <w:uiPriority w:val="99"/>
    <w:rPr>
      <w:rFonts w:ascii="Times New Roman" w:hAnsi="Times New Roman" w:eastAsia="宋体" w:cs="Times New Roman"/>
      <w:sz w:val="21"/>
      <w:szCs w:val="21"/>
      <w:lang w:val="en-US" w:eastAsia="zh-CN" w:bidi="ar-SA"/>
    </w:rPr>
  </w:style>
  <w:style w:type="paragraph" w:customStyle="1" w:styleId="50">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1">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纯文本_3"/>
    <w:basedOn w:val="52"/>
    <w:qFormat/>
    <w:uiPriority w:val="99"/>
    <w:pPr>
      <w:widowControl/>
      <w:jc w:val="left"/>
    </w:pPr>
    <w:rPr>
      <w:rFonts w:ascii="宋体" w:hAnsi="Courier New" w:cs="宋体"/>
    </w:rPr>
  </w:style>
  <w:style w:type="paragraph" w:customStyle="1" w:styleId="54">
    <w:name w:val="纯文本_0_1"/>
    <w:basedOn w:val="1"/>
    <w:qFormat/>
    <w:uiPriority w:val="99"/>
    <w:pPr>
      <w:widowControl/>
      <w:jc w:val="left"/>
    </w:pPr>
    <w:rPr>
      <w:rFonts w:ascii="宋体" w:hAnsi="Courier New" w:cs="宋体"/>
    </w:rPr>
  </w:style>
  <w:style w:type="paragraph" w:customStyle="1" w:styleId="55">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59">
    <w:name w:val="Plain Text"/>
    <w:basedOn w:val="60"/>
    <w:qFormat/>
    <w:uiPriority w:val="0"/>
    <w:pPr>
      <w:widowControl/>
      <w:jc w:val="left"/>
    </w:pPr>
    <w:rPr>
      <w:rFonts w:hint="eastAsia" w:ascii="宋体" w:hAnsi="Courier New"/>
    </w:rPr>
  </w:style>
  <w:style w:type="paragraph" w:customStyle="1" w:styleId="6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1">
    <w:name w:val="hea"/>
    <w:basedOn w:val="1"/>
    <w:next w:val="1"/>
    <w:qFormat/>
    <w:uiPriority w:val="0"/>
    <w:pPr>
      <w:keepNext/>
      <w:keepLines/>
      <w:widowControl w:val="0"/>
      <w:numPr>
        <w:ilvl w:val="0"/>
        <w:numId w:val="2"/>
      </w:numPr>
      <w:suppressLineNumbers w:val="0"/>
      <w:spacing w:before="340" w:beforeAutospacing="0" w:after="330" w:afterAutospacing="0" w:line="576" w:lineRule="auto"/>
      <w:ind w:left="432" w:right="0" w:hanging="432"/>
      <w:jc w:val="both"/>
      <w:outlineLvl w:val="0"/>
    </w:pPr>
    <w:rPr>
      <w:rFonts w:hint="eastAsia" w:ascii="宋体" w:hAnsi="Times New Roman" w:eastAsia="宋体" w:cs="Times New Roman"/>
      <w:b/>
      <w:kern w:val="44"/>
      <w:sz w:val="44"/>
      <w:szCs w:val="44"/>
      <w:lang w:val="en-US" w:eastAsia="zh-CN" w:bidi="ar"/>
    </w:rPr>
  </w:style>
  <w:style w:type="character" w:customStyle="1" w:styleId="62">
    <w:name w:val="NormalCharacter"/>
    <w:link w:val="63"/>
    <w:qFormat/>
    <w:uiPriority w:val="0"/>
    <w:rPr>
      <w:rFonts w:ascii="黑体" w:eastAsia="黑体"/>
      <w:kern w:val="0"/>
      <w:sz w:val="24"/>
      <w:szCs w:val="20"/>
      <w:lang w:val="en-US" w:eastAsia="zh-CN" w:bidi="ar-SA"/>
    </w:rPr>
  </w:style>
  <w:style w:type="paragraph" w:customStyle="1" w:styleId="63">
    <w:name w:val="UserStyle_23"/>
    <w:basedOn w:val="1"/>
    <w:link w:val="62"/>
    <w:qFormat/>
    <w:uiPriority w:val="0"/>
    <w:pPr>
      <w:jc w:val="both"/>
      <w:textAlignment w:val="baseline"/>
    </w:pPr>
    <w:rPr>
      <w:rFonts w:ascii="黑体" w:eastAsia="黑体"/>
      <w:kern w:val="0"/>
      <w:sz w:val="24"/>
      <w:szCs w:val="20"/>
      <w:lang w:val="en-US" w:eastAsia="zh-CN" w:bidi="ar-SA"/>
    </w:rPr>
  </w:style>
  <w:style w:type="paragraph" w:customStyle="1" w:styleId="64">
    <w:name w:val="BodyText"/>
    <w:basedOn w:val="1"/>
    <w:next w:val="65"/>
    <w:qFormat/>
    <w:uiPriority w:val="0"/>
    <w:pPr>
      <w:spacing w:line="360" w:lineRule="exact"/>
      <w:jc w:val="both"/>
      <w:textAlignment w:val="baseline"/>
    </w:pPr>
    <w:rPr>
      <w:kern w:val="2"/>
      <w:sz w:val="24"/>
      <w:szCs w:val="24"/>
      <w:lang w:val="en-US" w:eastAsia="zh-CN" w:bidi="ar-SA"/>
    </w:rPr>
  </w:style>
  <w:style w:type="paragraph" w:customStyle="1" w:styleId="65">
    <w:name w:val="BodyText1I"/>
    <w:basedOn w:val="64"/>
    <w:next w:val="1"/>
    <w:qFormat/>
    <w:locked/>
    <w:uiPriority w:val="0"/>
    <w:pPr>
      <w:autoSpaceDE/>
      <w:autoSpaceDN/>
      <w:spacing w:line="360" w:lineRule="exact"/>
      <w:ind w:firstLine="420"/>
      <w:jc w:val="both"/>
      <w:textAlignment w:val="baseline"/>
    </w:pPr>
    <w:rPr>
      <w:rFonts w:ascii="Times New Roman"/>
      <w:kern w:val="2"/>
      <w:sz w:val="21"/>
      <w:szCs w:val="24"/>
      <w:lang w:val="en-US" w:eastAsia="zh-CN" w:bidi="ar-SA"/>
    </w:rPr>
  </w:style>
  <w:style w:type="paragraph" w:customStyle="1" w:styleId="66">
    <w:name w:val="179"/>
    <w:basedOn w:val="1"/>
    <w:qFormat/>
    <w:uiPriority w:val="0"/>
    <w:pPr>
      <w:ind w:firstLine="420" w:firstLineChars="200"/>
      <w:jc w:val="both"/>
      <w:textAlignment w:val="baseline"/>
    </w:pPr>
    <w:rPr>
      <w:rFonts w:ascii="Calibri" w:hAnsi="Calibri"/>
      <w:kern w:val="2"/>
      <w:sz w:val="21"/>
      <w:szCs w:val="21"/>
      <w:lang w:val="en-US" w:eastAsia="zh-CN" w:bidi="ar-SA"/>
    </w:rPr>
  </w:style>
  <w:style w:type="paragraph" w:customStyle="1" w:styleId="67">
    <w:name w:val="UserStyle_38"/>
    <w:basedOn w:val="68"/>
    <w:qFormat/>
    <w:uiPriority w:val="0"/>
    <w:pPr>
      <w:widowControl/>
      <w:jc w:val="left"/>
      <w:textAlignment w:val="baseline"/>
    </w:pPr>
    <w:rPr>
      <w:rFonts w:ascii="宋体" w:hAnsi="Courier New"/>
      <w:kern w:val="2"/>
      <w:sz w:val="21"/>
      <w:lang w:val="en-US" w:eastAsia="zh-CN" w:bidi="ar-SA"/>
    </w:rPr>
  </w:style>
  <w:style w:type="paragraph" w:customStyle="1" w:styleId="68">
    <w:name w:val="UserStyle_32"/>
    <w:qFormat/>
    <w:uiPriority w:val="0"/>
    <w:pPr>
      <w:jc w:val="both"/>
      <w:textAlignment w:val="baseline"/>
    </w:pPr>
    <w:rPr>
      <w:rFonts w:ascii="Calibri" w:hAnsi="Calibri" w:eastAsia="宋体" w:cstheme="minorBidi"/>
      <w:kern w:val="2"/>
      <w:sz w:val="21"/>
      <w:lang w:val="en-US" w:eastAsia="zh-CN" w:bidi="ar-SA"/>
    </w:rPr>
  </w:style>
  <w:style w:type="paragraph" w:customStyle="1" w:styleId="69">
    <w:name w:val="Normal Indent1"/>
    <w:basedOn w:val="1"/>
    <w:qFormat/>
    <w:uiPriority w:val="0"/>
    <w:pPr>
      <w:ind w:firstLine="420" w:firstLineChars="200"/>
    </w:pPr>
  </w:style>
  <w:style w:type="paragraph" w:customStyle="1" w:styleId="70">
    <w:name w:val="Table Paragraph"/>
    <w:basedOn w:val="1"/>
    <w:qFormat/>
    <w:uiPriority w:val="1"/>
    <w:rPr>
      <w:rFonts w:ascii="微软雅黑" w:hAnsi="微软雅黑" w:eastAsia="微软雅黑" w:cs="微软雅黑"/>
      <w:lang w:val="zh-CN" w:eastAsia="zh-CN" w:bidi="zh-CN"/>
    </w:rPr>
  </w:style>
  <w:style w:type="paragraph" w:customStyle="1" w:styleId="71">
    <w:name w:val="报告正文"/>
    <w:basedOn w:val="1"/>
    <w:qFormat/>
    <w:uiPriority w:val="0"/>
    <w:pPr>
      <w:spacing w:line="480" w:lineRule="exact"/>
      <w:ind w:firstLine="560" w:firstLineChars="200"/>
    </w:pPr>
    <w:rPr>
      <w:rFonts w:ascii="Courier New" w:hAnsi="Courier New"/>
      <w:sz w:val="28"/>
      <w:szCs w:val="28"/>
    </w:rPr>
  </w:style>
  <w:style w:type="paragraph" w:customStyle="1" w:styleId="72">
    <w:name w:val="插图图标"/>
    <w:basedOn w:val="1"/>
    <w:qFormat/>
    <w:uiPriority w:val="0"/>
    <w:pPr>
      <w:spacing w:line="360" w:lineRule="auto"/>
      <w:jc w:val="center"/>
    </w:pPr>
    <w:rPr>
      <w:rFonts w:ascii="Times New Roman" w:hAnsi="Times New Roman" w:cs="宋体"/>
      <w:b/>
      <w:sz w:val="24"/>
      <w:szCs w:val="20"/>
    </w:rPr>
  </w:style>
  <w:style w:type="paragraph" w:customStyle="1" w:styleId="73">
    <w:name w:val="正文段"/>
    <w:basedOn w:val="1"/>
    <w:qFormat/>
    <w:uiPriority w:val="0"/>
    <w:pPr>
      <w:widowControl/>
      <w:snapToGrid w:val="0"/>
      <w:spacing w:afterLines="50"/>
      <w:ind w:firstLine="200" w:firstLineChars="200"/>
    </w:pPr>
    <w:rPr>
      <w:kern w:val="0"/>
      <w:sz w:val="24"/>
    </w:rPr>
  </w:style>
  <w:style w:type="character" w:customStyle="1" w:styleId="74">
    <w:name w:val="font31"/>
    <w:basedOn w:val="25"/>
    <w:qFormat/>
    <w:uiPriority w:val="0"/>
    <w:rPr>
      <w:rFonts w:hint="eastAsia" w:ascii="宋体" w:hAnsi="宋体" w:eastAsia="宋体" w:cs="宋体"/>
      <w:color w:val="000000"/>
      <w:sz w:val="20"/>
      <w:szCs w:val="20"/>
      <w:u w:val="none"/>
    </w:rPr>
  </w:style>
  <w:style w:type="character" w:customStyle="1" w:styleId="75">
    <w:name w:val="font01"/>
    <w:basedOn w:val="25"/>
    <w:qFormat/>
    <w:uiPriority w:val="0"/>
    <w:rPr>
      <w:rFonts w:hint="default" w:ascii="Times New Roman" w:hAnsi="Times New Roman" w:cs="Times New Roman"/>
      <w:color w:val="000000"/>
      <w:sz w:val="20"/>
      <w:szCs w:val="20"/>
      <w:u w:val="none"/>
    </w:rPr>
  </w:style>
  <w:style w:type="paragraph" w:customStyle="1" w:styleId="76">
    <w:name w:val="reader-word-layer reader-word-s1-12"/>
    <w:basedOn w:val="1"/>
    <w:qFormat/>
    <w:uiPriority w:val="0"/>
    <w:pPr>
      <w:spacing w:before="100" w:beforeAutospacing="1" w:after="100" w:afterAutospacing="1"/>
      <w:jc w:val="left"/>
    </w:pPr>
    <w:rPr>
      <w:rFonts w:ascii="宋体" w:hAnsi="宋体" w:cs="宋体"/>
      <w:kern w:val="0"/>
      <w:sz w:val="24"/>
      <w:szCs w:val="24"/>
    </w:rPr>
  </w:style>
  <w:style w:type="character" w:customStyle="1" w:styleId="77">
    <w:name w:val="font21"/>
    <w:basedOn w:val="25"/>
    <w:qFormat/>
    <w:uiPriority w:val="0"/>
    <w:rPr>
      <w:rFonts w:hint="eastAsia" w:ascii="宋体" w:hAnsi="宋体" w:eastAsia="宋体" w:cs="宋体"/>
      <w:color w:val="000000"/>
      <w:sz w:val="20"/>
      <w:szCs w:val="20"/>
      <w:u w:val="none"/>
    </w:rPr>
  </w:style>
  <w:style w:type="character" w:customStyle="1" w:styleId="78">
    <w:name w:val="font81"/>
    <w:basedOn w:val="25"/>
    <w:qFormat/>
    <w:uiPriority w:val="0"/>
    <w:rPr>
      <w:rFonts w:hint="default" w:ascii="Times New Roman" w:hAnsi="Times New Roman" w:cs="Times New Roman"/>
      <w:color w:val="000000"/>
      <w:sz w:val="20"/>
      <w:szCs w:val="20"/>
      <w:u w:val="none"/>
    </w:rPr>
  </w:style>
  <w:style w:type="character" w:customStyle="1" w:styleId="79">
    <w:name w:val="font11"/>
    <w:basedOn w:val="25"/>
    <w:qFormat/>
    <w:uiPriority w:val="0"/>
    <w:rPr>
      <w:rFonts w:hint="eastAsia" w:ascii="宋体" w:hAnsi="宋体" w:eastAsia="宋体" w:cs="宋体"/>
      <w:color w:val="000000"/>
      <w:sz w:val="20"/>
      <w:szCs w:val="20"/>
      <w:u w:val="none"/>
    </w:rPr>
  </w:style>
  <w:style w:type="character" w:customStyle="1" w:styleId="80">
    <w:name w:val="font71"/>
    <w:basedOn w:val="25"/>
    <w:qFormat/>
    <w:uiPriority w:val="0"/>
    <w:rPr>
      <w:rFonts w:hint="eastAsia" w:ascii="宋体" w:hAnsi="宋体" w:eastAsia="宋体" w:cs="宋体"/>
      <w:color w:val="000000"/>
      <w:sz w:val="20"/>
      <w:szCs w:val="20"/>
      <w:u w:val="none"/>
    </w:rPr>
  </w:style>
  <w:style w:type="character" w:customStyle="1" w:styleId="81">
    <w:name w:val="font41"/>
    <w:basedOn w:val="2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26920</Words>
  <Characters>27671</Characters>
  <Lines>185</Lines>
  <Paragraphs>52</Paragraphs>
  <TotalTime>0</TotalTime>
  <ScaleCrop>false</ScaleCrop>
  <LinksUpToDate>false</LinksUpToDate>
  <CharactersWithSpaces>29359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潜伏</cp:lastModifiedBy>
  <cp:lastPrinted>2021-07-16T05:46:00Z</cp:lastPrinted>
  <dcterms:modified xsi:type="dcterms:W3CDTF">2021-07-16T06:51:32Z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7E6E93E3B59E478296268A6BEABC1A67</vt:lpwstr>
  </property>
</Properties>
</file>