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212DF">
      <w:pPr>
        <w:tabs>
          <w:tab w:val="left" w:pos="1276"/>
        </w:tabs>
        <w:jc w:val="center"/>
        <w:rPr>
          <w:rFonts w:ascii="宋体"/>
          <w:b/>
          <w:color w:val="auto"/>
          <w:sz w:val="44"/>
          <w:szCs w:val="44"/>
          <w:highlight w:val="none"/>
        </w:rPr>
      </w:pPr>
    </w:p>
    <w:p w14:paraId="10D5FA38">
      <w:pPr>
        <w:pStyle w:val="9"/>
        <w:rPr>
          <w:color w:val="auto"/>
          <w:highlight w:val="none"/>
        </w:rPr>
      </w:pPr>
    </w:p>
    <w:p w14:paraId="32A9B869">
      <w:pPr>
        <w:keepNext w:val="0"/>
        <w:keepLines w:val="0"/>
        <w:pageBreakBefore w:val="0"/>
        <w:widowControl w:val="0"/>
        <w:tabs>
          <w:tab w:val="left" w:pos="1276"/>
        </w:tabs>
        <w:kinsoku/>
        <w:wordWrap/>
        <w:overflowPunct/>
        <w:topLinePunct w:val="0"/>
        <w:autoSpaceDE/>
        <w:autoSpaceDN/>
        <w:bidi w:val="0"/>
        <w:adjustRightInd/>
        <w:snapToGrid/>
        <w:spacing w:line="360" w:lineRule="auto"/>
        <w:jc w:val="center"/>
        <w:textAlignment w:val="auto"/>
        <w:rPr>
          <w:rFonts w:ascii="宋体" w:cs="宋体"/>
          <w:b/>
          <w:color w:val="auto"/>
          <w:sz w:val="40"/>
          <w:szCs w:val="40"/>
          <w:highlight w:val="none"/>
        </w:rPr>
      </w:pPr>
      <w:r>
        <w:rPr>
          <w:rFonts w:hint="eastAsia" w:ascii="宋体" w:hAnsi="宋体"/>
          <w:b/>
          <w:color w:val="auto"/>
          <w:sz w:val="44"/>
          <w:szCs w:val="44"/>
          <w:highlight w:val="none"/>
          <w:lang w:eastAsia="zh-CN"/>
        </w:rPr>
        <w:t>神仙居5A景区镇基础设施提升项目-游客集散中心（景区集散点）项目（重新招标）</w:t>
      </w:r>
    </w:p>
    <w:p w14:paraId="584C06DD">
      <w:pPr>
        <w:tabs>
          <w:tab w:val="left" w:pos="1276"/>
        </w:tabs>
        <w:rPr>
          <w:rFonts w:ascii="宋体" w:cs="宋体"/>
          <w:b/>
          <w:color w:val="auto"/>
          <w:szCs w:val="21"/>
          <w:highlight w:val="none"/>
        </w:rPr>
      </w:pPr>
    </w:p>
    <w:p w14:paraId="7D2BE220">
      <w:pPr>
        <w:tabs>
          <w:tab w:val="left" w:pos="1276"/>
        </w:tabs>
        <w:rPr>
          <w:rFonts w:ascii="宋体" w:cs="宋体"/>
          <w:b/>
          <w:color w:val="auto"/>
          <w:szCs w:val="21"/>
          <w:highlight w:val="none"/>
        </w:rPr>
      </w:pPr>
    </w:p>
    <w:p w14:paraId="60B860F2">
      <w:pPr>
        <w:tabs>
          <w:tab w:val="left" w:pos="1276"/>
        </w:tabs>
        <w:rPr>
          <w:rFonts w:ascii="宋体" w:cs="宋体"/>
          <w:b/>
          <w:color w:val="auto"/>
          <w:szCs w:val="21"/>
          <w:highlight w:val="none"/>
        </w:rPr>
      </w:pPr>
    </w:p>
    <w:p w14:paraId="4DBDB18A">
      <w:pPr>
        <w:pStyle w:val="56"/>
        <w:tabs>
          <w:tab w:val="left" w:pos="822"/>
          <w:tab w:val="left" w:pos="3120"/>
        </w:tabs>
        <w:rPr>
          <w:color w:val="auto"/>
          <w:highlight w:val="none"/>
        </w:rPr>
      </w:pPr>
    </w:p>
    <w:p w14:paraId="6BD53620">
      <w:pPr>
        <w:tabs>
          <w:tab w:val="left" w:pos="1276"/>
        </w:tabs>
        <w:rPr>
          <w:rFonts w:ascii="宋体" w:cs="宋体"/>
          <w:b/>
          <w:color w:val="auto"/>
          <w:szCs w:val="21"/>
          <w:highlight w:val="none"/>
        </w:rPr>
      </w:pPr>
    </w:p>
    <w:p w14:paraId="6EDD51CB">
      <w:pPr>
        <w:tabs>
          <w:tab w:val="left" w:pos="1276"/>
        </w:tabs>
        <w:rPr>
          <w:rFonts w:ascii="宋体" w:cs="宋体"/>
          <w:b/>
          <w:color w:val="auto"/>
          <w:szCs w:val="21"/>
          <w:highlight w:val="none"/>
        </w:rPr>
      </w:pPr>
    </w:p>
    <w:p w14:paraId="7FFACBA5">
      <w:pPr>
        <w:tabs>
          <w:tab w:val="left" w:pos="1276"/>
        </w:tabs>
        <w:rPr>
          <w:rFonts w:ascii="宋体" w:cs="宋体"/>
          <w:b/>
          <w:color w:val="auto"/>
          <w:szCs w:val="21"/>
          <w:highlight w:val="none"/>
        </w:rPr>
      </w:pPr>
    </w:p>
    <w:p w14:paraId="51FB3A5B">
      <w:pPr>
        <w:tabs>
          <w:tab w:val="left" w:pos="1276"/>
        </w:tabs>
        <w:rPr>
          <w:rFonts w:ascii="宋体" w:cs="宋体"/>
          <w:b/>
          <w:color w:val="auto"/>
          <w:szCs w:val="21"/>
          <w:highlight w:val="none"/>
        </w:rPr>
      </w:pPr>
    </w:p>
    <w:p w14:paraId="16FDC4DE">
      <w:pPr>
        <w:tabs>
          <w:tab w:val="left" w:pos="1276"/>
        </w:tabs>
        <w:spacing w:line="360" w:lineRule="auto"/>
        <w:jc w:val="center"/>
        <w:rPr>
          <w:rFonts w:hint="eastAsia" w:ascii="仿宋" w:hAnsi="仿宋" w:eastAsia="仿宋"/>
          <w:b/>
          <w:color w:val="auto"/>
          <w:spacing w:val="-20"/>
          <w:sz w:val="84"/>
          <w:szCs w:val="84"/>
          <w:highlight w:val="none"/>
        </w:rPr>
      </w:pPr>
      <w:r>
        <w:rPr>
          <w:rFonts w:hint="eastAsia" w:ascii="仿宋" w:hAnsi="仿宋" w:eastAsia="仿宋"/>
          <w:b/>
          <w:color w:val="auto"/>
          <w:spacing w:val="-28"/>
          <w:sz w:val="84"/>
          <w:szCs w:val="84"/>
          <w:highlight w:val="none"/>
        </w:rPr>
        <w:t>竞争性磋商采购文件</w:t>
      </w:r>
    </w:p>
    <w:p w14:paraId="44179D9B">
      <w:pPr>
        <w:jc w:val="center"/>
        <w:rPr>
          <w:rFonts w:ascii="宋体" w:cs="宋体"/>
          <w:b/>
          <w:color w:val="auto"/>
          <w:szCs w:val="21"/>
          <w:highlight w:val="none"/>
        </w:rPr>
      </w:pPr>
    </w:p>
    <w:p w14:paraId="1EDA40E3">
      <w:pPr>
        <w:jc w:val="center"/>
        <w:rPr>
          <w:rFonts w:ascii="宋体" w:cs="宋体"/>
          <w:b/>
          <w:color w:val="auto"/>
          <w:szCs w:val="21"/>
          <w:highlight w:val="none"/>
        </w:rPr>
      </w:pPr>
    </w:p>
    <w:p w14:paraId="4F9139D1">
      <w:pPr>
        <w:jc w:val="center"/>
        <w:rPr>
          <w:rFonts w:ascii="宋体" w:cs="宋体"/>
          <w:b/>
          <w:color w:val="auto"/>
          <w:szCs w:val="21"/>
          <w:highlight w:val="none"/>
        </w:rPr>
      </w:pPr>
    </w:p>
    <w:p w14:paraId="39606FB6">
      <w:pPr>
        <w:jc w:val="center"/>
        <w:rPr>
          <w:rFonts w:ascii="宋体" w:cs="宋体"/>
          <w:b/>
          <w:color w:val="auto"/>
          <w:szCs w:val="21"/>
          <w:highlight w:val="none"/>
        </w:rPr>
      </w:pPr>
    </w:p>
    <w:p w14:paraId="07593BCF">
      <w:pPr>
        <w:jc w:val="center"/>
        <w:rPr>
          <w:rFonts w:ascii="宋体" w:cs="宋体"/>
          <w:b/>
          <w:color w:val="auto"/>
          <w:szCs w:val="21"/>
          <w:highlight w:val="none"/>
        </w:rPr>
      </w:pPr>
    </w:p>
    <w:p w14:paraId="4ECBB5D7">
      <w:pPr>
        <w:rPr>
          <w:rFonts w:ascii="宋体" w:cs="宋体"/>
          <w:b/>
          <w:color w:val="auto"/>
          <w:szCs w:val="21"/>
          <w:highlight w:val="none"/>
        </w:rPr>
      </w:pPr>
    </w:p>
    <w:p w14:paraId="5FA461C3">
      <w:pPr>
        <w:rPr>
          <w:rFonts w:ascii="宋体" w:cs="宋体"/>
          <w:b/>
          <w:color w:val="auto"/>
          <w:szCs w:val="21"/>
          <w:highlight w:val="none"/>
        </w:rPr>
      </w:pPr>
    </w:p>
    <w:p w14:paraId="1FA96299">
      <w:pPr>
        <w:jc w:val="center"/>
        <w:rPr>
          <w:rFonts w:ascii="宋体" w:cs="宋体"/>
          <w:b/>
          <w:color w:val="auto"/>
          <w:szCs w:val="21"/>
          <w:highlight w:val="none"/>
        </w:rPr>
      </w:pPr>
    </w:p>
    <w:p w14:paraId="7E96B875">
      <w:pPr>
        <w:pStyle w:val="11"/>
        <w:rPr>
          <w:rFonts w:ascii="宋体" w:cs="宋体"/>
          <w:b/>
          <w:color w:val="auto"/>
          <w:szCs w:val="21"/>
          <w:highlight w:val="none"/>
        </w:rPr>
      </w:pPr>
    </w:p>
    <w:p w14:paraId="3A2AE4B6">
      <w:pPr>
        <w:rPr>
          <w:color w:val="auto"/>
          <w:highlight w:val="none"/>
        </w:rPr>
      </w:pPr>
    </w:p>
    <w:p w14:paraId="6EDEE63F">
      <w:pPr>
        <w:jc w:val="center"/>
        <w:rPr>
          <w:rFonts w:ascii="宋体" w:cs="宋体"/>
          <w:b/>
          <w:color w:val="auto"/>
          <w:szCs w:val="21"/>
          <w:highlight w:val="none"/>
        </w:rPr>
      </w:pPr>
    </w:p>
    <w:p w14:paraId="584769A9">
      <w:pPr>
        <w:spacing w:before="153" w:beforeLines="50" w:after="153" w:afterLines="50" w:line="720" w:lineRule="auto"/>
        <w:ind w:firstLine="900" w:firstLineChars="300"/>
        <w:rPr>
          <w:rFonts w:ascii="宋体" w:cs="宋体"/>
          <w:color w:val="auto"/>
          <w:spacing w:val="20"/>
          <w:sz w:val="30"/>
          <w:szCs w:val="30"/>
          <w:highlight w:val="none"/>
        </w:rPr>
      </w:pPr>
      <w:r>
        <w:rPr>
          <w:rFonts w:hint="eastAsia" w:ascii="宋体" w:hAnsi="宋体" w:cs="宋体"/>
          <w:color w:val="auto"/>
          <w:sz w:val="30"/>
          <w:szCs w:val="30"/>
          <w:highlight w:val="none"/>
        </w:rPr>
        <w:t>采购单位：仙居县白塔镇人民政府</w:t>
      </w:r>
      <w:r>
        <w:rPr>
          <w:rFonts w:hint="eastAsia" w:ascii="宋体" w:hAnsi="宋体" w:cs="宋体"/>
          <w:color w:val="auto"/>
          <w:spacing w:val="20"/>
          <w:sz w:val="30"/>
          <w:szCs w:val="30"/>
          <w:highlight w:val="none"/>
        </w:rPr>
        <w:t>（盖章）</w:t>
      </w:r>
    </w:p>
    <w:p w14:paraId="3A9E1A06">
      <w:pPr>
        <w:spacing w:before="153" w:beforeLines="50" w:after="153" w:afterLines="50" w:line="720" w:lineRule="auto"/>
        <w:ind w:firstLine="900" w:firstLineChars="300"/>
        <w:rPr>
          <w:rFonts w:ascii="宋体" w:cs="宋体"/>
          <w:color w:val="auto"/>
          <w:sz w:val="30"/>
          <w:szCs w:val="30"/>
          <w:highlight w:val="none"/>
        </w:rPr>
      </w:pPr>
      <w:r>
        <w:rPr>
          <w:rFonts w:hint="eastAsia" w:ascii="宋体" w:hAnsi="宋体" w:cs="宋体"/>
          <w:color w:val="auto"/>
          <w:sz w:val="30"/>
          <w:szCs w:val="30"/>
          <w:highlight w:val="none"/>
        </w:rPr>
        <w:t>代理机构：浙江聚信工程管理有限公司（盖章）</w:t>
      </w:r>
    </w:p>
    <w:p w14:paraId="635074EA">
      <w:pPr>
        <w:spacing w:before="153" w:beforeLines="50" w:after="153" w:afterLines="50" w:line="720" w:lineRule="auto"/>
        <w:jc w:val="center"/>
        <w:rPr>
          <w:rFonts w:ascii="宋体" w:cs="宋体"/>
          <w:color w:val="auto"/>
          <w:sz w:val="30"/>
          <w:szCs w:val="30"/>
          <w:highlight w:val="none"/>
        </w:rPr>
      </w:pPr>
      <w:r>
        <w:rPr>
          <w:rFonts w:hint="eastAsia" w:ascii="宋体" w:hAnsi="宋体" w:cs="宋体"/>
          <w:color w:val="auto"/>
          <w:sz w:val="30"/>
          <w:szCs w:val="30"/>
          <w:highlight w:val="none"/>
        </w:rPr>
        <w:t>二〇二五年</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月</w:t>
      </w:r>
      <w:r>
        <w:rPr>
          <w:rFonts w:ascii="宋体" w:hAnsi="宋体" w:cs="宋体"/>
          <w:color w:val="auto"/>
          <w:sz w:val="30"/>
          <w:szCs w:val="30"/>
          <w:highlight w:val="none"/>
        </w:rPr>
        <w:t xml:space="preserve"> </w:t>
      </w:r>
    </w:p>
    <w:p w14:paraId="7E81F9DC">
      <w:pPr>
        <w:tabs>
          <w:tab w:val="center" w:pos="4422"/>
          <w:tab w:val="left" w:pos="5310"/>
        </w:tabs>
        <w:spacing w:line="360" w:lineRule="auto"/>
        <w:jc w:val="left"/>
        <w:rPr>
          <w:rFonts w:ascii="宋体" w:cs="宋体"/>
          <w:b/>
          <w:color w:val="auto"/>
          <w:sz w:val="44"/>
          <w:szCs w:val="44"/>
          <w:highlight w:val="none"/>
        </w:rPr>
        <w:sectPr>
          <w:headerReference r:id="rId3" w:type="default"/>
          <w:footerReference r:id="rId5" w:type="default"/>
          <w:headerReference r:id="rId4" w:type="even"/>
          <w:footerReference r:id="rId6" w:type="even"/>
          <w:pgSz w:w="11905" w:h="16838"/>
          <w:pgMar w:top="1361" w:right="1587" w:bottom="1361" w:left="1587" w:header="850" w:footer="811" w:gutter="0"/>
          <w:cols w:space="720" w:num="1"/>
          <w:titlePg/>
          <w:docGrid w:type="lines" w:linePitch="306" w:charSpace="0"/>
        </w:sectPr>
      </w:pPr>
      <w:r>
        <w:rPr>
          <w:rFonts w:ascii="宋体" w:cs="宋体"/>
          <w:b/>
          <w:color w:val="auto"/>
          <w:sz w:val="44"/>
          <w:szCs w:val="44"/>
          <w:highlight w:val="none"/>
        </w:rPr>
        <w:tab/>
      </w:r>
      <w:r>
        <w:rPr>
          <w:rFonts w:ascii="宋体" w:cs="宋体"/>
          <w:b/>
          <w:color w:val="auto"/>
          <w:sz w:val="44"/>
          <w:szCs w:val="44"/>
          <w:highlight w:val="none"/>
        </w:rPr>
        <w:tab/>
      </w:r>
    </w:p>
    <w:p w14:paraId="41036E58">
      <w:pPr>
        <w:spacing w:before="156" w:beforeLines="50" w:after="156" w:afterLines="50" w:line="480" w:lineRule="auto"/>
        <w:jc w:val="center"/>
        <w:rPr>
          <w:rFonts w:ascii="宋体" w:cs="宋体"/>
          <w:b/>
          <w:color w:val="auto"/>
          <w:sz w:val="40"/>
          <w:szCs w:val="40"/>
          <w:highlight w:val="none"/>
        </w:rPr>
      </w:pPr>
      <w:r>
        <w:rPr>
          <w:rFonts w:hint="eastAsia" w:ascii="宋体" w:hAnsi="宋体" w:cs="宋体"/>
          <w:b/>
          <w:color w:val="auto"/>
          <w:sz w:val="40"/>
          <w:szCs w:val="40"/>
          <w:highlight w:val="none"/>
        </w:rPr>
        <w:t>目</w:t>
      </w:r>
      <w:r>
        <w:rPr>
          <w:rFonts w:ascii="宋体" w:hAnsi="宋体" w:cs="宋体"/>
          <w:b/>
          <w:color w:val="auto"/>
          <w:sz w:val="40"/>
          <w:szCs w:val="40"/>
          <w:highlight w:val="none"/>
        </w:rPr>
        <w:t xml:space="preserve">   </w:t>
      </w:r>
      <w:r>
        <w:rPr>
          <w:rFonts w:hint="eastAsia" w:ascii="宋体" w:hAnsi="宋体" w:cs="宋体"/>
          <w:b/>
          <w:color w:val="auto"/>
          <w:sz w:val="40"/>
          <w:szCs w:val="40"/>
          <w:highlight w:val="none"/>
        </w:rPr>
        <w:t>录</w:t>
      </w:r>
    </w:p>
    <w:p w14:paraId="7EC1A70C">
      <w:pPr>
        <w:pStyle w:val="20"/>
        <w:tabs>
          <w:tab w:val="right" w:leader="hyphen" w:pos="8732"/>
          <w:tab w:val="clear" w:pos="8494"/>
        </w:tabs>
        <w:rPr>
          <w:rFonts w:hint="eastAsia"/>
          <w:color w:val="auto"/>
          <w:sz w:val="28"/>
          <w:szCs w:val="22"/>
          <w:highlight w:val="none"/>
        </w:rPr>
      </w:pPr>
      <w:r>
        <w:rPr>
          <w:rFonts w:cs="宋体"/>
          <w:color w:val="auto"/>
          <w:sz w:val="21"/>
          <w:szCs w:val="21"/>
          <w:highlight w:val="none"/>
        </w:rPr>
        <w:fldChar w:fldCharType="begin"/>
      </w:r>
      <w:r>
        <w:rPr>
          <w:rFonts w:cs="宋体"/>
          <w:color w:val="auto"/>
          <w:sz w:val="21"/>
          <w:szCs w:val="21"/>
          <w:highlight w:val="none"/>
        </w:rPr>
        <w:instrText xml:space="preserve"> TOC \o "1-2" \h \z \u </w:instrText>
      </w:r>
      <w:r>
        <w:rPr>
          <w:rFonts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"_Toc28552" </w:instrText>
      </w:r>
      <w:r>
        <w:rPr>
          <w:color w:val="auto"/>
          <w:highlight w:val="none"/>
        </w:rPr>
        <w:fldChar w:fldCharType="separate"/>
      </w:r>
      <w:r>
        <w:rPr>
          <w:rFonts w:hint="eastAsia" w:cs="宋体"/>
          <w:color w:val="auto"/>
          <w:sz w:val="28"/>
          <w:szCs w:val="28"/>
          <w:highlight w:val="none"/>
        </w:rPr>
        <w:t>第一章</w:t>
      </w:r>
      <w:r>
        <w:rPr>
          <w:rFonts w:cs="宋体"/>
          <w:color w:val="auto"/>
          <w:sz w:val="28"/>
          <w:szCs w:val="28"/>
          <w:highlight w:val="none"/>
        </w:rPr>
        <w:t xml:space="preserve"> </w:t>
      </w:r>
      <w:r>
        <w:rPr>
          <w:rFonts w:hint="eastAsia" w:cs="宋体"/>
          <w:color w:val="auto"/>
          <w:sz w:val="28"/>
          <w:szCs w:val="28"/>
          <w:highlight w:val="none"/>
          <w:lang w:val="en-US" w:eastAsia="zh-CN"/>
        </w:rPr>
        <w:t xml:space="preserve"> </w:t>
      </w:r>
      <w:r>
        <w:rPr>
          <w:rFonts w:hint="eastAsia" w:cs="宋体"/>
          <w:color w:val="auto"/>
          <w:sz w:val="28"/>
          <w:szCs w:val="28"/>
          <w:highlight w:val="none"/>
        </w:rPr>
        <w:t>竞争性磋商公告</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_Toc28552 \h </w:instrText>
      </w:r>
      <w:r>
        <w:rPr>
          <w:color w:val="auto"/>
          <w:sz w:val="28"/>
          <w:szCs w:val="22"/>
          <w:highlight w:val="none"/>
        </w:rPr>
        <w:fldChar w:fldCharType="separate"/>
      </w:r>
      <w:r>
        <w:rPr>
          <w:color w:val="auto"/>
          <w:sz w:val="28"/>
          <w:szCs w:val="22"/>
          <w:highlight w:val="none"/>
        </w:rPr>
        <w:t>2</w:t>
      </w:r>
      <w:r>
        <w:rPr>
          <w:color w:val="auto"/>
          <w:sz w:val="28"/>
          <w:szCs w:val="22"/>
          <w:highlight w:val="none"/>
        </w:rPr>
        <w:fldChar w:fldCharType="end"/>
      </w:r>
      <w:r>
        <w:rPr>
          <w:color w:val="auto"/>
          <w:sz w:val="28"/>
          <w:szCs w:val="22"/>
          <w:highlight w:val="none"/>
        </w:rPr>
        <w:fldChar w:fldCharType="end"/>
      </w:r>
    </w:p>
    <w:p w14:paraId="513496E0">
      <w:pPr>
        <w:pStyle w:val="20"/>
        <w:tabs>
          <w:tab w:val="right" w:leader="hyphen" w:pos="8732"/>
          <w:tab w:val="clear" w:pos="8494"/>
        </w:tabs>
        <w:rPr>
          <w:rFonts w:hint="eastAsia"/>
          <w:color w:val="auto"/>
          <w:sz w:val="28"/>
          <w:szCs w:val="22"/>
          <w:highlight w:val="none"/>
        </w:rPr>
      </w:pPr>
      <w:r>
        <w:rPr>
          <w:color w:val="auto"/>
          <w:highlight w:val="none"/>
        </w:rPr>
        <w:fldChar w:fldCharType="begin"/>
      </w:r>
      <w:r>
        <w:rPr>
          <w:color w:val="auto"/>
          <w:highlight w:val="none"/>
        </w:rPr>
        <w:instrText xml:space="preserve"> HYPERLINK \l "_Toc18295" </w:instrText>
      </w:r>
      <w:r>
        <w:rPr>
          <w:color w:val="auto"/>
          <w:highlight w:val="none"/>
        </w:rPr>
        <w:fldChar w:fldCharType="separate"/>
      </w:r>
      <w:r>
        <w:rPr>
          <w:rFonts w:hint="eastAsia" w:cs="宋体"/>
          <w:color w:val="auto"/>
          <w:sz w:val="28"/>
          <w:szCs w:val="28"/>
          <w:highlight w:val="none"/>
        </w:rPr>
        <w:t>第二章</w:t>
      </w:r>
      <w:r>
        <w:rPr>
          <w:rFonts w:cs="宋体"/>
          <w:color w:val="auto"/>
          <w:sz w:val="28"/>
          <w:szCs w:val="28"/>
          <w:highlight w:val="none"/>
        </w:rPr>
        <w:t xml:space="preserve">  </w:t>
      </w:r>
      <w:r>
        <w:rPr>
          <w:rFonts w:hint="eastAsia" w:cs="宋体"/>
          <w:color w:val="auto"/>
          <w:sz w:val="28"/>
          <w:szCs w:val="28"/>
          <w:highlight w:val="none"/>
        </w:rPr>
        <w:t>采购需求</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_Toc18295 \h </w:instrText>
      </w:r>
      <w:r>
        <w:rPr>
          <w:color w:val="auto"/>
          <w:sz w:val="28"/>
          <w:szCs w:val="22"/>
          <w:highlight w:val="none"/>
        </w:rPr>
        <w:fldChar w:fldCharType="separate"/>
      </w:r>
      <w:r>
        <w:rPr>
          <w:color w:val="auto"/>
          <w:sz w:val="28"/>
          <w:szCs w:val="22"/>
          <w:highlight w:val="none"/>
        </w:rPr>
        <w:t>6</w:t>
      </w:r>
      <w:r>
        <w:rPr>
          <w:color w:val="auto"/>
          <w:sz w:val="28"/>
          <w:szCs w:val="22"/>
          <w:highlight w:val="none"/>
        </w:rPr>
        <w:fldChar w:fldCharType="end"/>
      </w:r>
      <w:r>
        <w:rPr>
          <w:color w:val="auto"/>
          <w:sz w:val="28"/>
          <w:szCs w:val="22"/>
          <w:highlight w:val="none"/>
        </w:rPr>
        <w:fldChar w:fldCharType="end"/>
      </w:r>
    </w:p>
    <w:p w14:paraId="18738422">
      <w:pPr>
        <w:pStyle w:val="20"/>
        <w:tabs>
          <w:tab w:val="right" w:leader="hyphen" w:pos="8732"/>
          <w:tab w:val="clear" w:pos="8494"/>
        </w:tabs>
        <w:rPr>
          <w:rFonts w:hint="eastAsia"/>
          <w:color w:val="auto"/>
          <w:sz w:val="28"/>
          <w:szCs w:val="22"/>
          <w:highlight w:val="none"/>
        </w:rPr>
      </w:pPr>
      <w:r>
        <w:rPr>
          <w:color w:val="auto"/>
          <w:highlight w:val="none"/>
        </w:rPr>
        <w:fldChar w:fldCharType="begin"/>
      </w:r>
      <w:r>
        <w:rPr>
          <w:color w:val="auto"/>
          <w:highlight w:val="none"/>
        </w:rPr>
        <w:instrText xml:space="preserve"> HYPERLINK \l "_Toc636" </w:instrText>
      </w:r>
      <w:r>
        <w:rPr>
          <w:color w:val="auto"/>
          <w:highlight w:val="none"/>
        </w:rPr>
        <w:fldChar w:fldCharType="separate"/>
      </w:r>
      <w:r>
        <w:rPr>
          <w:rFonts w:hint="eastAsia" w:cs="宋体"/>
          <w:color w:val="auto"/>
          <w:sz w:val="28"/>
          <w:szCs w:val="28"/>
          <w:highlight w:val="none"/>
        </w:rPr>
        <w:t>第三章</w:t>
      </w:r>
      <w:r>
        <w:rPr>
          <w:rFonts w:cs="宋体"/>
          <w:color w:val="auto"/>
          <w:sz w:val="28"/>
          <w:szCs w:val="28"/>
          <w:highlight w:val="none"/>
        </w:rPr>
        <w:t xml:space="preserve">  </w:t>
      </w:r>
      <w:r>
        <w:rPr>
          <w:rFonts w:hint="eastAsia" w:cs="宋体"/>
          <w:color w:val="auto"/>
          <w:sz w:val="28"/>
          <w:szCs w:val="28"/>
          <w:highlight w:val="none"/>
        </w:rPr>
        <w:t>投标须知</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_Toc636 \h </w:instrText>
      </w:r>
      <w:r>
        <w:rPr>
          <w:color w:val="auto"/>
          <w:sz w:val="28"/>
          <w:szCs w:val="22"/>
          <w:highlight w:val="none"/>
        </w:rPr>
        <w:fldChar w:fldCharType="separate"/>
      </w:r>
      <w:r>
        <w:rPr>
          <w:color w:val="auto"/>
          <w:sz w:val="28"/>
          <w:szCs w:val="22"/>
          <w:highlight w:val="none"/>
        </w:rPr>
        <w:t>6</w:t>
      </w:r>
      <w:r>
        <w:rPr>
          <w:color w:val="auto"/>
          <w:sz w:val="28"/>
          <w:szCs w:val="22"/>
          <w:highlight w:val="none"/>
        </w:rPr>
        <w:fldChar w:fldCharType="end"/>
      </w:r>
      <w:r>
        <w:rPr>
          <w:color w:val="auto"/>
          <w:sz w:val="28"/>
          <w:szCs w:val="22"/>
          <w:highlight w:val="none"/>
        </w:rPr>
        <w:fldChar w:fldCharType="end"/>
      </w:r>
    </w:p>
    <w:p w14:paraId="6342BC9D">
      <w:pPr>
        <w:pStyle w:val="20"/>
        <w:tabs>
          <w:tab w:val="right" w:leader="hyphen" w:pos="8732"/>
          <w:tab w:val="clear" w:pos="8494"/>
        </w:tabs>
        <w:rPr>
          <w:rFonts w:hint="eastAsia"/>
          <w:color w:val="auto"/>
          <w:sz w:val="28"/>
          <w:szCs w:val="22"/>
          <w:highlight w:val="none"/>
        </w:rPr>
      </w:pPr>
      <w:r>
        <w:rPr>
          <w:color w:val="auto"/>
          <w:highlight w:val="none"/>
        </w:rPr>
        <w:fldChar w:fldCharType="begin"/>
      </w:r>
      <w:r>
        <w:rPr>
          <w:color w:val="auto"/>
          <w:highlight w:val="none"/>
        </w:rPr>
        <w:instrText xml:space="preserve"> HYPERLINK \l "_Toc9657" </w:instrText>
      </w:r>
      <w:r>
        <w:rPr>
          <w:color w:val="auto"/>
          <w:highlight w:val="none"/>
        </w:rPr>
        <w:fldChar w:fldCharType="separate"/>
      </w:r>
      <w:r>
        <w:rPr>
          <w:rFonts w:hint="eastAsia" w:cs="宋体"/>
          <w:color w:val="auto"/>
          <w:sz w:val="28"/>
          <w:szCs w:val="28"/>
          <w:highlight w:val="none"/>
        </w:rPr>
        <w:t>第四章</w:t>
      </w:r>
      <w:r>
        <w:rPr>
          <w:rFonts w:cs="宋体"/>
          <w:color w:val="auto"/>
          <w:sz w:val="28"/>
          <w:szCs w:val="28"/>
          <w:highlight w:val="none"/>
        </w:rPr>
        <w:t xml:space="preserve">  </w:t>
      </w:r>
      <w:r>
        <w:rPr>
          <w:rFonts w:hint="eastAsia" w:cs="宋体"/>
          <w:color w:val="auto"/>
          <w:sz w:val="28"/>
          <w:szCs w:val="28"/>
          <w:highlight w:val="none"/>
        </w:rPr>
        <w:t>磋商评审办法</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_Toc9657 \h </w:instrText>
      </w:r>
      <w:r>
        <w:rPr>
          <w:color w:val="auto"/>
          <w:sz w:val="28"/>
          <w:szCs w:val="22"/>
          <w:highlight w:val="none"/>
        </w:rPr>
        <w:fldChar w:fldCharType="separate"/>
      </w:r>
      <w:r>
        <w:rPr>
          <w:color w:val="auto"/>
          <w:sz w:val="28"/>
          <w:szCs w:val="22"/>
          <w:highlight w:val="none"/>
        </w:rPr>
        <w:t>33</w:t>
      </w:r>
      <w:r>
        <w:rPr>
          <w:color w:val="auto"/>
          <w:sz w:val="28"/>
          <w:szCs w:val="22"/>
          <w:highlight w:val="none"/>
        </w:rPr>
        <w:fldChar w:fldCharType="end"/>
      </w:r>
      <w:r>
        <w:rPr>
          <w:color w:val="auto"/>
          <w:sz w:val="28"/>
          <w:szCs w:val="22"/>
          <w:highlight w:val="none"/>
        </w:rPr>
        <w:fldChar w:fldCharType="end"/>
      </w:r>
    </w:p>
    <w:p w14:paraId="26382A13">
      <w:pPr>
        <w:pStyle w:val="20"/>
        <w:tabs>
          <w:tab w:val="right" w:leader="hyphen" w:pos="8732"/>
          <w:tab w:val="clear" w:pos="8494"/>
        </w:tabs>
        <w:rPr>
          <w:rFonts w:hint="eastAsia"/>
          <w:color w:val="auto"/>
          <w:sz w:val="28"/>
          <w:szCs w:val="22"/>
          <w:highlight w:val="none"/>
        </w:rPr>
      </w:pPr>
      <w:r>
        <w:rPr>
          <w:color w:val="auto"/>
          <w:highlight w:val="none"/>
        </w:rPr>
        <w:fldChar w:fldCharType="begin"/>
      </w:r>
      <w:r>
        <w:rPr>
          <w:color w:val="auto"/>
          <w:highlight w:val="none"/>
        </w:rPr>
        <w:instrText xml:space="preserve"> HYPERLINK \l "_Toc9850" </w:instrText>
      </w:r>
      <w:r>
        <w:rPr>
          <w:color w:val="auto"/>
          <w:highlight w:val="none"/>
        </w:rPr>
        <w:fldChar w:fldCharType="separate"/>
      </w:r>
      <w:r>
        <w:rPr>
          <w:rFonts w:hint="eastAsia" w:cs="宋体"/>
          <w:color w:val="auto"/>
          <w:sz w:val="28"/>
          <w:szCs w:val="28"/>
          <w:highlight w:val="none"/>
        </w:rPr>
        <w:t>第五章</w:t>
      </w:r>
      <w:r>
        <w:rPr>
          <w:rFonts w:cs="宋体"/>
          <w:color w:val="auto"/>
          <w:sz w:val="28"/>
          <w:szCs w:val="28"/>
          <w:highlight w:val="none"/>
        </w:rPr>
        <w:t xml:space="preserve">  </w:t>
      </w:r>
      <w:r>
        <w:rPr>
          <w:rFonts w:hint="eastAsia" w:cs="宋体"/>
          <w:color w:val="auto"/>
          <w:sz w:val="28"/>
          <w:szCs w:val="28"/>
          <w:highlight w:val="none"/>
        </w:rPr>
        <w:t>合同条款及格式</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_Toc9850 \h </w:instrText>
      </w:r>
      <w:r>
        <w:rPr>
          <w:color w:val="auto"/>
          <w:sz w:val="28"/>
          <w:szCs w:val="22"/>
          <w:highlight w:val="none"/>
        </w:rPr>
        <w:fldChar w:fldCharType="separate"/>
      </w:r>
      <w:r>
        <w:rPr>
          <w:color w:val="auto"/>
          <w:sz w:val="28"/>
          <w:szCs w:val="22"/>
          <w:highlight w:val="none"/>
        </w:rPr>
        <w:t>- 42 -</w:t>
      </w:r>
      <w:r>
        <w:rPr>
          <w:color w:val="auto"/>
          <w:sz w:val="28"/>
          <w:szCs w:val="22"/>
          <w:highlight w:val="none"/>
        </w:rPr>
        <w:fldChar w:fldCharType="end"/>
      </w:r>
      <w:r>
        <w:rPr>
          <w:color w:val="auto"/>
          <w:sz w:val="28"/>
          <w:szCs w:val="22"/>
          <w:highlight w:val="none"/>
        </w:rPr>
        <w:fldChar w:fldCharType="end"/>
      </w:r>
    </w:p>
    <w:p w14:paraId="0A9171B7">
      <w:pPr>
        <w:pStyle w:val="20"/>
        <w:tabs>
          <w:tab w:val="right" w:leader="hyphen" w:pos="8732"/>
          <w:tab w:val="clear" w:pos="8494"/>
        </w:tabs>
        <w:rPr>
          <w:rFonts w:hint="eastAsia"/>
          <w:color w:val="auto"/>
          <w:sz w:val="28"/>
          <w:szCs w:val="22"/>
          <w:highlight w:val="none"/>
        </w:rPr>
      </w:pPr>
      <w:r>
        <w:rPr>
          <w:color w:val="auto"/>
          <w:highlight w:val="none"/>
        </w:rPr>
        <w:fldChar w:fldCharType="begin"/>
      </w:r>
      <w:r>
        <w:rPr>
          <w:color w:val="auto"/>
          <w:highlight w:val="none"/>
        </w:rPr>
        <w:instrText xml:space="preserve"> HYPERLINK \l "_Toc9902" </w:instrText>
      </w:r>
      <w:r>
        <w:rPr>
          <w:color w:val="auto"/>
          <w:highlight w:val="none"/>
        </w:rPr>
        <w:fldChar w:fldCharType="separate"/>
      </w:r>
      <w:r>
        <w:rPr>
          <w:rFonts w:hint="eastAsia" w:cs="宋体"/>
          <w:color w:val="auto"/>
          <w:sz w:val="28"/>
          <w:szCs w:val="28"/>
          <w:highlight w:val="none"/>
        </w:rPr>
        <w:t>第六章　响应文件格式</w:t>
      </w:r>
      <w:r>
        <w:rPr>
          <w:color w:val="auto"/>
          <w:sz w:val="28"/>
          <w:szCs w:val="22"/>
          <w:highlight w:val="none"/>
        </w:rPr>
        <w:tab/>
      </w:r>
      <w:r>
        <w:rPr>
          <w:color w:val="auto"/>
          <w:sz w:val="28"/>
          <w:szCs w:val="22"/>
          <w:highlight w:val="none"/>
        </w:rPr>
        <w:fldChar w:fldCharType="begin"/>
      </w:r>
      <w:r>
        <w:rPr>
          <w:color w:val="auto"/>
          <w:sz w:val="28"/>
          <w:szCs w:val="22"/>
          <w:highlight w:val="none"/>
        </w:rPr>
        <w:instrText xml:space="preserve"> PAGEREF _Toc9902 \h </w:instrText>
      </w:r>
      <w:r>
        <w:rPr>
          <w:color w:val="auto"/>
          <w:sz w:val="28"/>
          <w:szCs w:val="22"/>
          <w:highlight w:val="none"/>
        </w:rPr>
        <w:fldChar w:fldCharType="separate"/>
      </w:r>
      <w:r>
        <w:rPr>
          <w:color w:val="auto"/>
          <w:sz w:val="28"/>
          <w:szCs w:val="22"/>
          <w:highlight w:val="none"/>
        </w:rPr>
        <w:t>42</w:t>
      </w:r>
      <w:r>
        <w:rPr>
          <w:color w:val="auto"/>
          <w:sz w:val="28"/>
          <w:szCs w:val="22"/>
          <w:highlight w:val="none"/>
        </w:rPr>
        <w:fldChar w:fldCharType="end"/>
      </w:r>
      <w:r>
        <w:rPr>
          <w:color w:val="auto"/>
          <w:sz w:val="28"/>
          <w:szCs w:val="22"/>
          <w:highlight w:val="none"/>
        </w:rPr>
        <w:fldChar w:fldCharType="end"/>
      </w:r>
    </w:p>
    <w:p w14:paraId="7417F3D3">
      <w:pPr>
        <w:pStyle w:val="20"/>
        <w:tabs>
          <w:tab w:val="right" w:leader="hyphen" w:pos="8732"/>
          <w:tab w:val="clear" w:pos="8494"/>
        </w:tabs>
        <w:rPr>
          <w:rFonts w:hint="eastAsia"/>
          <w:color w:val="auto"/>
          <w:highlight w:val="none"/>
        </w:rPr>
      </w:pPr>
    </w:p>
    <w:p w14:paraId="62AA4D56">
      <w:pPr>
        <w:pStyle w:val="3"/>
        <w:spacing w:before="0" w:after="0" w:line="360" w:lineRule="auto"/>
        <w:jc w:val="center"/>
        <w:rPr>
          <w:rFonts w:ascii="宋体" w:cs="宋体"/>
          <w:color w:val="auto"/>
          <w:szCs w:val="21"/>
          <w:highlight w:val="none"/>
        </w:rPr>
      </w:pPr>
      <w:r>
        <w:rPr>
          <w:rFonts w:cs="宋体"/>
          <w:color w:val="auto"/>
          <w:sz w:val="21"/>
          <w:szCs w:val="21"/>
          <w:highlight w:val="none"/>
        </w:rPr>
        <w:fldChar w:fldCharType="end"/>
      </w:r>
    </w:p>
    <w:p w14:paraId="02AFF459">
      <w:pPr>
        <w:pStyle w:val="3"/>
        <w:spacing w:before="0" w:after="0" w:line="360" w:lineRule="auto"/>
        <w:jc w:val="center"/>
        <w:rPr>
          <w:rFonts w:ascii="宋体" w:cs="宋体"/>
          <w:color w:val="auto"/>
          <w:szCs w:val="21"/>
          <w:highlight w:val="none"/>
        </w:rPr>
      </w:pPr>
    </w:p>
    <w:p w14:paraId="5C284261">
      <w:pPr>
        <w:pStyle w:val="3"/>
        <w:spacing w:before="0" w:after="0" w:line="360" w:lineRule="auto"/>
        <w:jc w:val="center"/>
        <w:rPr>
          <w:rFonts w:ascii="宋体" w:cs="宋体"/>
          <w:color w:val="auto"/>
          <w:szCs w:val="21"/>
          <w:highlight w:val="none"/>
        </w:rPr>
      </w:pPr>
    </w:p>
    <w:p w14:paraId="6182C863">
      <w:pPr>
        <w:pStyle w:val="3"/>
        <w:spacing w:before="0" w:after="0" w:line="360" w:lineRule="auto"/>
        <w:jc w:val="center"/>
        <w:rPr>
          <w:rFonts w:ascii="宋体" w:cs="宋体"/>
          <w:color w:val="auto"/>
          <w:szCs w:val="21"/>
          <w:highlight w:val="none"/>
        </w:rPr>
      </w:pPr>
    </w:p>
    <w:p w14:paraId="48D70A93">
      <w:pPr>
        <w:pStyle w:val="3"/>
        <w:spacing w:before="0" w:after="0" w:line="360" w:lineRule="auto"/>
        <w:jc w:val="center"/>
        <w:rPr>
          <w:rFonts w:ascii="宋体" w:cs="宋体"/>
          <w:color w:val="auto"/>
          <w:szCs w:val="21"/>
          <w:highlight w:val="none"/>
        </w:rPr>
      </w:pPr>
    </w:p>
    <w:p w14:paraId="49AB0270">
      <w:pPr>
        <w:pStyle w:val="3"/>
        <w:spacing w:before="0" w:after="0" w:line="360" w:lineRule="auto"/>
        <w:jc w:val="center"/>
        <w:rPr>
          <w:rFonts w:ascii="宋体" w:cs="宋体"/>
          <w:color w:val="auto"/>
          <w:szCs w:val="21"/>
          <w:highlight w:val="none"/>
        </w:rPr>
      </w:pPr>
    </w:p>
    <w:p w14:paraId="329AA6FF">
      <w:pPr>
        <w:pStyle w:val="3"/>
        <w:spacing w:before="0" w:after="0" w:line="360" w:lineRule="auto"/>
        <w:jc w:val="center"/>
        <w:rPr>
          <w:rFonts w:ascii="宋体" w:cs="宋体"/>
          <w:color w:val="auto"/>
          <w:szCs w:val="21"/>
          <w:highlight w:val="none"/>
        </w:rPr>
      </w:pPr>
    </w:p>
    <w:p w14:paraId="6C862E16">
      <w:pPr>
        <w:pStyle w:val="3"/>
        <w:spacing w:before="0" w:after="0" w:line="360" w:lineRule="auto"/>
        <w:jc w:val="center"/>
        <w:rPr>
          <w:rFonts w:ascii="宋体" w:cs="宋体"/>
          <w:color w:val="auto"/>
          <w:szCs w:val="21"/>
          <w:highlight w:val="none"/>
        </w:rPr>
      </w:pPr>
    </w:p>
    <w:p w14:paraId="2655997F">
      <w:pPr>
        <w:pStyle w:val="3"/>
        <w:spacing w:before="0" w:after="0" w:line="360" w:lineRule="auto"/>
        <w:jc w:val="center"/>
        <w:rPr>
          <w:rFonts w:ascii="宋体" w:cs="宋体"/>
          <w:color w:val="auto"/>
          <w:szCs w:val="21"/>
          <w:highlight w:val="none"/>
        </w:rPr>
      </w:pPr>
    </w:p>
    <w:p w14:paraId="2E2EA450">
      <w:pPr>
        <w:pStyle w:val="3"/>
        <w:spacing w:before="0" w:after="0" w:line="360" w:lineRule="auto"/>
        <w:jc w:val="center"/>
        <w:rPr>
          <w:rFonts w:ascii="宋体" w:cs="宋体"/>
          <w:color w:val="auto"/>
          <w:szCs w:val="21"/>
          <w:highlight w:val="none"/>
        </w:rPr>
      </w:pPr>
    </w:p>
    <w:p w14:paraId="190C7D3E">
      <w:pPr>
        <w:pStyle w:val="3"/>
        <w:spacing w:before="0" w:after="0" w:line="360" w:lineRule="auto"/>
        <w:jc w:val="center"/>
        <w:rPr>
          <w:rFonts w:ascii="宋体" w:cs="宋体"/>
          <w:color w:val="auto"/>
          <w:szCs w:val="21"/>
          <w:highlight w:val="none"/>
        </w:rPr>
      </w:pPr>
    </w:p>
    <w:p w14:paraId="18CAF8C8">
      <w:pPr>
        <w:pStyle w:val="3"/>
        <w:spacing w:before="0" w:after="0" w:line="360" w:lineRule="auto"/>
        <w:jc w:val="center"/>
        <w:rPr>
          <w:rFonts w:ascii="宋体" w:cs="宋体"/>
          <w:color w:val="auto"/>
          <w:szCs w:val="21"/>
          <w:highlight w:val="none"/>
        </w:rPr>
      </w:pPr>
    </w:p>
    <w:p w14:paraId="03003313">
      <w:pPr>
        <w:pStyle w:val="3"/>
        <w:spacing w:before="0" w:after="0" w:line="360" w:lineRule="auto"/>
        <w:jc w:val="center"/>
        <w:rPr>
          <w:rFonts w:ascii="宋体" w:cs="宋体"/>
          <w:color w:val="auto"/>
          <w:szCs w:val="21"/>
          <w:highlight w:val="none"/>
        </w:rPr>
      </w:pPr>
    </w:p>
    <w:p w14:paraId="5C1591AF">
      <w:pPr>
        <w:rPr>
          <w:rFonts w:ascii="宋体" w:cs="宋体"/>
          <w:color w:val="auto"/>
          <w:sz w:val="32"/>
          <w:szCs w:val="32"/>
          <w:highlight w:val="none"/>
        </w:rPr>
      </w:pPr>
      <w:r>
        <w:rPr>
          <w:rFonts w:ascii="宋体" w:cs="宋体"/>
          <w:color w:val="auto"/>
          <w:sz w:val="32"/>
          <w:szCs w:val="32"/>
          <w:highlight w:val="none"/>
        </w:rPr>
        <w:br w:type="page"/>
      </w:r>
    </w:p>
    <w:p w14:paraId="280E47BE">
      <w:pPr>
        <w:pStyle w:val="3"/>
        <w:spacing w:before="0" w:after="0" w:line="360" w:lineRule="auto"/>
        <w:jc w:val="center"/>
        <w:rPr>
          <w:rFonts w:ascii="宋体" w:cs="宋体"/>
          <w:color w:val="auto"/>
          <w:sz w:val="32"/>
          <w:szCs w:val="32"/>
          <w:highlight w:val="none"/>
        </w:rPr>
      </w:pPr>
      <w:bookmarkStart w:id="0" w:name="_Toc28552"/>
      <w:r>
        <w:rPr>
          <w:rFonts w:hint="eastAsia" w:ascii="宋体" w:hAnsi="宋体" w:cs="宋体"/>
          <w:color w:val="auto"/>
          <w:sz w:val="32"/>
          <w:szCs w:val="32"/>
          <w:highlight w:val="none"/>
        </w:rPr>
        <w:t>第一章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竞争性磋商公告</w:t>
      </w:r>
      <w:bookmarkEnd w:id="0"/>
    </w:p>
    <w:p w14:paraId="04B23472">
      <w:pPr>
        <w:rPr>
          <w:rFonts w:ascii="宋体" w:cs="宋体"/>
          <w:color w:val="auto"/>
          <w:kern w:val="0"/>
          <w:szCs w:val="21"/>
          <w:highlight w:val="none"/>
        </w:rPr>
      </w:pPr>
      <w:bookmarkStart w:id="1" w:name="_Toc528927405"/>
      <w:bookmarkStart w:id="2" w:name="_Toc508888794"/>
    </w:p>
    <w:tbl>
      <w:tblPr>
        <w:tblStyle w:val="28"/>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0"/>
      </w:tblGrid>
      <w:tr w14:paraId="4AC7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9840" w:type="dxa"/>
          </w:tcPr>
          <w:p w14:paraId="7EC31340">
            <w:pPr>
              <w:pStyle w:val="26"/>
              <w:spacing w:before="0" w:beforeAutospacing="0" w:after="0" w:afterAutospacing="0" w:line="360" w:lineRule="auto"/>
              <w:rPr>
                <w:rFonts w:hint="eastAsia" w:cs="宋体"/>
                <w:color w:val="auto"/>
                <w:sz w:val="21"/>
                <w:szCs w:val="21"/>
                <w:highlight w:val="none"/>
              </w:rPr>
            </w:pPr>
            <w:r>
              <w:rPr>
                <w:rFonts w:ascii="微软雅黑" w:hAnsi="微软雅黑" w:eastAsia="微软雅黑" w:cs="微软雅黑"/>
                <w:color w:val="auto"/>
                <w:sz w:val="31"/>
                <w:szCs w:val="31"/>
                <w:highlight w:val="none"/>
              </w:rPr>
              <w:t> </w:t>
            </w:r>
            <w:r>
              <w:rPr>
                <w:rFonts w:cs="宋体"/>
                <w:color w:val="auto"/>
                <w:sz w:val="21"/>
                <w:szCs w:val="21"/>
                <w:highlight w:val="none"/>
              </w:rPr>
              <w:t> </w:t>
            </w:r>
            <w:r>
              <w:rPr>
                <w:rFonts w:hint="eastAsia" w:cs="宋体"/>
                <w:color w:val="auto"/>
                <w:sz w:val="21"/>
                <w:szCs w:val="21"/>
                <w:highlight w:val="none"/>
              </w:rPr>
              <w:t>项目概况</w:t>
            </w:r>
          </w:p>
          <w:p w14:paraId="5087BF02">
            <w:pPr>
              <w:pStyle w:val="26"/>
              <w:spacing w:before="0" w:beforeAutospacing="0" w:after="0" w:afterAutospacing="0" w:line="360" w:lineRule="auto"/>
              <w:rPr>
                <w:rFonts w:hint="eastAsia" w:eastAsia="宋体" w:cs="宋体"/>
                <w:b/>
                <w:color w:val="auto"/>
                <w:kern w:val="2"/>
                <w:sz w:val="21"/>
                <w:szCs w:val="21"/>
                <w:highlight w:val="none"/>
                <w:lang w:eastAsia="zh-CN"/>
              </w:rPr>
            </w:pPr>
            <w:r>
              <w:rPr>
                <w:rFonts w:cs="宋体"/>
                <w:color w:val="auto"/>
                <w:sz w:val="21"/>
                <w:szCs w:val="21"/>
                <w:highlight w:val="none"/>
              </w:rPr>
              <w:t> </w:t>
            </w:r>
            <w:bookmarkStart w:id="3" w:name="OLE_LINK5"/>
            <w:r>
              <w:rPr>
                <w:rFonts w:hint="eastAsia" w:cs="宋体"/>
                <w:color w:val="auto"/>
                <w:sz w:val="21"/>
                <w:szCs w:val="21"/>
                <w:highlight w:val="none"/>
                <w:u w:val="single"/>
                <w:lang w:eastAsia="zh-CN"/>
              </w:rPr>
              <w:t>神仙居5A景区镇基础设施提升项目-游客集散中心（景区集散点）项目（重新招标）</w:t>
            </w:r>
            <w:r>
              <w:rPr>
                <w:rFonts w:cs="宋体"/>
                <w:color w:val="auto"/>
                <w:sz w:val="21"/>
                <w:szCs w:val="21"/>
                <w:highlight w:val="none"/>
                <w:u w:val="single"/>
              </w:rPr>
              <w:t xml:space="preserve"> </w:t>
            </w:r>
            <w:bookmarkEnd w:id="3"/>
            <w:r>
              <w:rPr>
                <w:rFonts w:hint="eastAsia" w:cs="宋体"/>
                <w:color w:val="auto"/>
                <w:sz w:val="21"/>
                <w:szCs w:val="21"/>
                <w:highlight w:val="none"/>
              </w:rPr>
              <w:t>的潜在供应商应在</w:t>
            </w:r>
            <w:r>
              <w:rPr>
                <w:rFonts w:cs="宋体"/>
                <w:color w:val="auto"/>
                <w:sz w:val="21"/>
                <w:szCs w:val="21"/>
                <w:highlight w:val="none"/>
                <w:u w:val="single"/>
              </w:rPr>
              <w:t xml:space="preserve"> </w:t>
            </w:r>
            <w:r>
              <w:rPr>
                <w:rFonts w:hint="eastAsia" w:cs="宋体"/>
                <w:color w:val="auto"/>
                <w:sz w:val="21"/>
                <w:szCs w:val="21"/>
                <w:highlight w:val="none"/>
                <w:u w:val="single"/>
              </w:rPr>
              <w:t>线上获取</w:t>
            </w:r>
            <w:r>
              <w:rPr>
                <w:rFonts w:cs="宋体"/>
                <w:color w:val="auto"/>
                <w:sz w:val="21"/>
                <w:szCs w:val="21"/>
                <w:highlight w:val="none"/>
                <w:u w:val="single"/>
              </w:rPr>
              <w:t xml:space="preserve"> </w:t>
            </w:r>
            <w:r>
              <w:rPr>
                <w:rFonts w:hint="eastAsia" w:cs="宋体"/>
                <w:color w:val="auto"/>
                <w:sz w:val="21"/>
                <w:szCs w:val="21"/>
                <w:highlight w:val="none"/>
              </w:rPr>
              <w:t>（下载）采购文件，并于</w:t>
            </w:r>
            <w:r>
              <w:rPr>
                <w:rFonts w:hint="eastAsia" w:cs="宋体"/>
                <w:color w:val="auto"/>
                <w:sz w:val="21"/>
                <w:szCs w:val="21"/>
                <w:highlight w:val="none"/>
                <w:u w:val="single"/>
                <w:lang w:eastAsia="zh-CN"/>
              </w:rPr>
              <w:t>2025年  月  日</w:t>
            </w:r>
            <w:r>
              <w:rPr>
                <w:rFonts w:cs="宋体"/>
                <w:color w:val="auto"/>
                <w:sz w:val="21"/>
                <w:szCs w:val="21"/>
                <w:highlight w:val="none"/>
                <w:u w:val="single"/>
              </w:rPr>
              <w:t xml:space="preserve">09:00 </w:t>
            </w:r>
            <w:r>
              <w:rPr>
                <w:rFonts w:hint="eastAsia" w:cs="宋体"/>
                <w:color w:val="auto"/>
                <w:sz w:val="21"/>
                <w:szCs w:val="21"/>
                <w:highlight w:val="none"/>
                <w:u w:val="single"/>
              </w:rPr>
              <w:t>（北京时间）</w:t>
            </w:r>
            <w:r>
              <w:rPr>
                <w:rFonts w:hint="eastAsia" w:cs="宋体"/>
                <w:color w:val="auto"/>
                <w:sz w:val="21"/>
                <w:szCs w:val="21"/>
                <w:highlight w:val="none"/>
                <w:u w:val="none"/>
              </w:rPr>
              <w:t>前提交（上传）响应文件</w:t>
            </w:r>
            <w:r>
              <w:rPr>
                <w:rFonts w:hint="eastAsia" w:cs="宋体"/>
                <w:color w:val="auto"/>
                <w:sz w:val="21"/>
                <w:szCs w:val="21"/>
                <w:highlight w:val="none"/>
                <w:u w:val="none"/>
                <w:lang w:eastAsia="zh-CN"/>
              </w:rPr>
              <w:t>。</w:t>
            </w:r>
          </w:p>
        </w:tc>
      </w:tr>
    </w:tbl>
    <w:p w14:paraId="1FE72E28">
      <w:pPr>
        <w:pStyle w:val="26"/>
        <w:widowControl w:val="0"/>
        <w:numPr>
          <w:ilvl w:val="0"/>
          <w:numId w:val="1"/>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项目基本情况</w:t>
      </w:r>
    </w:p>
    <w:p w14:paraId="1E02ABA8">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ZJJX-25CG-005-01</w:t>
      </w:r>
      <w:r>
        <w:rPr>
          <w:rFonts w:ascii="宋体" w:hAnsi="宋体" w:cs="宋体"/>
          <w:color w:val="auto"/>
          <w:kern w:val="0"/>
          <w:szCs w:val="21"/>
          <w:highlight w:val="none"/>
        </w:rPr>
        <w:t xml:space="preserve"> </w:t>
      </w:r>
    </w:p>
    <w:p w14:paraId="7203017D">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神仙居5A景区镇基础设施提升项目-游客集散中心（景区集散点）项目（重新招标）</w:t>
      </w:r>
    </w:p>
    <w:p w14:paraId="750B879A">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采购方式：竞争性磋商</w:t>
      </w:r>
    </w:p>
    <w:p w14:paraId="0ED315EB">
      <w:pPr>
        <w:spacing w:line="40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采购需求：</w:t>
      </w:r>
    </w:p>
    <w:tbl>
      <w:tblPr>
        <w:tblStyle w:val="2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361"/>
        <w:gridCol w:w="723"/>
        <w:gridCol w:w="1073"/>
        <w:gridCol w:w="1155"/>
        <w:gridCol w:w="2983"/>
        <w:gridCol w:w="609"/>
      </w:tblGrid>
      <w:tr w14:paraId="7431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30" w:type="dxa"/>
            <w:vAlign w:val="center"/>
          </w:tcPr>
          <w:p w14:paraId="483C53A3">
            <w:pPr>
              <w:widowControl/>
              <w:wordWrap w:val="0"/>
              <w:jc w:val="center"/>
              <w:rPr>
                <w:rFonts w:ascii="宋体"/>
                <w:color w:val="auto"/>
                <w:szCs w:val="21"/>
                <w:highlight w:val="none"/>
              </w:rPr>
            </w:pPr>
            <w:r>
              <w:rPr>
                <w:rFonts w:hint="eastAsia" w:ascii="宋体" w:hAnsi="宋体" w:cs="宋体"/>
                <w:color w:val="auto"/>
                <w:kern w:val="0"/>
                <w:szCs w:val="21"/>
                <w:highlight w:val="none"/>
              </w:rPr>
              <w:t>标项序号</w:t>
            </w:r>
          </w:p>
        </w:tc>
        <w:tc>
          <w:tcPr>
            <w:tcW w:w="2361" w:type="dxa"/>
            <w:vAlign w:val="center"/>
          </w:tcPr>
          <w:p w14:paraId="329BB7F0">
            <w:pPr>
              <w:widowControl/>
              <w:wordWrap w:val="0"/>
              <w:jc w:val="center"/>
              <w:rPr>
                <w:rFonts w:ascii="宋体"/>
                <w:color w:val="auto"/>
                <w:szCs w:val="21"/>
                <w:highlight w:val="none"/>
              </w:rPr>
            </w:pPr>
            <w:r>
              <w:rPr>
                <w:rFonts w:hint="eastAsia" w:ascii="宋体" w:hAnsi="宋体" w:cs="宋体"/>
                <w:color w:val="auto"/>
                <w:kern w:val="0"/>
                <w:szCs w:val="21"/>
                <w:highlight w:val="none"/>
              </w:rPr>
              <w:t>标项名称</w:t>
            </w:r>
          </w:p>
        </w:tc>
        <w:tc>
          <w:tcPr>
            <w:tcW w:w="723" w:type="dxa"/>
            <w:vAlign w:val="center"/>
          </w:tcPr>
          <w:p w14:paraId="4D8F3FC3">
            <w:pPr>
              <w:widowControl/>
              <w:wordWrap w:val="0"/>
              <w:jc w:val="center"/>
              <w:rPr>
                <w:rFonts w:ascii="宋体"/>
                <w:color w:val="auto"/>
                <w:szCs w:val="21"/>
                <w:highlight w:val="none"/>
              </w:rPr>
            </w:pPr>
            <w:r>
              <w:rPr>
                <w:rFonts w:hint="eastAsia" w:ascii="宋体" w:hAnsi="宋体" w:cs="宋体"/>
                <w:color w:val="auto"/>
                <w:kern w:val="0"/>
                <w:szCs w:val="21"/>
                <w:highlight w:val="none"/>
              </w:rPr>
              <w:t>数量</w:t>
            </w:r>
          </w:p>
        </w:tc>
        <w:tc>
          <w:tcPr>
            <w:tcW w:w="1073" w:type="dxa"/>
            <w:vAlign w:val="center"/>
          </w:tcPr>
          <w:p w14:paraId="24E8E669">
            <w:pPr>
              <w:widowControl/>
              <w:snapToGrid w:val="0"/>
              <w:spacing w:line="400" w:lineRule="exact"/>
              <w:jc w:val="center"/>
              <w:rPr>
                <w:rFonts w:ascii="宋体" w:cs="宋体"/>
                <w:color w:val="auto"/>
                <w:kern w:val="0"/>
                <w:szCs w:val="21"/>
                <w:highlight w:val="none"/>
              </w:rPr>
            </w:pPr>
            <w:r>
              <w:rPr>
                <w:rFonts w:hint="eastAsia" w:ascii="宋体" w:hAnsi="宋体" w:cs="宋体"/>
                <w:color w:val="auto"/>
                <w:szCs w:val="21"/>
                <w:highlight w:val="none"/>
              </w:rPr>
              <w:t>预算金额（万元）</w:t>
            </w:r>
          </w:p>
        </w:tc>
        <w:tc>
          <w:tcPr>
            <w:tcW w:w="1155" w:type="dxa"/>
            <w:vAlign w:val="center"/>
          </w:tcPr>
          <w:p w14:paraId="0759EDC8">
            <w:pPr>
              <w:widowControl/>
              <w:snapToGrid w:val="0"/>
              <w:spacing w:line="400" w:lineRule="exact"/>
              <w:jc w:val="center"/>
              <w:rPr>
                <w:rFonts w:ascii="宋体" w:cs="宋体"/>
                <w:color w:val="auto"/>
                <w:szCs w:val="21"/>
                <w:highlight w:val="none"/>
              </w:rPr>
            </w:pPr>
            <w:r>
              <w:rPr>
                <w:rFonts w:hint="eastAsia" w:ascii="宋体" w:hAnsi="宋体" w:cs="宋体"/>
                <w:color w:val="auto"/>
                <w:szCs w:val="21"/>
                <w:highlight w:val="none"/>
              </w:rPr>
              <w:t>最高限价</w:t>
            </w:r>
          </w:p>
          <w:p w14:paraId="129C24A5">
            <w:pPr>
              <w:widowControl/>
              <w:snapToGrid w:val="0"/>
              <w:spacing w:line="400" w:lineRule="exact"/>
              <w:jc w:val="center"/>
              <w:rPr>
                <w:rFonts w:ascii="宋体"/>
                <w:color w:val="auto"/>
                <w:szCs w:val="21"/>
                <w:highlight w:val="none"/>
              </w:rPr>
            </w:pPr>
            <w:r>
              <w:rPr>
                <w:rFonts w:hint="eastAsia" w:ascii="宋体" w:hAnsi="宋体" w:cs="宋体"/>
                <w:color w:val="auto"/>
                <w:szCs w:val="21"/>
                <w:highlight w:val="none"/>
              </w:rPr>
              <w:t>（万元）</w:t>
            </w:r>
          </w:p>
        </w:tc>
        <w:tc>
          <w:tcPr>
            <w:tcW w:w="2983" w:type="dxa"/>
            <w:vAlign w:val="center"/>
          </w:tcPr>
          <w:p w14:paraId="19610EB5">
            <w:pPr>
              <w:widowControl/>
              <w:wordWrap w:val="0"/>
              <w:jc w:val="center"/>
              <w:rPr>
                <w:rFonts w:ascii="宋体"/>
                <w:color w:val="auto"/>
                <w:szCs w:val="21"/>
                <w:highlight w:val="none"/>
              </w:rPr>
            </w:pPr>
            <w:r>
              <w:rPr>
                <w:rFonts w:hint="eastAsia" w:ascii="宋体" w:hAnsi="宋体" w:cs="宋体"/>
                <w:color w:val="auto"/>
                <w:kern w:val="0"/>
                <w:szCs w:val="21"/>
                <w:highlight w:val="none"/>
              </w:rPr>
              <w:t>简要规格描述</w:t>
            </w:r>
          </w:p>
        </w:tc>
        <w:tc>
          <w:tcPr>
            <w:tcW w:w="609" w:type="dxa"/>
            <w:vAlign w:val="center"/>
          </w:tcPr>
          <w:p w14:paraId="4D06AF11">
            <w:pPr>
              <w:widowControl/>
              <w:wordWrap w:val="0"/>
              <w:jc w:val="center"/>
              <w:rPr>
                <w:rFonts w:ascii="宋体"/>
                <w:color w:val="auto"/>
                <w:szCs w:val="21"/>
                <w:highlight w:val="none"/>
              </w:rPr>
            </w:pPr>
            <w:r>
              <w:rPr>
                <w:rFonts w:hint="eastAsia" w:ascii="宋体" w:hAnsi="宋体" w:cs="宋体"/>
                <w:color w:val="auto"/>
                <w:kern w:val="0"/>
                <w:szCs w:val="21"/>
                <w:highlight w:val="none"/>
              </w:rPr>
              <w:t>备注</w:t>
            </w:r>
          </w:p>
        </w:tc>
      </w:tr>
      <w:tr w14:paraId="215C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30" w:type="dxa"/>
            <w:vAlign w:val="center"/>
          </w:tcPr>
          <w:p w14:paraId="6BAEFF7E">
            <w:pPr>
              <w:spacing w:line="360" w:lineRule="auto"/>
              <w:jc w:val="center"/>
              <w:rPr>
                <w:rFonts w:ascii="宋体"/>
                <w:color w:val="auto"/>
                <w:szCs w:val="21"/>
                <w:highlight w:val="none"/>
              </w:rPr>
            </w:pPr>
            <w:bookmarkStart w:id="4" w:name="OLE_LINK6" w:colFirst="3" w:colLast="4"/>
            <w:r>
              <w:rPr>
                <w:rFonts w:ascii="宋体" w:hAnsi="宋体"/>
                <w:color w:val="auto"/>
                <w:szCs w:val="21"/>
                <w:highlight w:val="none"/>
              </w:rPr>
              <w:t>1</w:t>
            </w:r>
          </w:p>
        </w:tc>
        <w:tc>
          <w:tcPr>
            <w:tcW w:w="2361" w:type="dxa"/>
            <w:vAlign w:val="center"/>
          </w:tcPr>
          <w:p w14:paraId="15AB5C1D">
            <w:pPr>
              <w:spacing w:line="360" w:lineRule="auto"/>
              <w:jc w:val="center"/>
              <w:rPr>
                <w:rFonts w:ascii="宋体"/>
                <w:color w:val="auto"/>
                <w:szCs w:val="21"/>
                <w:highlight w:val="none"/>
              </w:rPr>
            </w:pPr>
            <w:r>
              <w:rPr>
                <w:rFonts w:hint="eastAsia" w:ascii="宋体" w:hAnsi="宋体"/>
                <w:color w:val="auto"/>
                <w:szCs w:val="21"/>
                <w:highlight w:val="none"/>
                <w:lang w:eastAsia="zh-CN"/>
              </w:rPr>
              <w:t>神仙居5A景区镇基础设施提升项目-游客集散中心（景区集散点）项目（重新招标）</w:t>
            </w:r>
          </w:p>
        </w:tc>
        <w:tc>
          <w:tcPr>
            <w:tcW w:w="723" w:type="dxa"/>
            <w:vAlign w:val="center"/>
          </w:tcPr>
          <w:p w14:paraId="01506ED3">
            <w:pPr>
              <w:widowControl/>
              <w:snapToGrid w:val="0"/>
              <w:spacing w:line="400" w:lineRule="exact"/>
              <w:jc w:val="center"/>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项</w:t>
            </w:r>
          </w:p>
        </w:tc>
        <w:tc>
          <w:tcPr>
            <w:tcW w:w="1073" w:type="dxa"/>
            <w:vAlign w:val="center"/>
          </w:tcPr>
          <w:p w14:paraId="7B839FFE">
            <w:pPr>
              <w:widowControl/>
              <w:snapToGrid w:val="0"/>
              <w:spacing w:line="400" w:lineRule="exact"/>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345.1711</w:t>
            </w:r>
          </w:p>
        </w:tc>
        <w:tc>
          <w:tcPr>
            <w:tcW w:w="1155" w:type="dxa"/>
            <w:vAlign w:val="center"/>
          </w:tcPr>
          <w:p w14:paraId="79D68D2C">
            <w:pPr>
              <w:widowControl/>
              <w:snapToGrid w:val="0"/>
              <w:spacing w:line="400" w:lineRule="exact"/>
              <w:jc w:val="center"/>
              <w:rPr>
                <w:rFonts w:ascii="宋体"/>
                <w:color w:val="auto"/>
                <w:szCs w:val="21"/>
                <w:highlight w:val="none"/>
              </w:rPr>
            </w:pPr>
            <w:r>
              <w:rPr>
                <w:rFonts w:hint="eastAsia" w:ascii="宋体"/>
                <w:color w:val="auto"/>
                <w:szCs w:val="21"/>
                <w:highlight w:val="none"/>
              </w:rPr>
              <w:t>327.9125</w:t>
            </w:r>
          </w:p>
        </w:tc>
        <w:tc>
          <w:tcPr>
            <w:tcW w:w="2983" w:type="dxa"/>
            <w:vAlign w:val="center"/>
          </w:tcPr>
          <w:p w14:paraId="052D4B4F">
            <w:pPr>
              <w:pStyle w:val="14"/>
              <w:spacing w:beforeLines="0" w:afterLines="0" w:line="360" w:lineRule="auto"/>
              <w:jc w:val="center"/>
              <w:rPr>
                <w:rFonts w:hint="eastAsia" w:hAnsi="宋体"/>
                <w:color w:val="auto"/>
                <w:sz w:val="21"/>
                <w:szCs w:val="21"/>
                <w:highlight w:val="none"/>
              </w:rPr>
            </w:pPr>
            <w:r>
              <w:rPr>
                <w:rFonts w:hint="eastAsia" w:hAnsi="宋体"/>
                <w:color w:val="auto"/>
                <w:sz w:val="21"/>
                <w:szCs w:val="21"/>
                <w:highlight w:val="none"/>
                <w:lang w:eastAsia="zh-CN"/>
              </w:rPr>
              <w:t>神仙居5A景区镇基础设施提升项目-游客集散中心（景区集散点）项目（重新招标）</w:t>
            </w:r>
            <w:r>
              <w:rPr>
                <w:rFonts w:hint="eastAsia" w:hAnsi="宋体"/>
                <w:color w:val="auto"/>
                <w:sz w:val="21"/>
                <w:szCs w:val="21"/>
                <w:highlight w:val="none"/>
              </w:rPr>
              <w:t>，详见采购需求内容。</w:t>
            </w:r>
          </w:p>
        </w:tc>
        <w:tc>
          <w:tcPr>
            <w:tcW w:w="609" w:type="dxa"/>
            <w:vAlign w:val="center"/>
          </w:tcPr>
          <w:p w14:paraId="184640D7">
            <w:pPr>
              <w:spacing w:line="360" w:lineRule="auto"/>
              <w:jc w:val="distribute"/>
              <w:rPr>
                <w:rFonts w:ascii="宋体" w:cs="宋体"/>
                <w:color w:val="auto"/>
                <w:kern w:val="0"/>
                <w:szCs w:val="21"/>
                <w:highlight w:val="none"/>
              </w:rPr>
            </w:pPr>
          </w:p>
        </w:tc>
      </w:tr>
      <w:bookmarkEnd w:id="4"/>
    </w:tbl>
    <w:p w14:paraId="1E1A4118">
      <w:pPr>
        <w:pStyle w:val="9"/>
        <w:spacing w:after="0" w:line="400" w:lineRule="exact"/>
        <w:ind w:firstLine="420" w:firstLineChars="200"/>
        <w:rPr>
          <w:rFonts w:ascii="宋体" w:cs="宋体"/>
          <w:color w:val="auto"/>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lang w:val="en-US" w:eastAsia="zh-CN"/>
        </w:rPr>
        <w:t>项目工期</w:t>
      </w:r>
      <w:r>
        <w:rPr>
          <w:rFonts w:hint="eastAsia" w:ascii="宋体" w:hAnsi="宋体" w:cs="宋体"/>
          <w:color w:val="auto"/>
          <w:kern w:val="0"/>
          <w:szCs w:val="21"/>
          <w:highlight w:val="none"/>
        </w:rPr>
        <w:t>：</w:t>
      </w:r>
      <w:r>
        <w:rPr>
          <w:rFonts w:hint="eastAsia" w:ascii="宋体" w:hAnsi="宋体" w:cs="宋体"/>
          <w:kern w:val="0"/>
          <w:szCs w:val="21"/>
          <w:highlight w:val="none"/>
          <w:lang w:val="en-US" w:eastAsia="zh-CN"/>
        </w:rPr>
        <w:t>项目工期不超过60日历天（如遇政策处置问题工期顺延，具体开工时间以监理开工令发布为准）。</w:t>
      </w:r>
    </w:p>
    <w:p w14:paraId="23C00956">
      <w:pPr>
        <w:spacing w:line="360" w:lineRule="auto"/>
        <w:ind w:firstLine="420" w:firstLineChars="200"/>
        <w:rPr>
          <w:rFonts w:cs="宋体"/>
          <w:b/>
          <w:color w:val="auto"/>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本项目（</w:t>
      </w:r>
      <w:r>
        <w:rPr>
          <w:rFonts w:hint="eastAsia" w:ascii="宋体" w:hAnsi="宋体" w:cs="宋体"/>
          <w:color w:val="auto"/>
          <w:kern w:val="0"/>
          <w:szCs w:val="21"/>
          <w:highlight w:val="none"/>
          <w:lang w:val="en-US" w:eastAsia="zh-CN"/>
        </w:rPr>
        <w:t>否</w:t>
      </w:r>
      <w:r>
        <w:rPr>
          <w:rFonts w:hint="eastAsia" w:ascii="宋体" w:hAnsi="宋体" w:cs="宋体"/>
          <w:color w:val="auto"/>
          <w:kern w:val="0"/>
          <w:szCs w:val="21"/>
          <w:highlight w:val="none"/>
        </w:rPr>
        <w:t>）接受联合体投标。</w:t>
      </w:r>
    </w:p>
    <w:p w14:paraId="1D716300">
      <w:pPr>
        <w:pStyle w:val="26"/>
        <w:widowControl w:val="0"/>
        <w:numPr>
          <w:ilvl w:val="0"/>
          <w:numId w:val="1"/>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申请人的资格要求：</w:t>
      </w:r>
    </w:p>
    <w:p w14:paraId="3B260E41">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满足</w:t>
      </w:r>
      <w:r>
        <w:rPr>
          <w:rFonts w:hint="eastAsia" w:ascii="宋体" w:hAnsi="宋体" w:cs="宋体"/>
          <w:color w:val="auto"/>
          <w:szCs w:val="21"/>
          <w:highlight w:val="none"/>
        </w:rPr>
        <w:t>《中华人民共和国政府采购法》第二十二条规定的供应商资格条件和浙财采监【</w:t>
      </w:r>
      <w:r>
        <w:rPr>
          <w:rFonts w:ascii="宋体" w:hAnsi="宋体" w:cs="宋体"/>
          <w:color w:val="auto"/>
          <w:szCs w:val="21"/>
          <w:highlight w:val="none"/>
        </w:rPr>
        <w:t>2013</w:t>
      </w:r>
      <w:r>
        <w:rPr>
          <w:rFonts w:hint="eastAsia" w:ascii="宋体" w:hAnsi="宋体" w:cs="宋体"/>
          <w:color w:val="auto"/>
          <w:szCs w:val="21"/>
          <w:highlight w:val="none"/>
        </w:rPr>
        <w:t>】</w:t>
      </w:r>
      <w:r>
        <w:rPr>
          <w:rFonts w:ascii="宋体" w:hAnsi="宋体" w:cs="宋体"/>
          <w:color w:val="auto"/>
          <w:szCs w:val="21"/>
          <w:highlight w:val="none"/>
        </w:rPr>
        <w:t>24</w:t>
      </w:r>
      <w:r>
        <w:rPr>
          <w:rFonts w:hint="eastAsia" w:ascii="宋体" w:hAnsi="宋体" w:cs="宋体"/>
          <w:color w:val="auto"/>
          <w:szCs w:val="21"/>
          <w:highlight w:val="none"/>
        </w:rPr>
        <w:t>号《关于规范政府采购供应商资格设定及资格审查的通知》第六条规定，且未被列入失信被执行人名单、重大税收违法案件当事人名单、政府采购严重违法失信行为记录名单。</w:t>
      </w:r>
    </w:p>
    <w:p w14:paraId="617BAC49">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落实政府采购政策需满足的资格要求：</w:t>
      </w:r>
      <w:bookmarkStart w:id="5" w:name="OLE_LINK2"/>
      <w:r>
        <w:rPr>
          <w:rFonts w:hint="eastAsia" w:ascii="宋体" w:hAnsi="宋体" w:cs="宋体"/>
          <w:color w:val="auto"/>
          <w:kern w:val="0"/>
          <w:szCs w:val="21"/>
          <w:highlight w:val="none"/>
        </w:rPr>
        <w:t>供应商为中小企业/小微企业或监狱企业或残疾人福利性单位。</w:t>
      </w:r>
    </w:p>
    <w:bookmarkEnd w:id="5"/>
    <w:p w14:paraId="6509E8A8">
      <w:pPr>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本项目的特定资格要求：投标人须具有建筑工程施工总承包三级及以上资质等级，并在人员、设备、资金等方面具有相应的施工能力，企业具有安全生产许可证，且在有效期内；浙江省省外企业须具有有效的《省外企业进浙承接业务备案证明》或浙江省建筑市场监管公共服务系统已完成办理的公示信息网站截图证明。</w:t>
      </w:r>
    </w:p>
    <w:p w14:paraId="4F75437F">
      <w:pPr>
        <w:pStyle w:val="36"/>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注：本项目采用资格后审方式，在评标时进行资格审查，请投标人仔细阅读以上资格条件要求并自查。投标时投标文件中请附招标文件要求的所有资格证明资料。</w:t>
      </w:r>
    </w:p>
    <w:p w14:paraId="4FCADF41">
      <w:pPr>
        <w:pStyle w:val="26"/>
        <w:widowControl w:val="0"/>
        <w:numPr>
          <w:ilvl w:val="0"/>
          <w:numId w:val="1"/>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获取（下载）采购文件</w:t>
      </w:r>
    </w:p>
    <w:p w14:paraId="21932DBD">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时间：</w:t>
      </w:r>
      <w:r>
        <w:rPr>
          <w:rFonts w:ascii="宋体" w:hAnsi="宋体" w:cs="宋体"/>
          <w:color w:val="auto"/>
          <w:kern w:val="0"/>
          <w:szCs w:val="21"/>
          <w:highlight w:val="none"/>
          <w:u w:val="single"/>
        </w:rPr>
        <w:t xml:space="preserve">  / </w:t>
      </w:r>
      <w:r>
        <w:rPr>
          <w:rFonts w:hint="eastAsia" w:ascii="宋体" w:hAnsi="宋体" w:cs="宋体"/>
          <w:color w:val="auto"/>
          <w:kern w:val="0"/>
          <w:szCs w:val="21"/>
          <w:highlight w:val="none"/>
          <w:u w:val="single"/>
        </w:rPr>
        <w:t>至</w:t>
      </w:r>
      <w:r>
        <w:rPr>
          <w:rFonts w:hint="eastAsia" w:ascii="宋体" w:hAnsi="宋体" w:cs="宋体"/>
          <w:color w:val="auto"/>
          <w:kern w:val="0"/>
          <w:szCs w:val="21"/>
          <w:highlight w:val="none"/>
          <w:u w:val="single"/>
          <w:lang w:eastAsia="zh-CN"/>
        </w:rPr>
        <w:t>2025年  月  日</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，每天上午</w:t>
      </w:r>
      <w:r>
        <w:rPr>
          <w:rFonts w:ascii="宋体" w:hAnsi="宋体" w:cs="宋体"/>
          <w:color w:val="auto"/>
          <w:kern w:val="0"/>
          <w:szCs w:val="21"/>
          <w:highlight w:val="none"/>
          <w:u w:val="single"/>
        </w:rPr>
        <w:t>00:00</w:t>
      </w:r>
      <w:r>
        <w:rPr>
          <w:rFonts w:hint="eastAsia" w:ascii="宋体" w:hAnsi="宋体" w:cs="宋体"/>
          <w:color w:val="auto"/>
          <w:kern w:val="0"/>
          <w:szCs w:val="21"/>
          <w:highlight w:val="none"/>
          <w:u w:val="single"/>
        </w:rPr>
        <w:t>至</w:t>
      </w:r>
      <w:r>
        <w:rPr>
          <w:rFonts w:ascii="宋体" w:hAnsi="宋体" w:cs="宋体"/>
          <w:color w:val="auto"/>
          <w:kern w:val="0"/>
          <w:szCs w:val="21"/>
          <w:highlight w:val="none"/>
          <w:u w:val="single"/>
        </w:rPr>
        <w:t>12:00</w:t>
      </w:r>
      <w:r>
        <w:rPr>
          <w:rFonts w:hint="eastAsia" w:ascii="宋体" w:hAnsi="宋体" w:cs="宋体"/>
          <w:color w:val="auto"/>
          <w:kern w:val="0"/>
          <w:szCs w:val="21"/>
          <w:highlight w:val="none"/>
        </w:rPr>
        <w:t>，下午</w:t>
      </w:r>
      <w:r>
        <w:rPr>
          <w:rFonts w:ascii="宋体" w:hAnsi="宋体" w:cs="宋体"/>
          <w:color w:val="auto"/>
          <w:kern w:val="0"/>
          <w:szCs w:val="21"/>
          <w:highlight w:val="none"/>
          <w:u w:val="single"/>
        </w:rPr>
        <w:t>12:00</w:t>
      </w:r>
      <w:r>
        <w:rPr>
          <w:rFonts w:hint="eastAsia" w:ascii="宋体" w:hAnsi="宋体" w:cs="宋体"/>
          <w:color w:val="auto"/>
          <w:kern w:val="0"/>
          <w:szCs w:val="21"/>
          <w:highlight w:val="none"/>
          <w:u w:val="single"/>
        </w:rPr>
        <w:t>至</w:t>
      </w:r>
      <w:r>
        <w:rPr>
          <w:rFonts w:ascii="宋体" w:hAnsi="宋体" w:cs="宋体"/>
          <w:color w:val="auto"/>
          <w:kern w:val="0"/>
          <w:szCs w:val="21"/>
          <w:highlight w:val="none"/>
          <w:u w:val="single"/>
        </w:rPr>
        <w:t>23:59</w:t>
      </w:r>
      <w:r>
        <w:rPr>
          <w:rFonts w:hint="eastAsia" w:ascii="宋体" w:hAnsi="宋体" w:cs="宋体"/>
          <w:color w:val="auto"/>
          <w:kern w:val="0"/>
          <w:szCs w:val="21"/>
          <w:highlight w:val="none"/>
        </w:rPr>
        <w:t>（北京时间，线上获取法定节假日均可，线下获取文件法定节假日除外）</w:t>
      </w:r>
    </w:p>
    <w:p w14:paraId="647E2797">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地点（网址）：</w:t>
      </w:r>
      <w:bookmarkStart w:id="6" w:name="OLE_LINK3"/>
      <w:r>
        <w:rPr>
          <w:rFonts w:hint="eastAsia" w:ascii="宋体" w:hAnsi="宋体" w:cs="宋体"/>
          <w:color w:val="auto"/>
          <w:kern w:val="0"/>
          <w:szCs w:val="21"/>
          <w:highlight w:val="none"/>
        </w:rPr>
        <w:t>浙江政府采购网（</w:t>
      </w:r>
      <w:r>
        <w:rPr>
          <w:rFonts w:ascii="宋体" w:hAnsi="宋体" w:cs="宋体"/>
          <w:color w:val="auto"/>
          <w:kern w:val="0"/>
          <w:szCs w:val="21"/>
          <w:highlight w:val="none"/>
        </w:rPr>
        <w:t>https://www.zcygov.cn</w:t>
      </w:r>
      <w:r>
        <w:rPr>
          <w:rFonts w:hint="eastAsia" w:ascii="宋体" w:hAnsi="宋体" w:cs="宋体"/>
          <w:color w:val="auto"/>
          <w:kern w:val="0"/>
          <w:szCs w:val="21"/>
          <w:highlight w:val="none"/>
        </w:rPr>
        <w:t>）</w:t>
      </w:r>
      <w:bookmarkEnd w:id="6"/>
      <w:r>
        <w:rPr>
          <w:rFonts w:hint="eastAsia" w:ascii="宋体" w:hAnsi="宋体" w:cs="宋体"/>
          <w:color w:val="auto"/>
          <w:kern w:val="0"/>
          <w:szCs w:val="21"/>
          <w:highlight w:val="none"/>
          <w:lang w:eastAsia="zh-CN"/>
        </w:rPr>
        <w:t>。</w:t>
      </w:r>
      <w:r>
        <w:rPr>
          <w:rFonts w:ascii="宋体" w:cs="宋体"/>
          <w:color w:val="auto"/>
          <w:kern w:val="0"/>
          <w:szCs w:val="21"/>
          <w:highlight w:val="none"/>
        </w:rPr>
        <w:t> </w:t>
      </w:r>
    </w:p>
    <w:p w14:paraId="6A9D9BF9">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方式：供应商登录政采云平台</w:t>
      </w:r>
      <w:r>
        <w:rPr>
          <w:rFonts w:ascii="宋体" w:hAnsi="宋体" w:cs="宋体"/>
          <w:color w:val="auto"/>
          <w:kern w:val="0"/>
          <w:szCs w:val="21"/>
          <w:highlight w:val="none"/>
        </w:rPr>
        <w:t>https://www.zcygov.cn/</w:t>
      </w:r>
      <w:r>
        <w:rPr>
          <w:rFonts w:hint="eastAsia" w:ascii="宋体" w:hAnsi="宋体" w:cs="宋体"/>
          <w:color w:val="auto"/>
          <w:kern w:val="0"/>
          <w:szCs w:val="21"/>
          <w:highlight w:val="none"/>
        </w:rPr>
        <w:t>在线申请获取采购文件（进入“项目采购”应用，在获取采购文件菜单中选择项目，申请获取采购文件）。</w:t>
      </w:r>
    </w:p>
    <w:p w14:paraId="63901933">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售价（元）：</w:t>
      </w:r>
      <w:r>
        <w:rPr>
          <w:rFonts w:ascii="宋体" w:cs="宋体"/>
          <w:color w:val="auto"/>
          <w:kern w:val="0"/>
          <w:szCs w:val="21"/>
          <w:highlight w:val="none"/>
        </w:rPr>
        <w:t>0 </w:t>
      </w:r>
    </w:p>
    <w:p w14:paraId="31E314A9">
      <w:pPr>
        <w:pStyle w:val="26"/>
        <w:widowControl w:val="0"/>
        <w:numPr>
          <w:ilvl w:val="0"/>
          <w:numId w:val="1"/>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响应文件提交（上传）</w:t>
      </w:r>
    </w:p>
    <w:p w14:paraId="39056673">
      <w:pPr>
        <w:pStyle w:val="26"/>
        <w:spacing w:before="0" w:beforeAutospacing="0" w:after="0" w:afterAutospacing="0" w:line="360" w:lineRule="auto"/>
        <w:ind w:firstLine="420" w:firstLineChars="200"/>
        <w:rPr>
          <w:rFonts w:hint="eastAsia"/>
          <w:color w:val="auto"/>
          <w:sz w:val="21"/>
          <w:szCs w:val="21"/>
          <w:highlight w:val="none"/>
        </w:rPr>
      </w:pPr>
      <w:r>
        <w:rPr>
          <w:color w:val="auto"/>
          <w:sz w:val="21"/>
          <w:szCs w:val="21"/>
          <w:highlight w:val="none"/>
        </w:rPr>
        <w:t>1.</w:t>
      </w:r>
      <w:r>
        <w:rPr>
          <w:rFonts w:hint="eastAsia"/>
          <w:color w:val="auto"/>
          <w:sz w:val="21"/>
          <w:szCs w:val="21"/>
          <w:highlight w:val="none"/>
        </w:rPr>
        <w:t>截止时间：</w:t>
      </w:r>
      <w:r>
        <w:rPr>
          <w:color w:val="auto"/>
          <w:sz w:val="21"/>
          <w:szCs w:val="21"/>
          <w:highlight w:val="none"/>
          <w:u w:val="single"/>
        </w:rPr>
        <w:t> </w:t>
      </w:r>
      <w:r>
        <w:rPr>
          <w:rFonts w:hint="eastAsia"/>
          <w:color w:val="auto"/>
          <w:sz w:val="21"/>
          <w:szCs w:val="21"/>
          <w:highlight w:val="none"/>
          <w:u w:val="single"/>
          <w:lang w:eastAsia="zh-CN"/>
        </w:rPr>
        <w:t>2025年  月  日</w:t>
      </w:r>
      <w:r>
        <w:rPr>
          <w:color w:val="auto"/>
          <w:sz w:val="21"/>
          <w:szCs w:val="21"/>
          <w:highlight w:val="none"/>
          <w:u w:val="single"/>
        </w:rPr>
        <w:t xml:space="preserve"> 09:00 </w:t>
      </w:r>
      <w:r>
        <w:rPr>
          <w:rFonts w:hint="eastAsia"/>
          <w:color w:val="auto"/>
          <w:sz w:val="21"/>
          <w:szCs w:val="21"/>
          <w:highlight w:val="none"/>
        </w:rPr>
        <w:t>（北京时间）</w:t>
      </w:r>
    </w:p>
    <w:p w14:paraId="1AAFAEF7">
      <w:pPr>
        <w:pStyle w:val="26"/>
        <w:spacing w:before="0" w:beforeAutospacing="0" w:after="0" w:afterAutospacing="0" w:line="360" w:lineRule="auto"/>
        <w:ind w:firstLine="420" w:firstLineChars="200"/>
        <w:rPr>
          <w:rFonts w:hint="eastAsia"/>
          <w:color w:val="auto"/>
          <w:sz w:val="21"/>
          <w:szCs w:val="21"/>
          <w:highlight w:val="none"/>
        </w:rPr>
      </w:pPr>
      <w:r>
        <w:rPr>
          <w:color w:val="auto"/>
          <w:sz w:val="21"/>
          <w:szCs w:val="21"/>
          <w:highlight w:val="none"/>
        </w:rPr>
        <w:t>2.</w:t>
      </w:r>
      <w:r>
        <w:rPr>
          <w:rFonts w:hint="eastAsia"/>
          <w:color w:val="auto"/>
          <w:sz w:val="21"/>
          <w:szCs w:val="21"/>
          <w:highlight w:val="none"/>
        </w:rPr>
        <w:t>地点（网址）：</w:t>
      </w:r>
    </w:p>
    <w:p w14:paraId="5BEE839D">
      <w:pPr>
        <w:pStyle w:val="26"/>
        <w:spacing w:before="0" w:beforeAutospacing="0" w:after="0" w:afterAutospacing="0" w:line="360" w:lineRule="auto"/>
        <w:ind w:firstLine="420" w:firstLineChars="200"/>
        <w:rPr>
          <w:rFonts w:hint="eastAsia"/>
          <w:color w:val="auto"/>
          <w:sz w:val="21"/>
          <w:szCs w:val="21"/>
          <w:highlight w:val="none"/>
          <w:u w:val="single"/>
        </w:rPr>
      </w:pPr>
      <w:r>
        <w:rPr>
          <w:rFonts w:hint="eastAsia"/>
          <w:color w:val="auto"/>
          <w:sz w:val="21"/>
          <w:szCs w:val="21"/>
          <w:highlight w:val="none"/>
          <w:u w:val="single"/>
        </w:rPr>
        <w:t>（</w:t>
      </w:r>
      <w:r>
        <w:rPr>
          <w:color w:val="auto"/>
          <w:sz w:val="21"/>
          <w:szCs w:val="21"/>
          <w:highlight w:val="none"/>
          <w:u w:val="single"/>
        </w:rPr>
        <w:t>1</w:t>
      </w:r>
      <w:r>
        <w:rPr>
          <w:rFonts w:hint="eastAsia"/>
          <w:color w:val="auto"/>
          <w:sz w:val="21"/>
          <w:szCs w:val="21"/>
          <w:highlight w:val="none"/>
          <w:u w:val="single"/>
        </w:rPr>
        <w:t>）电子响应文件：政府采购云平台（</w:t>
      </w:r>
      <w:r>
        <w:rPr>
          <w:color w:val="auto"/>
          <w:sz w:val="21"/>
          <w:szCs w:val="21"/>
          <w:highlight w:val="none"/>
          <w:u w:val="single"/>
        </w:rPr>
        <w:t>https://www.zcygov.cn</w:t>
      </w:r>
      <w:r>
        <w:rPr>
          <w:rFonts w:hint="eastAsia"/>
          <w:color w:val="auto"/>
          <w:sz w:val="21"/>
          <w:szCs w:val="21"/>
          <w:highlight w:val="none"/>
          <w:u w:val="single"/>
        </w:rPr>
        <w:t>）在线递交。</w:t>
      </w:r>
      <w:r>
        <w:rPr>
          <w:color w:val="auto"/>
          <w:sz w:val="21"/>
          <w:szCs w:val="21"/>
          <w:highlight w:val="none"/>
          <w:u w:val="single"/>
        </w:rPr>
        <w:t xml:space="preserve"> </w:t>
      </w:r>
    </w:p>
    <w:p w14:paraId="60846050">
      <w:pPr>
        <w:pStyle w:val="26"/>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u w:val="single"/>
        </w:rPr>
        <w:t>（</w:t>
      </w:r>
      <w:r>
        <w:rPr>
          <w:color w:val="auto"/>
          <w:sz w:val="21"/>
          <w:szCs w:val="21"/>
          <w:highlight w:val="none"/>
          <w:u w:val="single"/>
        </w:rPr>
        <w:t>2</w:t>
      </w:r>
      <w:r>
        <w:rPr>
          <w:rFonts w:hint="eastAsia"/>
          <w:color w:val="auto"/>
          <w:sz w:val="21"/>
          <w:szCs w:val="21"/>
          <w:highlight w:val="none"/>
          <w:u w:val="single"/>
        </w:rPr>
        <w:t>）备份电子响应文件：</w:t>
      </w:r>
      <w:r>
        <w:rPr>
          <w:color w:val="auto"/>
          <w:highlight w:val="none"/>
        </w:rPr>
        <w:fldChar w:fldCharType="begin"/>
      </w:r>
      <w:r>
        <w:rPr>
          <w:color w:val="auto"/>
          <w:highlight w:val="none"/>
        </w:rPr>
        <w:instrText xml:space="preserve"> HYPERLINK "mailto:供应商自行确定是否提交；若提交请将备份电子投标文件打包压缩加密（未加密造成泄密的由供应商自行承担）后以电子邮件的形式发送至272285461@qq.com" </w:instrText>
      </w:r>
      <w:r>
        <w:rPr>
          <w:color w:val="auto"/>
          <w:highlight w:val="none"/>
        </w:rPr>
        <w:fldChar w:fldCharType="separate"/>
      </w:r>
      <w:r>
        <w:rPr>
          <w:rStyle w:val="31"/>
          <w:rFonts w:hint="eastAsia" w:ascii="Times New Roman" w:hAnsi="Times New Roman"/>
          <w:color w:val="auto"/>
          <w:sz w:val="21"/>
          <w:szCs w:val="21"/>
          <w:highlight w:val="none"/>
        </w:rPr>
        <w:t>供应商自行确定是否提交；若提交请将备份电子投标文件打包压缩加密（未加密造成泄密的由供应商自行承担）后以电子邮件的形式发送至</w:t>
      </w:r>
      <w:r>
        <w:rPr>
          <w:rStyle w:val="31"/>
          <w:rFonts w:ascii="Times New Roman" w:hAnsi="Times New Roman"/>
          <w:color w:val="auto"/>
          <w:sz w:val="21"/>
          <w:szCs w:val="21"/>
          <w:highlight w:val="none"/>
        </w:rPr>
        <w:t>sha7479@qq.com</w:t>
      </w:r>
      <w:r>
        <w:rPr>
          <w:rStyle w:val="31"/>
          <w:rFonts w:ascii="Times New Roman" w:hAnsi="Times New Roman"/>
          <w:color w:val="auto"/>
          <w:sz w:val="21"/>
          <w:szCs w:val="21"/>
          <w:highlight w:val="none"/>
        </w:rPr>
        <w:fldChar w:fldCharType="end"/>
      </w:r>
      <w:r>
        <w:rPr>
          <w:rStyle w:val="31"/>
          <w:rFonts w:hint="eastAsia" w:ascii="Times New Roman" w:hAnsi="Times New Roman"/>
          <w:color w:val="auto"/>
          <w:sz w:val="21"/>
          <w:szCs w:val="21"/>
          <w:highlight w:val="none"/>
        </w:rPr>
        <w:t>。</w:t>
      </w:r>
      <w:r>
        <w:rPr>
          <w:rStyle w:val="31"/>
          <w:rFonts w:ascii="Times New Roman" w:hAnsi="Times New Roman"/>
          <w:color w:val="auto"/>
          <w:sz w:val="21"/>
          <w:szCs w:val="21"/>
          <w:highlight w:val="none"/>
        </w:rPr>
        <w:t xml:space="preserve"> </w:t>
      </w:r>
    </w:p>
    <w:p w14:paraId="1ADAA8D9">
      <w:pPr>
        <w:pStyle w:val="26"/>
        <w:widowControl w:val="0"/>
        <w:numPr>
          <w:ilvl w:val="0"/>
          <w:numId w:val="1"/>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响应文件开启</w:t>
      </w:r>
    </w:p>
    <w:p w14:paraId="6F224F9C">
      <w:pPr>
        <w:pStyle w:val="26"/>
        <w:spacing w:before="0" w:beforeAutospacing="0" w:after="0" w:afterAutospacing="0" w:line="360" w:lineRule="auto"/>
        <w:ind w:firstLine="420" w:firstLineChars="200"/>
        <w:rPr>
          <w:rFonts w:hint="eastAsia"/>
          <w:color w:val="auto"/>
          <w:sz w:val="21"/>
          <w:szCs w:val="21"/>
          <w:highlight w:val="none"/>
        </w:rPr>
      </w:pPr>
      <w:r>
        <w:rPr>
          <w:color w:val="auto"/>
          <w:sz w:val="21"/>
          <w:szCs w:val="21"/>
          <w:highlight w:val="none"/>
        </w:rPr>
        <w:t>1.</w:t>
      </w:r>
      <w:r>
        <w:rPr>
          <w:rFonts w:hint="eastAsia"/>
          <w:color w:val="auto"/>
          <w:sz w:val="21"/>
          <w:szCs w:val="21"/>
          <w:highlight w:val="none"/>
        </w:rPr>
        <w:t>开启时间：</w:t>
      </w:r>
      <w:r>
        <w:rPr>
          <w:color w:val="auto"/>
          <w:sz w:val="21"/>
          <w:szCs w:val="21"/>
          <w:highlight w:val="none"/>
          <w:u w:val="single"/>
        </w:rPr>
        <w:t> </w:t>
      </w:r>
      <w:r>
        <w:rPr>
          <w:rFonts w:hint="eastAsia"/>
          <w:color w:val="auto"/>
          <w:sz w:val="21"/>
          <w:szCs w:val="21"/>
          <w:highlight w:val="none"/>
          <w:u w:val="single"/>
          <w:lang w:eastAsia="zh-CN"/>
        </w:rPr>
        <w:t>2025年  月  日</w:t>
      </w:r>
      <w:r>
        <w:rPr>
          <w:color w:val="auto"/>
          <w:sz w:val="21"/>
          <w:szCs w:val="21"/>
          <w:highlight w:val="none"/>
          <w:u w:val="single"/>
        </w:rPr>
        <w:t>09:00 </w:t>
      </w:r>
    </w:p>
    <w:p w14:paraId="02575F2B">
      <w:pPr>
        <w:pStyle w:val="26"/>
        <w:spacing w:before="0" w:beforeAutospacing="0" w:after="0" w:afterAutospacing="0" w:line="360" w:lineRule="auto"/>
        <w:ind w:firstLine="420" w:firstLineChars="200"/>
        <w:rPr>
          <w:rFonts w:hint="eastAsia"/>
          <w:color w:val="auto"/>
          <w:sz w:val="21"/>
          <w:szCs w:val="21"/>
          <w:highlight w:val="none"/>
        </w:rPr>
      </w:pPr>
      <w:r>
        <w:rPr>
          <w:color w:val="auto"/>
          <w:sz w:val="21"/>
          <w:szCs w:val="21"/>
          <w:highlight w:val="none"/>
        </w:rPr>
        <w:t>2.</w:t>
      </w:r>
      <w:r>
        <w:rPr>
          <w:rFonts w:hint="eastAsia"/>
          <w:color w:val="auto"/>
          <w:sz w:val="21"/>
          <w:szCs w:val="21"/>
          <w:highlight w:val="none"/>
        </w:rPr>
        <w:t>地点（网址）：</w:t>
      </w:r>
      <w:r>
        <w:rPr>
          <w:rFonts w:hint="eastAsia"/>
          <w:color w:val="auto"/>
          <w:sz w:val="21"/>
          <w:szCs w:val="21"/>
          <w:highlight w:val="none"/>
          <w:u w:val="single"/>
        </w:rPr>
        <w:t>浙江聚信工程管理有限公司开标室（仙居县光明西路</w:t>
      </w:r>
      <w:r>
        <w:rPr>
          <w:color w:val="auto"/>
          <w:sz w:val="21"/>
          <w:szCs w:val="21"/>
          <w:highlight w:val="none"/>
          <w:u w:val="single"/>
        </w:rPr>
        <w:t>434</w:t>
      </w:r>
      <w:r>
        <w:rPr>
          <w:rFonts w:hint="eastAsia"/>
          <w:color w:val="auto"/>
          <w:sz w:val="21"/>
          <w:szCs w:val="21"/>
          <w:highlight w:val="none"/>
          <w:u w:val="single"/>
        </w:rPr>
        <w:t>号）。投标人无需在开标当天到达开标现场，但须准时在线（政府采购云平台</w:t>
      </w:r>
      <w:r>
        <w:rPr>
          <w:color w:val="auto"/>
          <w:sz w:val="21"/>
          <w:szCs w:val="21"/>
          <w:highlight w:val="none"/>
          <w:u w:val="single"/>
        </w:rPr>
        <w:t>https://www.zcygov.cn</w:t>
      </w:r>
      <w:r>
        <w:rPr>
          <w:rFonts w:hint="eastAsia"/>
          <w:color w:val="auto"/>
          <w:sz w:val="21"/>
          <w:szCs w:val="21"/>
          <w:highlight w:val="none"/>
          <w:u w:val="single"/>
        </w:rPr>
        <w:t>）参加，直至项目开评标结束。</w:t>
      </w:r>
      <w:r>
        <w:rPr>
          <w:color w:val="auto"/>
          <w:sz w:val="21"/>
          <w:szCs w:val="21"/>
          <w:highlight w:val="none"/>
          <w:u w:val="single"/>
        </w:rPr>
        <w:t> </w:t>
      </w:r>
    </w:p>
    <w:p w14:paraId="624D0412">
      <w:pPr>
        <w:pStyle w:val="26"/>
        <w:widowControl w:val="0"/>
        <w:numPr>
          <w:ilvl w:val="0"/>
          <w:numId w:val="1"/>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公告期限</w:t>
      </w:r>
    </w:p>
    <w:p w14:paraId="4A58C8D1">
      <w:pPr>
        <w:pStyle w:val="26"/>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自本公告发布之日起</w:t>
      </w:r>
      <w:r>
        <w:rPr>
          <w:color w:val="auto"/>
          <w:sz w:val="21"/>
          <w:szCs w:val="21"/>
          <w:highlight w:val="none"/>
        </w:rPr>
        <w:t>3</w:t>
      </w:r>
      <w:r>
        <w:rPr>
          <w:rFonts w:hint="eastAsia"/>
          <w:color w:val="auto"/>
          <w:sz w:val="21"/>
          <w:szCs w:val="21"/>
          <w:highlight w:val="none"/>
        </w:rPr>
        <w:t>个工作日。</w:t>
      </w:r>
    </w:p>
    <w:p w14:paraId="2B72B929">
      <w:pPr>
        <w:pStyle w:val="26"/>
        <w:widowControl w:val="0"/>
        <w:numPr>
          <w:ilvl w:val="0"/>
          <w:numId w:val="1"/>
        </w:numPr>
        <w:spacing w:before="0" w:beforeAutospacing="0" w:after="0" w:afterAutospacing="0" w:line="360" w:lineRule="auto"/>
        <w:ind w:left="0" w:firstLine="420"/>
        <w:jc w:val="both"/>
        <w:rPr>
          <w:rFonts w:hint="eastAsia"/>
          <w:color w:val="auto"/>
          <w:sz w:val="21"/>
          <w:szCs w:val="21"/>
          <w:highlight w:val="none"/>
        </w:rPr>
      </w:pPr>
      <w:r>
        <w:rPr>
          <w:rFonts w:hint="eastAsia" w:cs="宋体"/>
          <w:b/>
          <w:color w:val="auto"/>
          <w:kern w:val="2"/>
          <w:sz w:val="21"/>
          <w:szCs w:val="21"/>
          <w:highlight w:val="none"/>
        </w:rPr>
        <w:t>其他补充事宜</w:t>
      </w:r>
    </w:p>
    <w:p w14:paraId="509C5662">
      <w:pPr>
        <w:pStyle w:val="26"/>
        <w:numPr>
          <w:ilvl w:val="0"/>
          <w:numId w:val="2"/>
        </w:numPr>
        <w:spacing w:before="0" w:beforeAutospacing="0" w:after="0" w:afterAutospacing="0" w:line="360" w:lineRule="auto"/>
        <w:ind w:firstLine="420" w:firstLineChars="200"/>
        <w:rPr>
          <w:rFonts w:hint="eastAsia"/>
          <w:color w:val="auto"/>
          <w:sz w:val="21"/>
          <w:szCs w:val="21"/>
          <w:highlight w:val="none"/>
        </w:rPr>
      </w:pPr>
      <w:r>
        <w:rPr>
          <w:rFonts w:hint="eastAsia"/>
          <w:color w:val="auto"/>
          <w:sz w:val="21"/>
          <w:szCs w:val="21"/>
          <w:highlight w:val="none"/>
        </w:rPr>
        <w:t>供应商认为采购文件、采购过程和采购结果使自己的权益受到损害的，可以在知道或者应知其权益受到损害之日起七个工作日内，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color w:val="auto"/>
          <w:sz w:val="21"/>
          <w:szCs w:val="21"/>
          <w:highlight w:val="none"/>
        </w:rPr>
        <w:t xml:space="preserve"> </w:t>
      </w:r>
    </w:p>
    <w:p w14:paraId="328C903E">
      <w:pPr>
        <w:pStyle w:val="26"/>
        <w:numPr>
          <w:ilvl w:val="0"/>
          <w:numId w:val="2"/>
        </w:numPr>
        <w:spacing w:before="0" w:beforeAutospacing="0" w:after="0" w:afterAutospacing="0" w:line="360" w:lineRule="auto"/>
        <w:ind w:firstLine="422" w:firstLineChars="200"/>
        <w:rPr>
          <w:rFonts w:hint="eastAsia"/>
          <w:b/>
          <w:bCs/>
          <w:color w:val="auto"/>
          <w:sz w:val="21"/>
          <w:szCs w:val="21"/>
          <w:highlight w:val="none"/>
        </w:rPr>
      </w:pPr>
      <w:r>
        <w:rPr>
          <w:rFonts w:hint="eastAsia"/>
          <w:b/>
          <w:bCs/>
          <w:color w:val="auto"/>
          <w:sz w:val="21"/>
          <w:szCs w:val="21"/>
          <w:highlight w:val="none"/>
        </w:rPr>
        <w:t>在线响应（电子交易）说明</w:t>
      </w:r>
    </w:p>
    <w:p w14:paraId="4E100919">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）本项目实行电子交易，电子交易具体流程详见操作指南：登录政府采购云平台（</w:t>
      </w:r>
      <w:r>
        <w:rPr>
          <w:rFonts w:ascii="宋体" w:hAnsi="宋体" w:cs="宋体"/>
          <w:color w:val="auto"/>
          <w:kern w:val="0"/>
          <w:szCs w:val="21"/>
          <w:highlight w:val="none"/>
        </w:rPr>
        <w:t>www.zcygov.cn</w:t>
      </w:r>
      <w:r>
        <w:rPr>
          <w:rFonts w:hint="eastAsia" w:ascii="宋体" w:hAnsi="宋体" w:cs="宋体"/>
          <w:color w:val="auto"/>
          <w:kern w:val="0"/>
          <w:szCs w:val="21"/>
          <w:highlight w:val="none"/>
        </w:rPr>
        <w:t>），从首页</w:t>
      </w:r>
      <w:r>
        <w:rPr>
          <w:rFonts w:ascii="宋体" w:cs="宋体"/>
          <w:color w:val="auto"/>
          <w:kern w:val="0"/>
          <w:szCs w:val="21"/>
          <w:highlight w:val="none"/>
        </w:rPr>
        <w:t>-</w:t>
      </w:r>
      <w:r>
        <w:rPr>
          <w:rFonts w:hint="eastAsia" w:ascii="宋体" w:hAnsi="宋体" w:cs="宋体"/>
          <w:color w:val="auto"/>
          <w:kern w:val="0"/>
          <w:szCs w:val="21"/>
          <w:highlight w:val="none"/>
        </w:rPr>
        <w:t>服务中心</w:t>
      </w:r>
      <w:r>
        <w:rPr>
          <w:rFonts w:ascii="宋体" w:cs="宋体"/>
          <w:color w:val="auto"/>
          <w:kern w:val="0"/>
          <w:szCs w:val="21"/>
          <w:highlight w:val="none"/>
        </w:rPr>
        <w:t>-</w:t>
      </w:r>
      <w:r>
        <w:rPr>
          <w:rFonts w:hint="eastAsia" w:ascii="宋体" w:hAnsi="宋体" w:cs="宋体"/>
          <w:color w:val="auto"/>
          <w:kern w:val="0"/>
          <w:szCs w:val="21"/>
          <w:highlight w:val="none"/>
        </w:rPr>
        <w:t>帮助文档</w:t>
      </w:r>
      <w:r>
        <w:rPr>
          <w:rFonts w:ascii="宋体" w:cs="宋体"/>
          <w:color w:val="auto"/>
          <w:kern w:val="0"/>
          <w:szCs w:val="21"/>
          <w:highlight w:val="none"/>
        </w:rPr>
        <w:t>-</w:t>
      </w:r>
      <w:r>
        <w:rPr>
          <w:rFonts w:hint="eastAsia" w:ascii="宋体" w:hAnsi="宋体" w:cs="宋体"/>
          <w:color w:val="auto"/>
          <w:kern w:val="0"/>
          <w:szCs w:val="21"/>
          <w:highlight w:val="none"/>
        </w:rPr>
        <w:t>项目采购</w:t>
      </w:r>
      <w:r>
        <w:rPr>
          <w:rFonts w:ascii="宋体" w:cs="宋体"/>
          <w:color w:val="auto"/>
          <w:kern w:val="0"/>
          <w:szCs w:val="21"/>
          <w:highlight w:val="none"/>
        </w:rPr>
        <w:t>-</w:t>
      </w:r>
      <w:r>
        <w:rPr>
          <w:rFonts w:hint="eastAsia" w:ascii="宋体" w:hAnsi="宋体" w:cs="宋体"/>
          <w:color w:val="auto"/>
          <w:kern w:val="0"/>
          <w:szCs w:val="21"/>
          <w:highlight w:val="none"/>
        </w:rPr>
        <w:t>电子招投标，查看文档和视频。供应商在使用系统进行投标的过程中遇到涉及平台使用的任何问题，可致电政采云平台技术支持热线咨询，联系方式：</w:t>
      </w:r>
      <w:r>
        <w:rPr>
          <w:rFonts w:ascii="宋体" w:hAnsi="宋体" w:cs="宋体"/>
          <w:color w:val="auto"/>
          <w:kern w:val="0"/>
          <w:szCs w:val="21"/>
          <w:highlight w:val="none"/>
        </w:rPr>
        <w:t>400-881-7190</w:t>
      </w:r>
      <w:r>
        <w:rPr>
          <w:rFonts w:hint="eastAsia" w:ascii="宋体" w:hAnsi="宋体" w:cs="宋体"/>
          <w:color w:val="auto"/>
          <w:kern w:val="0"/>
          <w:szCs w:val="21"/>
          <w:highlight w:val="none"/>
        </w:rPr>
        <w:t>。</w:t>
      </w:r>
    </w:p>
    <w:p w14:paraId="7FB725FE">
      <w:pPr>
        <w:spacing w:line="360" w:lineRule="auto"/>
        <w:ind w:firstLine="42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）供应商应在开标前完成</w:t>
      </w:r>
      <w:r>
        <w:rPr>
          <w:rFonts w:ascii="宋体" w:hAnsi="宋体" w:cs="宋体"/>
          <w:color w:val="auto"/>
          <w:kern w:val="0"/>
          <w:szCs w:val="21"/>
          <w:highlight w:val="none"/>
        </w:rPr>
        <w:t>CA</w:t>
      </w:r>
      <w:r>
        <w:rPr>
          <w:rFonts w:hint="eastAsia" w:ascii="宋体" w:hAnsi="宋体" w:cs="宋体"/>
          <w:color w:val="auto"/>
          <w:kern w:val="0"/>
          <w:szCs w:val="21"/>
          <w:highlight w:val="none"/>
        </w:rPr>
        <w:t>数字证书办理（已经办理</w:t>
      </w:r>
      <w:r>
        <w:rPr>
          <w:rFonts w:ascii="宋体" w:hAnsi="宋体" w:cs="宋体"/>
          <w:color w:val="auto"/>
          <w:kern w:val="0"/>
          <w:szCs w:val="21"/>
          <w:highlight w:val="none"/>
        </w:rPr>
        <w:t>CA</w:t>
      </w:r>
      <w:r>
        <w:rPr>
          <w:rFonts w:hint="eastAsia" w:ascii="宋体" w:hAnsi="宋体" w:cs="宋体"/>
          <w:color w:val="auto"/>
          <w:kern w:val="0"/>
          <w:szCs w:val="21"/>
          <w:highlight w:val="none"/>
        </w:rPr>
        <w:t>锁的须注意有效期限，办理流程详见</w:t>
      </w:r>
      <w:r>
        <w:rPr>
          <w:rFonts w:ascii="宋体" w:hAnsi="宋体" w:cs="宋体"/>
          <w:color w:val="auto"/>
          <w:kern w:val="0"/>
          <w:szCs w:val="21"/>
          <w:highlight w:val="none"/>
        </w:rPr>
        <w:t>http://zfcg.czt.zj.gov.cn/bidClientTemplate/2019-05-27/12945.html</w:t>
      </w:r>
      <w:r>
        <w:rPr>
          <w:rFonts w:hint="eastAsia" w:ascii="宋体" w:hAnsi="宋体" w:cs="宋体"/>
          <w:color w:val="auto"/>
          <w:kern w:val="0"/>
          <w:szCs w:val="21"/>
          <w:highlight w:val="none"/>
        </w:rPr>
        <w:t>）。完成</w:t>
      </w:r>
      <w:r>
        <w:rPr>
          <w:rFonts w:ascii="宋体" w:hAnsi="宋体" w:cs="宋体"/>
          <w:color w:val="auto"/>
          <w:kern w:val="0"/>
          <w:szCs w:val="21"/>
          <w:highlight w:val="none"/>
        </w:rPr>
        <w:t>CA</w:t>
      </w:r>
      <w:r>
        <w:rPr>
          <w:rFonts w:hint="eastAsia" w:ascii="宋体" w:hAnsi="宋体" w:cs="宋体"/>
          <w:color w:val="auto"/>
          <w:kern w:val="0"/>
          <w:szCs w:val="21"/>
          <w:highlight w:val="none"/>
        </w:rPr>
        <w:t>数字证书办理预计一周左右，建议各供应商抓紧时间办理，如有</w:t>
      </w:r>
      <w:r>
        <w:rPr>
          <w:rFonts w:ascii="宋体" w:hAnsi="宋体" w:cs="宋体"/>
          <w:color w:val="auto"/>
          <w:kern w:val="0"/>
          <w:szCs w:val="21"/>
          <w:highlight w:val="none"/>
        </w:rPr>
        <w:t>CA</w:t>
      </w:r>
      <w:r>
        <w:rPr>
          <w:rFonts w:hint="eastAsia" w:ascii="宋体" w:hAnsi="宋体" w:cs="宋体"/>
          <w:color w:val="auto"/>
          <w:kern w:val="0"/>
          <w:szCs w:val="21"/>
          <w:highlight w:val="none"/>
        </w:rPr>
        <w:t>锁办理问题可联系客服</w:t>
      </w:r>
      <w:r>
        <w:rPr>
          <w:rFonts w:ascii="宋体" w:hAnsi="宋体" w:cs="宋体"/>
          <w:color w:val="auto"/>
          <w:kern w:val="0"/>
          <w:szCs w:val="21"/>
          <w:highlight w:val="none"/>
        </w:rPr>
        <w:t>400-881-7190</w:t>
      </w:r>
      <w:r>
        <w:rPr>
          <w:rFonts w:hint="eastAsia" w:ascii="宋体" w:hAnsi="宋体" w:cs="宋体"/>
          <w:color w:val="auto"/>
          <w:kern w:val="0"/>
          <w:szCs w:val="21"/>
          <w:highlight w:val="none"/>
        </w:rPr>
        <w:t>。</w:t>
      </w:r>
    </w:p>
    <w:p w14:paraId="6C1B4C35">
      <w:pPr>
        <w:spacing w:line="360" w:lineRule="auto"/>
        <w:ind w:firstLine="420"/>
        <w:jc w:val="distribute"/>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）供应商通过政采云平台电子投标工具（政采云电子交易客户端）编制响应文件，电子投标工具请投标供应商自行前往浙江省政府采购网下载并安装（下载网址：</w:t>
      </w:r>
      <w:r>
        <w:rPr>
          <w:color w:val="auto"/>
          <w:highlight w:val="none"/>
        </w:rPr>
        <w:fldChar w:fldCharType="begin"/>
      </w:r>
      <w:r>
        <w:rPr>
          <w:color w:val="auto"/>
          <w:highlight w:val="none"/>
        </w:rPr>
        <w:instrText xml:space="preserve"> HYPERLINK "http://zfcg.czt.zj.gov.cn/bidClientTemplate/2019-09-24/12975.html），有关电子投标具体流程可以进入政府采购云平台服务中心（https:/service.zcygov.cn/" \l "/）搜寻相关内容或咨询政采云平台客服。" </w:instrText>
      </w:r>
      <w:r>
        <w:rPr>
          <w:color w:val="auto"/>
          <w:highlight w:val="none"/>
        </w:rPr>
        <w:fldChar w:fldCharType="separate"/>
      </w:r>
      <w:r>
        <w:rPr>
          <w:rStyle w:val="31"/>
          <w:rFonts w:ascii="宋体" w:hAnsi="宋体" w:cs="宋体"/>
          <w:color w:val="auto"/>
          <w:kern w:val="0"/>
          <w:szCs w:val="21"/>
          <w:highlight w:val="none"/>
        </w:rPr>
        <w:t>http://zfcg.czt.zj.gov.cn/bidClientTemplate/2019-09-24/12975.html</w:t>
      </w:r>
      <w:r>
        <w:rPr>
          <w:rStyle w:val="31"/>
          <w:rFonts w:hint="eastAsia" w:ascii="宋体" w:hAnsi="宋体" w:cs="宋体"/>
          <w:color w:val="auto"/>
          <w:kern w:val="0"/>
          <w:szCs w:val="21"/>
          <w:highlight w:val="none"/>
        </w:rPr>
        <w:t>）。</w:t>
      </w:r>
      <w:r>
        <w:rPr>
          <w:rStyle w:val="31"/>
          <w:rFonts w:hint="eastAsia" w:ascii="宋体" w:hAnsi="宋体" w:cs="宋体"/>
          <w:color w:val="auto"/>
          <w:kern w:val="0"/>
          <w:szCs w:val="21"/>
          <w:highlight w:val="none"/>
        </w:rPr>
        <w:fldChar w:fldCharType="end"/>
      </w:r>
    </w:p>
    <w:p w14:paraId="56623669">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政采云平台拒收。</w:t>
      </w:r>
    </w:p>
    <w:p w14:paraId="4DD08FD0">
      <w:pPr>
        <w:pStyle w:val="26"/>
        <w:numPr>
          <w:ilvl w:val="0"/>
          <w:numId w:val="2"/>
        </w:numPr>
        <w:spacing w:before="0" w:beforeAutospacing="0" w:after="0" w:afterAutospacing="0" w:line="360" w:lineRule="auto"/>
        <w:ind w:firstLine="422" w:firstLineChars="200"/>
        <w:rPr>
          <w:rFonts w:hint="eastAsia"/>
          <w:b/>
          <w:bCs/>
          <w:color w:val="auto"/>
          <w:sz w:val="21"/>
          <w:szCs w:val="21"/>
          <w:highlight w:val="none"/>
        </w:rPr>
      </w:pPr>
      <w:r>
        <w:rPr>
          <w:rFonts w:hint="eastAsia"/>
          <w:b/>
          <w:bCs/>
          <w:color w:val="auto"/>
          <w:sz w:val="21"/>
          <w:szCs w:val="21"/>
          <w:highlight w:val="none"/>
        </w:rPr>
        <w:t>其他事项</w:t>
      </w:r>
      <w:r>
        <w:rPr>
          <w:b/>
          <w:bCs/>
          <w:color w:val="auto"/>
          <w:sz w:val="21"/>
          <w:szCs w:val="21"/>
          <w:highlight w:val="none"/>
        </w:rPr>
        <w:t xml:space="preserve">  </w:t>
      </w:r>
    </w:p>
    <w:p w14:paraId="390D87FC">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）成交供应商应在合同签订前完成政府采购云平台（</w:t>
      </w:r>
      <w:r>
        <w:rPr>
          <w:rFonts w:ascii="宋体" w:hAnsi="宋体" w:cs="宋体"/>
          <w:color w:val="auto"/>
          <w:kern w:val="0"/>
          <w:szCs w:val="21"/>
          <w:highlight w:val="none"/>
        </w:rPr>
        <w:t>https://www.zcygov.cn/</w:t>
      </w:r>
      <w:r>
        <w:rPr>
          <w:rFonts w:hint="eastAsia" w:ascii="宋体" w:hAnsi="宋体" w:cs="宋体"/>
          <w:color w:val="auto"/>
          <w:kern w:val="0"/>
          <w:szCs w:val="21"/>
          <w:highlight w:val="none"/>
        </w:rPr>
        <w:t>）全部注册步骤并成为正式注册入库供应商，否则将导致合同款无法正常支付，责任由成交供应商承担。“浙江省政府采购供应商”注册事宜详见浙江省政府采购网官网介绍，客服、技术支持：</w:t>
      </w:r>
      <w:r>
        <w:rPr>
          <w:rFonts w:ascii="宋体" w:hAnsi="宋体" w:cs="宋体"/>
          <w:color w:val="auto"/>
          <w:kern w:val="0"/>
          <w:szCs w:val="21"/>
          <w:highlight w:val="none"/>
        </w:rPr>
        <w:t>400-881-7190</w:t>
      </w:r>
      <w:r>
        <w:rPr>
          <w:rFonts w:hint="eastAsia" w:ascii="宋体" w:hAnsi="宋体" w:cs="宋体"/>
          <w:color w:val="auto"/>
          <w:kern w:val="0"/>
          <w:szCs w:val="21"/>
          <w:highlight w:val="none"/>
        </w:rPr>
        <w:t>。</w:t>
      </w:r>
    </w:p>
    <w:p w14:paraId="252FB5FC">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）本项目相关公告发布网站：“浙江省政府采购网”（</w:t>
      </w:r>
      <w:r>
        <w:rPr>
          <w:rFonts w:ascii="宋体" w:hAnsi="宋体" w:cs="宋体"/>
          <w:color w:val="auto"/>
          <w:kern w:val="0"/>
          <w:szCs w:val="21"/>
          <w:highlight w:val="none"/>
        </w:rPr>
        <w:t>http://zfcg.czt.zj.gov.cn</w:t>
      </w:r>
      <w:r>
        <w:rPr>
          <w:rFonts w:hint="eastAsia" w:ascii="宋体" w:hAnsi="宋体" w:cs="宋体"/>
          <w:color w:val="auto"/>
          <w:kern w:val="0"/>
          <w:szCs w:val="21"/>
          <w:highlight w:val="none"/>
        </w:rPr>
        <w:t>）和“仙居县公共资源交易网”（</w:t>
      </w:r>
      <w:r>
        <w:rPr>
          <w:rFonts w:ascii="宋体" w:hAnsi="宋体" w:cs="宋体"/>
          <w:color w:val="auto"/>
          <w:kern w:val="0"/>
          <w:szCs w:val="21"/>
          <w:highlight w:val="none"/>
        </w:rPr>
        <w:t xml:space="preserve"> </w:t>
      </w:r>
      <w:r>
        <w:rPr>
          <w:color w:val="auto"/>
          <w:highlight w:val="none"/>
        </w:rPr>
        <w:fldChar w:fldCharType="begin"/>
      </w:r>
      <w:r>
        <w:rPr>
          <w:color w:val="auto"/>
          <w:highlight w:val="none"/>
        </w:rPr>
        <w:instrText xml:space="preserve"> HYPERLINK "http://www.xjztb.cn" </w:instrText>
      </w:r>
      <w:r>
        <w:rPr>
          <w:color w:val="auto"/>
          <w:highlight w:val="none"/>
        </w:rPr>
        <w:fldChar w:fldCharType="separate"/>
      </w:r>
      <w:r>
        <w:rPr>
          <w:rStyle w:val="31"/>
          <w:rFonts w:ascii="宋体" w:hAnsi="宋体" w:cs="宋体"/>
          <w:color w:val="auto"/>
          <w:kern w:val="0"/>
          <w:szCs w:val="21"/>
          <w:highlight w:val="none"/>
        </w:rPr>
        <w:t>http://www.zjxj.gov.cn/col/col1229347417/index.html</w:t>
      </w:r>
      <w:r>
        <w:rPr>
          <w:rStyle w:val="31"/>
          <w:rFonts w:ascii="宋体" w:hAnsi="宋体" w:cs="宋体"/>
          <w:color w:val="auto"/>
          <w:kern w:val="0"/>
          <w:szCs w:val="21"/>
          <w:highlight w:val="none"/>
        </w:rPr>
        <w:fldChar w:fldCharType="end"/>
      </w:r>
      <w:r>
        <w:rPr>
          <w:rFonts w:hint="eastAsia" w:ascii="宋体" w:hAnsi="宋体" w:cs="宋体"/>
          <w:color w:val="auto"/>
          <w:kern w:val="0"/>
          <w:szCs w:val="21"/>
          <w:highlight w:val="none"/>
        </w:rPr>
        <w:t>）。</w:t>
      </w:r>
    </w:p>
    <w:p w14:paraId="5772C95E">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）供应商如在采购代理机构发布本项目更正、补充或澄清公告前获取采购文件的，请自行登录相关网站查看更正、补充或澄清公告内容，采购代理机构不再就上述内容作出书面通知。</w:t>
      </w:r>
    </w:p>
    <w:p w14:paraId="3A834A7D">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）中标结果公告发出后，采购监管部门如发现供应商出现投标硬件异常的，若查证后存在违法事实的，将取消该供应商的中标资格，剩余供应商达</w:t>
      </w:r>
      <w:r>
        <w:rPr>
          <w:rFonts w:ascii="宋体" w:hAnsi="宋体" w:cs="宋体"/>
          <w:color w:val="auto"/>
          <w:kern w:val="0"/>
          <w:szCs w:val="21"/>
          <w:highlight w:val="none"/>
        </w:rPr>
        <w:t>3</w:t>
      </w:r>
      <w:r>
        <w:rPr>
          <w:rFonts w:hint="eastAsia" w:ascii="宋体" w:hAnsi="宋体" w:cs="宋体"/>
          <w:color w:val="auto"/>
          <w:kern w:val="0"/>
          <w:szCs w:val="21"/>
          <w:highlight w:val="none"/>
        </w:rPr>
        <w:t>家及以上的，由采购人决定是否按中标顺位替补；不足</w:t>
      </w:r>
      <w:r>
        <w:rPr>
          <w:rFonts w:ascii="宋体" w:hAnsi="宋体" w:cs="宋体"/>
          <w:color w:val="auto"/>
          <w:kern w:val="0"/>
          <w:szCs w:val="21"/>
          <w:highlight w:val="none"/>
        </w:rPr>
        <w:t>3</w:t>
      </w:r>
      <w:r>
        <w:rPr>
          <w:rFonts w:hint="eastAsia" w:ascii="宋体" w:hAnsi="宋体" w:cs="宋体"/>
          <w:color w:val="auto"/>
          <w:kern w:val="0"/>
          <w:szCs w:val="21"/>
          <w:highlight w:val="none"/>
        </w:rPr>
        <w:t>家的，该项目作废标处理。</w:t>
      </w:r>
    </w:p>
    <w:p w14:paraId="0E70F79F">
      <w:pPr>
        <w:spacing w:line="360" w:lineRule="auto"/>
        <w:ind w:firstLine="420"/>
        <w:rPr>
          <w:rFonts w:asci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《浙江省财政厅关于进一步发挥政府采购政策功能全力推动经济稳进提质的通知》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（浙财采监（</w:t>
      </w:r>
      <w:r>
        <w:rPr>
          <w:rFonts w:ascii="宋体" w:hAnsi="宋体" w:cs="宋体"/>
          <w:color w:val="auto"/>
          <w:kern w:val="0"/>
          <w:szCs w:val="21"/>
          <w:highlight w:val="none"/>
        </w:rPr>
        <w:t>2023</w:t>
      </w: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号）、《浙江省财政厅关于进一步促进政府采购公平竞争打造最优营商环境的通知》（浙财采监（</w:t>
      </w:r>
      <w:r>
        <w:rPr>
          <w:rFonts w:ascii="宋体" w:hAnsi="宋体" w:cs="宋体"/>
          <w:color w:val="auto"/>
          <w:kern w:val="0"/>
          <w:szCs w:val="21"/>
          <w:highlight w:val="none"/>
        </w:rPr>
        <w:t>2021</w:t>
      </w:r>
      <w:r>
        <w:rPr>
          <w:rFonts w:hint="eastAsia" w:ascii="宋体" w:hAnsi="宋体" w:cs="宋体"/>
          <w:color w:val="auto"/>
          <w:kern w:val="0"/>
          <w:szCs w:val="21"/>
          <w:highlight w:val="none"/>
        </w:rPr>
        <w:t>）</w:t>
      </w:r>
      <w:r>
        <w:rPr>
          <w:rFonts w:ascii="宋体" w:hAnsi="宋体" w:cs="宋体"/>
          <w:color w:val="auto"/>
          <w:kern w:val="0"/>
          <w:szCs w:val="21"/>
          <w:highlight w:val="none"/>
        </w:rPr>
        <w:t>22</w:t>
      </w:r>
      <w:r>
        <w:rPr>
          <w:rFonts w:hint="eastAsia" w:ascii="宋体" w:hAnsi="宋体" w:cs="宋体"/>
          <w:color w:val="auto"/>
          <w:kern w:val="0"/>
          <w:szCs w:val="21"/>
          <w:highlight w:val="none"/>
        </w:rPr>
        <w:t>号）已分别于</w:t>
      </w:r>
      <w:r>
        <w:rPr>
          <w:rFonts w:ascii="宋体" w:hAnsi="宋体" w:cs="宋体"/>
          <w:color w:val="auto"/>
          <w:kern w:val="0"/>
          <w:szCs w:val="21"/>
          <w:highlight w:val="none"/>
        </w:rPr>
        <w:t>2023</w:t>
      </w:r>
      <w:r>
        <w:rPr>
          <w:rFonts w:hint="eastAsia" w:ascii="宋体" w:hAnsi="宋体" w:cs="宋体"/>
          <w:color w:val="auto"/>
          <w:kern w:val="0"/>
          <w:szCs w:val="21"/>
          <w:highlight w:val="none"/>
        </w:rPr>
        <w:t>年</w:t>
      </w:r>
      <w:r>
        <w:rPr>
          <w:rFonts w:ascii="宋体" w:hAnsi="宋体" w:cs="宋体"/>
          <w:color w:val="auto"/>
          <w:kern w:val="0"/>
          <w:szCs w:val="21"/>
          <w:highlight w:val="none"/>
        </w:rPr>
        <w:t>1</w:t>
      </w:r>
      <w:r>
        <w:rPr>
          <w:rFonts w:hint="eastAsia" w:ascii="宋体" w:hAnsi="宋体" w:cs="宋体"/>
          <w:color w:val="auto"/>
          <w:kern w:val="0"/>
          <w:szCs w:val="21"/>
          <w:highlight w:val="none"/>
        </w:rPr>
        <w:t>月</w:t>
      </w:r>
      <w:r>
        <w:rPr>
          <w:rFonts w:ascii="宋体" w:hAnsi="宋体" w:cs="宋体"/>
          <w:color w:val="auto"/>
          <w:kern w:val="0"/>
          <w:szCs w:val="21"/>
          <w:highlight w:val="none"/>
        </w:rPr>
        <w:t>29</w:t>
      </w:r>
      <w:r>
        <w:rPr>
          <w:rFonts w:hint="eastAsia" w:ascii="宋体" w:hAnsi="宋体" w:cs="宋体"/>
          <w:color w:val="auto"/>
          <w:kern w:val="0"/>
          <w:szCs w:val="21"/>
          <w:highlight w:val="none"/>
        </w:rPr>
        <w:t>日和</w:t>
      </w:r>
      <w:r>
        <w:rPr>
          <w:rFonts w:ascii="宋体" w:hAnsi="宋体" w:cs="宋体"/>
          <w:color w:val="auto"/>
          <w:kern w:val="0"/>
          <w:szCs w:val="21"/>
          <w:highlight w:val="none"/>
        </w:rPr>
        <w:t>2023</w:t>
      </w:r>
      <w:r>
        <w:rPr>
          <w:rFonts w:hint="eastAsia" w:ascii="宋体" w:hAnsi="宋体" w:cs="宋体"/>
          <w:color w:val="auto"/>
          <w:kern w:val="0"/>
          <w:szCs w:val="21"/>
          <w:highlight w:val="none"/>
        </w:rPr>
        <w:t>年</w:t>
      </w:r>
      <w:r>
        <w:rPr>
          <w:rFonts w:ascii="宋体" w:hAnsi="宋体" w:cs="宋体"/>
          <w:color w:val="auto"/>
          <w:kern w:val="0"/>
          <w:szCs w:val="21"/>
          <w:highlight w:val="none"/>
        </w:rPr>
        <w:t>2</w:t>
      </w:r>
      <w:r>
        <w:rPr>
          <w:rFonts w:hint="eastAsia" w:ascii="宋体" w:hAnsi="宋体" w:cs="宋体"/>
          <w:color w:val="auto"/>
          <w:kern w:val="0"/>
          <w:szCs w:val="21"/>
          <w:highlight w:val="none"/>
        </w:rPr>
        <w:t>月</w:t>
      </w:r>
      <w:r>
        <w:rPr>
          <w:rFonts w:ascii="宋体" w:hAnsi="宋体" w:cs="宋体"/>
          <w:color w:val="auto"/>
          <w:kern w:val="0"/>
          <w:szCs w:val="21"/>
          <w:highlight w:val="none"/>
        </w:rPr>
        <w:t>1</w:t>
      </w:r>
      <w:r>
        <w:rPr>
          <w:rFonts w:hint="eastAsia" w:ascii="宋体" w:hAnsi="宋体" w:cs="宋体"/>
          <w:color w:val="auto"/>
          <w:kern w:val="0"/>
          <w:szCs w:val="21"/>
          <w:highlight w:val="none"/>
        </w:rPr>
        <w:t>日开始实施，此前有关规定与上述文件内容不一致的，按上述文件要求执行。</w:t>
      </w:r>
    </w:p>
    <w:p w14:paraId="7BF7009F">
      <w:pPr>
        <w:spacing w:line="360" w:lineRule="auto"/>
        <w:ind w:firstLine="420"/>
        <w:rPr>
          <w:rFonts w:asci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根据《浙江省财政厅关于进一步促进政府采购公平竞争打造最优营商环境的通知》（浙财采监（</w:t>
      </w:r>
      <w:r>
        <w:rPr>
          <w:rFonts w:ascii="宋体" w:hAnsi="宋体" w:cs="宋体"/>
          <w:color w:val="auto"/>
          <w:kern w:val="0"/>
          <w:szCs w:val="21"/>
          <w:highlight w:val="none"/>
        </w:rPr>
        <w:t>2021</w:t>
      </w:r>
      <w:r>
        <w:rPr>
          <w:rFonts w:hint="eastAsia" w:ascii="宋体" w:hAnsi="宋体" w:cs="宋体"/>
          <w:color w:val="auto"/>
          <w:kern w:val="0"/>
          <w:szCs w:val="21"/>
          <w:highlight w:val="none"/>
        </w:rPr>
        <w:t>）</w:t>
      </w:r>
      <w:r>
        <w:rPr>
          <w:rFonts w:ascii="宋体" w:hAnsi="宋体" w:cs="宋体"/>
          <w:color w:val="auto"/>
          <w:kern w:val="0"/>
          <w:szCs w:val="21"/>
          <w:highlight w:val="none"/>
        </w:rPr>
        <w:t>22</w:t>
      </w:r>
      <w:r>
        <w:rPr>
          <w:rFonts w:hint="eastAsia" w:ascii="宋体" w:hAnsi="宋体" w:cs="宋体"/>
          <w:color w:val="auto"/>
          <w:kern w:val="0"/>
          <w:szCs w:val="21"/>
          <w:highlight w:val="none"/>
        </w:rPr>
        <w:t>号）文件关于“健全行政裁决机制”要求，鼓励供应商在线提起询问，路径为：政采云</w:t>
      </w:r>
      <w:r>
        <w:rPr>
          <w:rFonts w:ascii="宋体" w:cs="宋体"/>
          <w:color w:val="auto"/>
          <w:kern w:val="0"/>
          <w:szCs w:val="21"/>
          <w:highlight w:val="none"/>
        </w:rPr>
        <w:t>-</w:t>
      </w:r>
      <w:r>
        <w:rPr>
          <w:rFonts w:hint="eastAsia" w:ascii="宋体" w:hAnsi="宋体" w:cs="宋体"/>
          <w:color w:val="auto"/>
          <w:kern w:val="0"/>
          <w:szCs w:val="21"/>
          <w:highlight w:val="none"/>
        </w:rPr>
        <w:t>项目采购</w:t>
      </w:r>
      <w:r>
        <w:rPr>
          <w:rFonts w:ascii="宋体" w:cs="宋体"/>
          <w:color w:val="auto"/>
          <w:kern w:val="0"/>
          <w:szCs w:val="21"/>
          <w:highlight w:val="none"/>
        </w:rPr>
        <w:t>-</w:t>
      </w:r>
      <w:r>
        <w:rPr>
          <w:rFonts w:hint="eastAsia" w:ascii="宋体" w:hAnsi="宋体" w:cs="宋体"/>
          <w:color w:val="auto"/>
          <w:kern w:val="0"/>
          <w:szCs w:val="21"/>
          <w:highlight w:val="none"/>
        </w:rPr>
        <w:t>询问质疑投诉</w:t>
      </w:r>
      <w:r>
        <w:rPr>
          <w:rFonts w:ascii="宋体" w:cs="宋体"/>
          <w:color w:val="auto"/>
          <w:kern w:val="0"/>
          <w:szCs w:val="21"/>
          <w:highlight w:val="none"/>
        </w:rPr>
        <w:t>-</w:t>
      </w:r>
      <w:r>
        <w:rPr>
          <w:rFonts w:hint="eastAsia" w:ascii="宋体" w:hAnsi="宋体" w:cs="宋体"/>
          <w:color w:val="auto"/>
          <w:kern w:val="0"/>
          <w:szCs w:val="21"/>
          <w:highlight w:val="none"/>
        </w:rPr>
        <w:t>询问列表</w:t>
      </w:r>
      <w:r>
        <w:rPr>
          <w:rFonts w:ascii="宋体" w:hAnsi="宋体" w:cs="宋体"/>
          <w:color w:val="auto"/>
          <w:kern w:val="0"/>
          <w:szCs w:val="21"/>
          <w:highlight w:val="none"/>
        </w:rPr>
        <w:t>:</w:t>
      </w:r>
      <w:r>
        <w:rPr>
          <w:rFonts w:hint="eastAsia" w:ascii="宋体" w:hAnsi="宋体" w:cs="宋体"/>
          <w:color w:val="auto"/>
          <w:kern w:val="0"/>
          <w:szCs w:val="21"/>
          <w:highlight w:val="none"/>
        </w:rPr>
        <w:t>鼓励供应商在线提起质疑，路径为：政采云</w:t>
      </w:r>
      <w:r>
        <w:rPr>
          <w:rFonts w:ascii="宋体" w:cs="宋体"/>
          <w:color w:val="auto"/>
          <w:kern w:val="0"/>
          <w:szCs w:val="21"/>
          <w:highlight w:val="none"/>
        </w:rPr>
        <w:t>-</w:t>
      </w:r>
      <w:r>
        <w:rPr>
          <w:rFonts w:hint="eastAsia" w:ascii="宋体" w:hAnsi="宋体" w:cs="宋体"/>
          <w:color w:val="auto"/>
          <w:kern w:val="0"/>
          <w:szCs w:val="21"/>
          <w:highlight w:val="none"/>
        </w:rPr>
        <w:t>项目采购</w:t>
      </w:r>
      <w:r>
        <w:rPr>
          <w:rFonts w:ascii="宋体" w:cs="宋体"/>
          <w:color w:val="auto"/>
          <w:kern w:val="0"/>
          <w:szCs w:val="21"/>
          <w:highlight w:val="none"/>
        </w:rPr>
        <w:t>-</w:t>
      </w:r>
      <w:r>
        <w:rPr>
          <w:rFonts w:hint="eastAsia" w:ascii="宋体" w:hAnsi="宋体" w:cs="宋体"/>
          <w:color w:val="auto"/>
          <w:kern w:val="0"/>
          <w:szCs w:val="21"/>
          <w:highlight w:val="none"/>
        </w:rPr>
        <w:t>询问质疑投诉</w:t>
      </w:r>
      <w:r>
        <w:rPr>
          <w:rFonts w:ascii="宋体" w:cs="宋体"/>
          <w:color w:val="auto"/>
          <w:kern w:val="0"/>
          <w:szCs w:val="21"/>
          <w:highlight w:val="none"/>
        </w:rPr>
        <w:t>-</w:t>
      </w:r>
      <w:r>
        <w:rPr>
          <w:rFonts w:hint="eastAsia" w:ascii="宋体" w:hAnsi="宋体" w:cs="宋体"/>
          <w:color w:val="auto"/>
          <w:kern w:val="0"/>
          <w:szCs w:val="21"/>
          <w:highlight w:val="none"/>
        </w:rPr>
        <w:t>质疑列表。质疑供应商对在线质疑答复不满意的，可在线提起投诉，路径为：浙江政府服务网</w:t>
      </w:r>
      <w:r>
        <w:rPr>
          <w:rFonts w:ascii="宋体" w:cs="宋体"/>
          <w:color w:val="auto"/>
          <w:kern w:val="0"/>
          <w:szCs w:val="21"/>
          <w:highlight w:val="none"/>
        </w:rPr>
        <w:t>-</w:t>
      </w:r>
      <w:r>
        <w:rPr>
          <w:rFonts w:hint="eastAsia" w:ascii="宋体" w:hAnsi="宋体" w:cs="宋体"/>
          <w:color w:val="auto"/>
          <w:kern w:val="0"/>
          <w:szCs w:val="21"/>
          <w:highlight w:val="none"/>
        </w:rPr>
        <w:t>政府采购投诉处理</w:t>
      </w:r>
      <w:r>
        <w:rPr>
          <w:rFonts w:ascii="宋体" w:cs="宋体"/>
          <w:color w:val="auto"/>
          <w:kern w:val="0"/>
          <w:szCs w:val="21"/>
          <w:highlight w:val="none"/>
        </w:rPr>
        <w:t>-</w:t>
      </w:r>
      <w:r>
        <w:rPr>
          <w:rFonts w:hint="eastAsia" w:ascii="宋体" w:hAnsi="宋体" w:cs="宋体"/>
          <w:color w:val="auto"/>
          <w:kern w:val="0"/>
          <w:szCs w:val="21"/>
          <w:highlight w:val="none"/>
        </w:rPr>
        <w:t>在线办理。</w:t>
      </w:r>
      <w:r>
        <w:rPr>
          <w:rFonts w:ascii="宋体" w:cs="宋体"/>
          <w:color w:val="auto"/>
          <w:kern w:val="0"/>
          <w:szCs w:val="21"/>
          <w:highlight w:val="none"/>
        </w:rPr>
        <w:t>  </w:t>
      </w:r>
    </w:p>
    <w:p w14:paraId="56274180">
      <w:pPr>
        <w:rPr>
          <w:rFonts w:hint="eastAsia" w:cs="宋体"/>
          <w:b/>
          <w:color w:val="auto"/>
          <w:kern w:val="2"/>
          <w:sz w:val="21"/>
          <w:szCs w:val="21"/>
          <w:highlight w:val="none"/>
        </w:rPr>
      </w:pPr>
      <w:r>
        <w:rPr>
          <w:rFonts w:hint="eastAsia" w:cs="宋体"/>
          <w:b/>
          <w:color w:val="auto"/>
          <w:kern w:val="2"/>
          <w:sz w:val="21"/>
          <w:szCs w:val="21"/>
          <w:highlight w:val="none"/>
        </w:rPr>
        <w:br w:type="page"/>
      </w:r>
    </w:p>
    <w:p w14:paraId="137436D1">
      <w:pPr>
        <w:pStyle w:val="26"/>
        <w:widowControl w:val="0"/>
        <w:numPr>
          <w:ilvl w:val="0"/>
          <w:numId w:val="1"/>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对本次采购提出询问、质疑、投诉，请按以下方式联系</w:t>
      </w:r>
    </w:p>
    <w:p w14:paraId="0BBD286C">
      <w:pPr>
        <w:pStyle w:val="26"/>
        <w:spacing w:before="0" w:beforeAutospacing="0" w:after="0" w:afterAutospacing="0" w:line="360" w:lineRule="auto"/>
        <w:ind w:firstLine="420" w:firstLineChars="200"/>
        <w:rPr>
          <w:rFonts w:hint="eastAsia" w:cs="宋体"/>
          <w:color w:val="auto"/>
          <w:sz w:val="21"/>
          <w:szCs w:val="21"/>
          <w:highlight w:val="none"/>
        </w:rPr>
      </w:pPr>
      <w:r>
        <w:rPr>
          <w:rFonts w:cs="宋体"/>
          <w:color w:val="auto"/>
          <w:sz w:val="21"/>
          <w:szCs w:val="21"/>
          <w:highlight w:val="none"/>
        </w:rPr>
        <w:t>1.</w:t>
      </w:r>
      <w:r>
        <w:rPr>
          <w:rFonts w:hint="eastAsia" w:cs="宋体"/>
          <w:color w:val="auto"/>
          <w:sz w:val="21"/>
          <w:szCs w:val="21"/>
          <w:highlight w:val="none"/>
        </w:rPr>
        <w:t>采购人信息</w:t>
      </w:r>
    </w:p>
    <w:p w14:paraId="7B63D08F">
      <w:pPr>
        <w:pStyle w:val="26"/>
        <w:spacing w:before="0" w:beforeAutospacing="0" w:after="0" w:afterAutospacing="0" w:line="400" w:lineRule="exact"/>
        <w:ind w:firstLine="630" w:firstLineChars="300"/>
        <w:rPr>
          <w:rFonts w:hint="eastAsia" w:cs="宋体"/>
          <w:color w:val="auto"/>
          <w:sz w:val="21"/>
          <w:szCs w:val="21"/>
          <w:highlight w:val="none"/>
        </w:rPr>
      </w:pPr>
      <w:r>
        <w:rPr>
          <w:rFonts w:hint="eastAsia" w:cs="宋体"/>
          <w:color w:val="auto"/>
          <w:sz w:val="21"/>
          <w:szCs w:val="21"/>
          <w:highlight w:val="none"/>
        </w:rPr>
        <w:t>名</w:t>
      </w:r>
      <w:r>
        <w:rPr>
          <w:rFonts w:cs="宋体"/>
          <w:color w:val="auto"/>
          <w:sz w:val="21"/>
          <w:szCs w:val="21"/>
          <w:highlight w:val="none"/>
        </w:rPr>
        <w:t> </w:t>
      </w:r>
      <w:r>
        <w:rPr>
          <w:rFonts w:hint="eastAsia" w:cs="宋体"/>
          <w:color w:val="auto"/>
          <w:sz w:val="21"/>
          <w:szCs w:val="21"/>
          <w:highlight w:val="none"/>
        </w:rPr>
        <w:t>称：仙居县白塔镇人民政府</w:t>
      </w:r>
      <w:r>
        <w:rPr>
          <w:rFonts w:cs="宋体"/>
          <w:color w:val="auto"/>
          <w:sz w:val="21"/>
          <w:szCs w:val="21"/>
          <w:highlight w:val="none"/>
        </w:rPr>
        <w:t> </w:t>
      </w:r>
    </w:p>
    <w:p w14:paraId="11869380">
      <w:pPr>
        <w:pStyle w:val="26"/>
        <w:spacing w:before="0" w:beforeAutospacing="0" w:after="0" w:afterAutospacing="0" w:line="400" w:lineRule="exact"/>
        <w:ind w:firstLine="630" w:firstLineChars="300"/>
        <w:rPr>
          <w:rFonts w:hint="eastAsia" w:cs="宋体"/>
          <w:color w:val="auto"/>
          <w:sz w:val="21"/>
          <w:szCs w:val="21"/>
          <w:highlight w:val="none"/>
        </w:rPr>
      </w:pPr>
      <w:r>
        <w:rPr>
          <w:rFonts w:hint="eastAsia" w:cs="宋体"/>
          <w:color w:val="auto"/>
          <w:sz w:val="21"/>
          <w:szCs w:val="21"/>
          <w:highlight w:val="none"/>
        </w:rPr>
        <w:t>地</w:t>
      </w:r>
      <w:r>
        <w:rPr>
          <w:rFonts w:cs="宋体"/>
          <w:color w:val="auto"/>
          <w:sz w:val="21"/>
          <w:szCs w:val="21"/>
          <w:highlight w:val="none"/>
        </w:rPr>
        <w:t> </w:t>
      </w:r>
      <w:r>
        <w:rPr>
          <w:rFonts w:hint="eastAsia" w:cs="宋体"/>
          <w:color w:val="auto"/>
          <w:sz w:val="21"/>
          <w:szCs w:val="21"/>
          <w:highlight w:val="none"/>
        </w:rPr>
        <w:t>址：仙居县白塔镇</w:t>
      </w:r>
      <w:r>
        <w:rPr>
          <w:rFonts w:cs="宋体"/>
          <w:color w:val="auto"/>
          <w:sz w:val="21"/>
          <w:szCs w:val="21"/>
          <w:highlight w:val="none"/>
        </w:rPr>
        <w:t> </w:t>
      </w:r>
    </w:p>
    <w:p w14:paraId="669FD47C">
      <w:pPr>
        <w:pStyle w:val="26"/>
        <w:spacing w:before="0" w:beforeAutospacing="0" w:after="0" w:afterAutospacing="0" w:line="400" w:lineRule="exact"/>
        <w:ind w:firstLine="630" w:firstLineChars="300"/>
        <w:rPr>
          <w:rFonts w:hint="eastAsia" w:cs="宋体"/>
          <w:color w:val="auto"/>
          <w:sz w:val="21"/>
          <w:szCs w:val="21"/>
          <w:highlight w:val="none"/>
        </w:rPr>
      </w:pPr>
      <w:r>
        <w:rPr>
          <w:rFonts w:hint="eastAsia" w:cs="宋体"/>
          <w:color w:val="auto"/>
          <w:sz w:val="21"/>
          <w:szCs w:val="21"/>
          <w:highlight w:val="none"/>
        </w:rPr>
        <w:t>项目联系人：</w:t>
      </w:r>
      <w:r>
        <w:rPr>
          <w:rFonts w:hint="eastAsia" w:cs="宋体"/>
          <w:color w:val="auto"/>
          <w:sz w:val="21"/>
          <w:szCs w:val="21"/>
          <w:highlight w:val="none"/>
          <w:lang w:eastAsia="zh-CN"/>
        </w:rPr>
        <w:t>李先生</w:t>
      </w:r>
      <w:r>
        <w:rPr>
          <w:rFonts w:cs="宋体"/>
          <w:color w:val="auto"/>
          <w:sz w:val="21"/>
          <w:szCs w:val="21"/>
          <w:highlight w:val="none"/>
        </w:rPr>
        <w:t> </w:t>
      </w:r>
      <w:r>
        <w:rPr>
          <w:rFonts w:hint="eastAsia" w:cs="宋体"/>
          <w:color w:val="auto"/>
          <w:sz w:val="21"/>
          <w:szCs w:val="21"/>
          <w:highlight w:val="none"/>
        </w:rPr>
        <w:t>　　　　　　　　　　</w:t>
      </w:r>
    </w:p>
    <w:p w14:paraId="4E1564A9">
      <w:pPr>
        <w:pStyle w:val="26"/>
        <w:spacing w:before="0" w:beforeAutospacing="0" w:after="0" w:afterAutospacing="0" w:line="400" w:lineRule="exact"/>
        <w:ind w:firstLine="630" w:firstLineChars="300"/>
        <w:rPr>
          <w:rFonts w:hint="eastAsia" w:eastAsia="宋体" w:cs="宋体"/>
          <w:color w:val="auto"/>
          <w:sz w:val="21"/>
          <w:szCs w:val="21"/>
          <w:highlight w:val="none"/>
          <w:lang w:eastAsia="zh-CN"/>
        </w:rPr>
      </w:pPr>
      <w:r>
        <w:rPr>
          <w:rFonts w:hint="eastAsia" w:cs="宋体"/>
          <w:color w:val="auto"/>
          <w:sz w:val="21"/>
          <w:szCs w:val="21"/>
          <w:highlight w:val="none"/>
        </w:rPr>
        <w:t>项目联系方式：</w:t>
      </w:r>
      <w:r>
        <w:rPr>
          <w:rFonts w:hint="eastAsia" w:cs="宋体"/>
          <w:color w:val="auto"/>
          <w:sz w:val="21"/>
          <w:szCs w:val="21"/>
          <w:highlight w:val="none"/>
          <w:lang w:eastAsia="zh-CN"/>
        </w:rPr>
        <w:t>13566491466</w:t>
      </w:r>
    </w:p>
    <w:p w14:paraId="08FA3B7C">
      <w:pPr>
        <w:pStyle w:val="26"/>
        <w:spacing w:before="0" w:beforeAutospacing="0" w:after="0" w:afterAutospacing="0" w:line="400" w:lineRule="exact"/>
        <w:ind w:firstLine="630" w:firstLineChars="300"/>
        <w:rPr>
          <w:rFonts w:hint="eastAsia" w:eastAsia="宋体" w:cs="宋体"/>
          <w:color w:val="auto"/>
          <w:sz w:val="21"/>
          <w:szCs w:val="21"/>
          <w:highlight w:val="none"/>
          <w:lang w:eastAsia="zh-CN"/>
        </w:rPr>
      </w:pPr>
      <w:r>
        <w:rPr>
          <w:rFonts w:hint="eastAsia" w:cs="宋体"/>
          <w:color w:val="auto"/>
          <w:sz w:val="21"/>
          <w:szCs w:val="21"/>
          <w:highlight w:val="none"/>
        </w:rPr>
        <w:t>质疑联系人：</w:t>
      </w:r>
      <w:r>
        <w:rPr>
          <w:rFonts w:hint="eastAsia" w:cs="宋体"/>
          <w:color w:val="auto"/>
          <w:sz w:val="21"/>
          <w:szCs w:val="21"/>
          <w:highlight w:val="none"/>
          <w:lang w:eastAsia="zh-CN"/>
        </w:rPr>
        <w:t>李先生</w:t>
      </w:r>
    </w:p>
    <w:p w14:paraId="465C72F8">
      <w:pPr>
        <w:pStyle w:val="26"/>
        <w:spacing w:before="0" w:beforeAutospacing="0" w:after="0" w:afterAutospacing="0" w:line="400" w:lineRule="exact"/>
        <w:ind w:firstLine="630" w:firstLineChars="300"/>
        <w:rPr>
          <w:rFonts w:hint="eastAsia" w:cs="宋体"/>
          <w:color w:val="auto"/>
          <w:sz w:val="21"/>
          <w:szCs w:val="21"/>
          <w:highlight w:val="none"/>
        </w:rPr>
      </w:pPr>
      <w:r>
        <w:rPr>
          <w:rFonts w:hint="eastAsia" w:cs="宋体"/>
          <w:color w:val="auto"/>
          <w:sz w:val="21"/>
          <w:szCs w:val="21"/>
          <w:highlight w:val="none"/>
        </w:rPr>
        <w:t>质疑联系方式：</w:t>
      </w:r>
      <w:r>
        <w:rPr>
          <w:rFonts w:hint="eastAsia" w:cs="宋体"/>
          <w:color w:val="auto"/>
          <w:sz w:val="21"/>
          <w:szCs w:val="21"/>
          <w:highlight w:val="none"/>
          <w:lang w:eastAsia="zh-CN"/>
        </w:rPr>
        <w:t>13566491466</w:t>
      </w:r>
      <w:r>
        <w:rPr>
          <w:rFonts w:cs="宋体"/>
          <w:color w:val="auto"/>
          <w:sz w:val="21"/>
          <w:szCs w:val="21"/>
          <w:highlight w:val="none"/>
        </w:rPr>
        <w:t xml:space="preserve">   </w:t>
      </w:r>
      <w:r>
        <w:rPr>
          <w:rFonts w:hint="eastAsia" w:cs="宋体"/>
          <w:color w:val="auto"/>
          <w:sz w:val="21"/>
          <w:szCs w:val="21"/>
          <w:highlight w:val="none"/>
        </w:rPr>
        <w:t>　　　　　　　　</w:t>
      </w:r>
    </w:p>
    <w:p w14:paraId="5682C6C6">
      <w:pPr>
        <w:pStyle w:val="26"/>
        <w:spacing w:before="0" w:beforeAutospacing="0" w:after="0" w:afterAutospacing="0" w:line="360" w:lineRule="auto"/>
        <w:ind w:left="420" w:leftChars="200"/>
        <w:rPr>
          <w:rFonts w:hint="eastAsia" w:cs="宋体"/>
          <w:color w:val="auto"/>
          <w:sz w:val="21"/>
          <w:szCs w:val="21"/>
          <w:highlight w:val="none"/>
        </w:rPr>
      </w:pPr>
      <w:r>
        <w:rPr>
          <w:rFonts w:cs="宋体"/>
          <w:color w:val="auto"/>
          <w:sz w:val="21"/>
          <w:szCs w:val="21"/>
          <w:highlight w:val="none"/>
        </w:rPr>
        <w:t>2.</w:t>
      </w:r>
      <w:r>
        <w:rPr>
          <w:rFonts w:hint="eastAsia" w:cs="宋体"/>
          <w:color w:val="auto"/>
          <w:sz w:val="21"/>
          <w:szCs w:val="21"/>
          <w:highlight w:val="none"/>
        </w:rPr>
        <w:t>采购代理机构信息</w:t>
      </w:r>
    </w:p>
    <w:p w14:paraId="017C7924">
      <w:pPr>
        <w:pStyle w:val="26"/>
        <w:spacing w:before="0" w:beforeAutospacing="0" w:after="0" w:afterAutospacing="0" w:line="360" w:lineRule="auto"/>
        <w:ind w:firstLine="630" w:firstLineChars="300"/>
        <w:rPr>
          <w:rFonts w:hint="eastAsia" w:cs="宋体"/>
          <w:color w:val="auto"/>
          <w:sz w:val="21"/>
          <w:szCs w:val="21"/>
          <w:highlight w:val="none"/>
        </w:rPr>
      </w:pPr>
      <w:r>
        <w:rPr>
          <w:rFonts w:hint="eastAsia" w:cs="宋体"/>
          <w:color w:val="auto"/>
          <w:sz w:val="21"/>
          <w:szCs w:val="21"/>
          <w:highlight w:val="none"/>
        </w:rPr>
        <w:t>名</w:t>
      </w:r>
      <w:r>
        <w:rPr>
          <w:rFonts w:cs="宋体"/>
          <w:color w:val="auto"/>
          <w:sz w:val="21"/>
          <w:szCs w:val="21"/>
          <w:highlight w:val="none"/>
        </w:rPr>
        <w:t xml:space="preserve">   </w:t>
      </w:r>
      <w:r>
        <w:rPr>
          <w:rFonts w:hint="eastAsia" w:cs="宋体"/>
          <w:color w:val="auto"/>
          <w:sz w:val="21"/>
          <w:szCs w:val="21"/>
          <w:highlight w:val="none"/>
        </w:rPr>
        <w:t>称：</w:t>
      </w:r>
      <w:r>
        <w:rPr>
          <w:rFonts w:cs="宋体"/>
          <w:color w:val="auto"/>
          <w:sz w:val="21"/>
          <w:szCs w:val="21"/>
          <w:highlight w:val="none"/>
        </w:rPr>
        <w:t xml:space="preserve"> </w:t>
      </w:r>
      <w:r>
        <w:rPr>
          <w:rFonts w:hint="eastAsia" w:cs="宋体"/>
          <w:color w:val="auto"/>
          <w:sz w:val="21"/>
          <w:szCs w:val="21"/>
          <w:highlight w:val="none"/>
        </w:rPr>
        <w:t>浙江聚信工程管理有限公司</w:t>
      </w:r>
      <w:r>
        <w:rPr>
          <w:rFonts w:cs="宋体"/>
          <w:color w:val="auto"/>
          <w:sz w:val="21"/>
          <w:szCs w:val="21"/>
          <w:highlight w:val="none"/>
        </w:rPr>
        <w:t xml:space="preserve"> </w:t>
      </w:r>
    </w:p>
    <w:p w14:paraId="6154EDC9">
      <w:pPr>
        <w:pStyle w:val="26"/>
        <w:spacing w:before="0" w:beforeAutospacing="0" w:after="0" w:afterAutospacing="0" w:line="360" w:lineRule="auto"/>
        <w:ind w:firstLine="630" w:firstLineChars="300"/>
        <w:rPr>
          <w:rFonts w:hint="eastAsia" w:cs="宋体"/>
          <w:color w:val="auto"/>
          <w:sz w:val="21"/>
          <w:szCs w:val="21"/>
          <w:highlight w:val="none"/>
        </w:rPr>
      </w:pPr>
      <w:r>
        <w:rPr>
          <w:rFonts w:hint="eastAsia" w:cs="宋体"/>
          <w:color w:val="auto"/>
          <w:sz w:val="21"/>
          <w:szCs w:val="21"/>
          <w:highlight w:val="none"/>
        </w:rPr>
        <w:t>地</w:t>
      </w:r>
      <w:r>
        <w:rPr>
          <w:rFonts w:cs="宋体"/>
          <w:color w:val="auto"/>
          <w:sz w:val="21"/>
          <w:szCs w:val="21"/>
          <w:highlight w:val="none"/>
        </w:rPr>
        <w:t xml:space="preserve">   </w:t>
      </w:r>
      <w:r>
        <w:rPr>
          <w:rFonts w:hint="eastAsia" w:cs="宋体"/>
          <w:color w:val="auto"/>
          <w:sz w:val="21"/>
          <w:szCs w:val="21"/>
          <w:highlight w:val="none"/>
        </w:rPr>
        <w:t>址：</w:t>
      </w:r>
      <w:r>
        <w:rPr>
          <w:rFonts w:cs="宋体"/>
          <w:color w:val="auto"/>
          <w:sz w:val="21"/>
          <w:szCs w:val="21"/>
          <w:highlight w:val="none"/>
        </w:rPr>
        <w:t xml:space="preserve"> </w:t>
      </w:r>
      <w:r>
        <w:rPr>
          <w:rFonts w:hint="eastAsia" w:cs="宋体"/>
          <w:color w:val="auto"/>
          <w:sz w:val="21"/>
          <w:szCs w:val="21"/>
          <w:highlight w:val="none"/>
        </w:rPr>
        <w:t>仙居县光明西路</w:t>
      </w:r>
      <w:r>
        <w:rPr>
          <w:rFonts w:cs="宋体"/>
          <w:color w:val="auto"/>
          <w:sz w:val="21"/>
          <w:szCs w:val="21"/>
          <w:highlight w:val="none"/>
        </w:rPr>
        <w:t>434</w:t>
      </w:r>
      <w:r>
        <w:rPr>
          <w:rFonts w:hint="eastAsia" w:cs="宋体"/>
          <w:color w:val="auto"/>
          <w:sz w:val="21"/>
          <w:szCs w:val="21"/>
          <w:highlight w:val="none"/>
        </w:rPr>
        <w:t>号</w:t>
      </w:r>
      <w:r>
        <w:rPr>
          <w:rFonts w:cs="宋体"/>
          <w:color w:val="auto"/>
          <w:sz w:val="21"/>
          <w:szCs w:val="21"/>
          <w:highlight w:val="none"/>
        </w:rPr>
        <w:t xml:space="preserve"> </w:t>
      </w:r>
    </w:p>
    <w:p w14:paraId="5379188B">
      <w:pPr>
        <w:pStyle w:val="26"/>
        <w:spacing w:before="0" w:beforeAutospacing="0" w:after="0" w:afterAutospacing="0" w:line="360" w:lineRule="auto"/>
        <w:ind w:firstLine="630" w:firstLineChars="300"/>
        <w:rPr>
          <w:rFonts w:hint="eastAsia" w:cs="宋体"/>
          <w:color w:val="auto"/>
          <w:sz w:val="21"/>
          <w:szCs w:val="21"/>
          <w:highlight w:val="none"/>
        </w:rPr>
      </w:pPr>
      <w:r>
        <w:rPr>
          <w:rFonts w:hint="eastAsia" w:cs="宋体"/>
          <w:color w:val="auto"/>
          <w:sz w:val="21"/>
          <w:szCs w:val="21"/>
          <w:highlight w:val="none"/>
        </w:rPr>
        <w:t>项目联系人（询问）：周女士</w:t>
      </w:r>
      <w:r>
        <w:rPr>
          <w:rFonts w:cs="宋体"/>
          <w:color w:val="auto"/>
          <w:sz w:val="21"/>
          <w:szCs w:val="21"/>
          <w:highlight w:val="none"/>
        </w:rPr>
        <w:t xml:space="preserve"> </w:t>
      </w:r>
    </w:p>
    <w:p w14:paraId="60415D62">
      <w:pPr>
        <w:pStyle w:val="26"/>
        <w:spacing w:before="0" w:beforeAutospacing="0" w:after="0" w:afterAutospacing="0" w:line="360" w:lineRule="auto"/>
        <w:ind w:firstLine="420" w:firstLineChars="200"/>
        <w:rPr>
          <w:rFonts w:hint="eastAsia" w:cs="宋体"/>
          <w:color w:val="auto"/>
          <w:sz w:val="21"/>
          <w:szCs w:val="21"/>
          <w:highlight w:val="none"/>
        </w:rPr>
      </w:pPr>
      <w:r>
        <w:rPr>
          <w:rFonts w:cs="宋体"/>
          <w:color w:val="auto"/>
          <w:sz w:val="21"/>
          <w:szCs w:val="21"/>
          <w:highlight w:val="none"/>
        </w:rPr>
        <w:t> </w:t>
      </w:r>
      <w:r>
        <w:rPr>
          <w:rFonts w:hint="eastAsia" w:cs="宋体"/>
          <w:color w:val="auto"/>
          <w:sz w:val="21"/>
          <w:szCs w:val="21"/>
          <w:highlight w:val="none"/>
        </w:rPr>
        <w:t>项目联系方式（询问）：</w:t>
      </w:r>
      <w:r>
        <w:rPr>
          <w:rFonts w:cs="宋体"/>
          <w:color w:val="auto"/>
          <w:sz w:val="21"/>
          <w:szCs w:val="21"/>
          <w:highlight w:val="none"/>
        </w:rPr>
        <w:t xml:space="preserve">0576-87785155 </w:t>
      </w:r>
    </w:p>
    <w:p w14:paraId="585DD730">
      <w:pPr>
        <w:pStyle w:val="26"/>
        <w:spacing w:before="0" w:beforeAutospacing="0" w:after="0" w:afterAutospacing="0" w:line="360" w:lineRule="auto"/>
        <w:ind w:firstLine="420" w:firstLineChars="200"/>
        <w:rPr>
          <w:rFonts w:hint="eastAsia" w:cs="宋体"/>
          <w:color w:val="auto"/>
          <w:sz w:val="21"/>
          <w:szCs w:val="21"/>
          <w:highlight w:val="none"/>
        </w:rPr>
      </w:pPr>
      <w:r>
        <w:rPr>
          <w:rFonts w:cs="宋体"/>
          <w:color w:val="auto"/>
          <w:sz w:val="21"/>
          <w:szCs w:val="21"/>
          <w:highlight w:val="none"/>
        </w:rPr>
        <w:t> </w:t>
      </w:r>
      <w:r>
        <w:rPr>
          <w:rFonts w:hint="eastAsia" w:cs="宋体"/>
          <w:color w:val="auto"/>
          <w:sz w:val="21"/>
          <w:szCs w:val="21"/>
          <w:highlight w:val="none"/>
        </w:rPr>
        <w:t>质疑联系人：杨女士</w:t>
      </w:r>
      <w:r>
        <w:rPr>
          <w:rFonts w:cs="宋体"/>
          <w:color w:val="auto"/>
          <w:sz w:val="21"/>
          <w:szCs w:val="21"/>
          <w:highlight w:val="none"/>
        </w:rPr>
        <w:t> </w:t>
      </w:r>
    </w:p>
    <w:p w14:paraId="426E0F4D">
      <w:pPr>
        <w:pStyle w:val="26"/>
        <w:spacing w:before="0" w:beforeAutospacing="0" w:after="0" w:afterAutospacing="0" w:line="360" w:lineRule="auto"/>
        <w:ind w:firstLine="420" w:firstLineChars="200"/>
        <w:rPr>
          <w:rFonts w:hint="eastAsia" w:cs="宋体"/>
          <w:color w:val="auto"/>
          <w:sz w:val="21"/>
          <w:szCs w:val="21"/>
          <w:highlight w:val="none"/>
        </w:rPr>
      </w:pPr>
      <w:r>
        <w:rPr>
          <w:rFonts w:cs="宋体"/>
          <w:color w:val="auto"/>
          <w:sz w:val="21"/>
          <w:szCs w:val="21"/>
          <w:highlight w:val="none"/>
        </w:rPr>
        <w:t> </w:t>
      </w:r>
      <w:r>
        <w:rPr>
          <w:rFonts w:hint="eastAsia" w:cs="宋体"/>
          <w:color w:val="auto"/>
          <w:sz w:val="21"/>
          <w:szCs w:val="21"/>
          <w:highlight w:val="none"/>
        </w:rPr>
        <w:t>质疑联系方式：</w:t>
      </w:r>
      <w:r>
        <w:rPr>
          <w:rFonts w:cs="宋体"/>
          <w:color w:val="auto"/>
          <w:sz w:val="21"/>
          <w:szCs w:val="21"/>
          <w:highlight w:val="none"/>
        </w:rPr>
        <w:t>0576-87785155</w:t>
      </w:r>
    </w:p>
    <w:p w14:paraId="385F7849">
      <w:pPr>
        <w:pStyle w:val="26"/>
        <w:spacing w:before="0" w:beforeAutospacing="0" w:after="0" w:afterAutospacing="0" w:line="360" w:lineRule="auto"/>
        <w:ind w:left="630" w:leftChars="200" w:hanging="210" w:hangingChars="100"/>
        <w:rPr>
          <w:rFonts w:hint="eastAsia" w:cs="宋体"/>
          <w:color w:val="auto"/>
          <w:sz w:val="21"/>
          <w:szCs w:val="21"/>
          <w:highlight w:val="none"/>
        </w:rPr>
      </w:pPr>
      <w:r>
        <w:rPr>
          <w:rFonts w:cs="宋体"/>
          <w:color w:val="auto"/>
          <w:sz w:val="21"/>
          <w:szCs w:val="21"/>
          <w:highlight w:val="none"/>
        </w:rPr>
        <w:t>3.</w:t>
      </w:r>
      <w:r>
        <w:rPr>
          <w:rFonts w:hint="eastAsia" w:cs="宋体"/>
          <w:color w:val="auto"/>
          <w:sz w:val="21"/>
          <w:szCs w:val="21"/>
          <w:highlight w:val="none"/>
        </w:rPr>
        <w:t>同级政府采购监督管理部门</w:t>
      </w:r>
    </w:p>
    <w:p w14:paraId="14F246EA">
      <w:pPr>
        <w:pStyle w:val="26"/>
        <w:spacing w:before="0" w:beforeAutospacing="0" w:after="0" w:afterAutospacing="0" w:line="360" w:lineRule="auto"/>
        <w:ind w:firstLine="630" w:firstLineChars="300"/>
        <w:rPr>
          <w:rFonts w:hint="eastAsia" w:cs="宋体"/>
          <w:color w:val="auto"/>
          <w:sz w:val="21"/>
          <w:szCs w:val="21"/>
          <w:highlight w:val="none"/>
        </w:rPr>
      </w:pPr>
      <w:r>
        <w:rPr>
          <w:rFonts w:hint="eastAsia" w:cs="宋体"/>
          <w:color w:val="auto"/>
          <w:sz w:val="21"/>
          <w:szCs w:val="21"/>
          <w:highlight w:val="none"/>
        </w:rPr>
        <w:t>名</w:t>
      </w:r>
      <w:r>
        <w:rPr>
          <w:rFonts w:cs="宋体"/>
          <w:color w:val="auto"/>
          <w:sz w:val="21"/>
          <w:szCs w:val="21"/>
          <w:highlight w:val="none"/>
        </w:rPr>
        <w:t xml:space="preserve">   </w:t>
      </w:r>
      <w:r>
        <w:rPr>
          <w:rFonts w:hint="eastAsia" w:cs="宋体"/>
          <w:color w:val="auto"/>
          <w:sz w:val="21"/>
          <w:szCs w:val="21"/>
          <w:highlight w:val="none"/>
        </w:rPr>
        <w:t>称：仙居县财政局</w:t>
      </w:r>
      <w:r>
        <w:rPr>
          <w:rFonts w:cs="宋体"/>
          <w:color w:val="auto"/>
          <w:sz w:val="21"/>
          <w:szCs w:val="21"/>
          <w:highlight w:val="none"/>
        </w:rPr>
        <w:t> </w:t>
      </w:r>
    </w:p>
    <w:p w14:paraId="06A9BB53">
      <w:pPr>
        <w:pStyle w:val="26"/>
        <w:spacing w:before="0" w:beforeAutospacing="0" w:after="0" w:afterAutospacing="0" w:line="360" w:lineRule="auto"/>
        <w:ind w:firstLine="630" w:firstLineChars="300"/>
        <w:rPr>
          <w:rFonts w:hint="eastAsia" w:cs="宋体"/>
          <w:color w:val="auto"/>
          <w:sz w:val="21"/>
          <w:szCs w:val="21"/>
          <w:highlight w:val="none"/>
        </w:rPr>
      </w:pPr>
      <w:r>
        <w:rPr>
          <w:rFonts w:hint="eastAsia" w:cs="宋体"/>
          <w:color w:val="auto"/>
          <w:sz w:val="21"/>
          <w:szCs w:val="21"/>
          <w:highlight w:val="none"/>
        </w:rPr>
        <w:t>地</w:t>
      </w:r>
      <w:r>
        <w:rPr>
          <w:rFonts w:cs="宋体"/>
          <w:color w:val="auto"/>
          <w:sz w:val="21"/>
          <w:szCs w:val="21"/>
          <w:highlight w:val="none"/>
        </w:rPr>
        <w:t xml:space="preserve">   </w:t>
      </w:r>
      <w:r>
        <w:rPr>
          <w:rFonts w:hint="eastAsia" w:cs="宋体"/>
          <w:color w:val="auto"/>
          <w:sz w:val="21"/>
          <w:szCs w:val="21"/>
          <w:highlight w:val="none"/>
        </w:rPr>
        <w:t>址：仙居县南峰街道环城南路</w:t>
      </w:r>
      <w:r>
        <w:rPr>
          <w:rFonts w:cs="宋体"/>
          <w:color w:val="auto"/>
          <w:sz w:val="21"/>
          <w:szCs w:val="21"/>
          <w:highlight w:val="none"/>
        </w:rPr>
        <w:t>500</w:t>
      </w:r>
      <w:r>
        <w:rPr>
          <w:rFonts w:hint="eastAsia" w:cs="宋体"/>
          <w:color w:val="auto"/>
          <w:sz w:val="21"/>
          <w:szCs w:val="21"/>
          <w:highlight w:val="none"/>
        </w:rPr>
        <w:t>号</w:t>
      </w:r>
      <w:r>
        <w:rPr>
          <w:rFonts w:cs="宋体"/>
          <w:color w:val="auto"/>
          <w:sz w:val="21"/>
          <w:szCs w:val="21"/>
          <w:highlight w:val="none"/>
        </w:rPr>
        <w:t>7</w:t>
      </w:r>
      <w:r>
        <w:rPr>
          <w:rFonts w:hint="eastAsia" w:cs="宋体"/>
          <w:color w:val="auto"/>
          <w:sz w:val="21"/>
          <w:szCs w:val="21"/>
          <w:highlight w:val="none"/>
        </w:rPr>
        <w:t>楼</w:t>
      </w:r>
      <w:r>
        <w:rPr>
          <w:rFonts w:cs="宋体"/>
          <w:color w:val="auto"/>
          <w:sz w:val="21"/>
          <w:szCs w:val="21"/>
          <w:highlight w:val="none"/>
        </w:rPr>
        <w:t> </w:t>
      </w:r>
    </w:p>
    <w:p w14:paraId="15D64074">
      <w:pPr>
        <w:pStyle w:val="26"/>
        <w:spacing w:before="0" w:beforeAutospacing="0" w:after="0" w:afterAutospacing="0" w:line="360" w:lineRule="auto"/>
        <w:ind w:firstLine="630" w:firstLineChars="300"/>
        <w:rPr>
          <w:rFonts w:hint="eastAsia" w:cs="宋体"/>
          <w:color w:val="auto"/>
          <w:sz w:val="21"/>
          <w:szCs w:val="21"/>
          <w:highlight w:val="none"/>
        </w:rPr>
      </w:pPr>
      <w:r>
        <w:rPr>
          <w:rFonts w:hint="eastAsia" w:cs="宋体"/>
          <w:color w:val="auto"/>
          <w:sz w:val="21"/>
          <w:szCs w:val="21"/>
          <w:highlight w:val="none"/>
        </w:rPr>
        <w:t>联</w:t>
      </w:r>
      <w:r>
        <w:rPr>
          <w:rFonts w:cs="宋体"/>
          <w:color w:val="auto"/>
          <w:sz w:val="21"/>
          <w:szCs w:val="21"/>
          <w:highlight w:val="none"/>
        </w:rPr>
        <w:t xml:space="preserve"> </w:t>
      </w:r>
      <w:r>
        <w:rPr>
          <w:rFonts w:hint="eastAsia" w:cs="宋体"/>
          <w:color w:val="auto"/>
          <w:sz w:val="21"/>
          <w:szCs w:val="21"/>
          <w:highlight w:val="none"/>
        </w:rPr>
        <w:t>系</w:t>
      </w:r>
      <w:r>
        <w:rPr>
          <w:rFonts w:cs="宋体"/>
          <w:color w:val="auto"/>
          <w:sz w:val="21"/>
          <w:szCs w:val="21"/>
          <w:highlight w:val="none"/>
        </w:rPr>
        <w:t xml:space="preserve"> </w:t>
      </w:r>
      <w:r>
        <w:rPr>
          <w:rFonts w:hint="eastAsia" w:cs="宋体"/>
          <w:color w:val="auto"/>
          <w:sz w:val="21"/>
          <w:szCs w:val="21"/>
          <w:highlight w:val="none"/>
        </w:rPr>
        <w:t>人：陈先生</w:t>
      </w:r>
    </w:p>
    <w:p w14:paraId="7DFA8183">
      <w:pPr>
        <w:pStyle w:val="26"/>
        <w:spacing w:before="0" w:beforeAutospacing="0" w:after="0" w:afterAutospacing="0" w:line="360" w:lineRule="auto"/>
        <w:ind w:firstLine="420" w:firstLineChars="200"/>
        <w:rPr>
          <w:rFonts w:hint="eastAsia" w:cs="宋体"/>
          <w:color w:val="auto"/>
          <w:sz w:val="21"/>
          <w:szCs w:val="21"/>
          <w:highlight w:val="none"/>
        </w:rPr>
      </w:pPr>
      <w:r>
        <w:rPr>
          <w:rFonts w:cs="宋体"/>
          <w:color w:val="auto"/>
          <w:sz w:val="21"/>
          <w:szCs w:val="21"/>
          <w:highlight w:val="none"/>
        </w:rPr>
        <w:t> </w:t>
      </w:r>
      <w:r>
        <w:rPr>
          <w:rFonts w:hint="eastAsia" w:cs="宋体"/>
          <w:color w:val="auto"/>
          <w:sz w:val="21"/>
          <w:szCs w:val="21"/>
          <w:highlight w:val="none"/>
        </w:rPr>
        <w:t>监督投诉电话：</w:t>
      </w:r>
      <w:r>
        <w:rPr>
          <w:rFonts w:cs="宋体"/>
          <w:color w:val="auto"/>
          <w:sz w:val="21"/>
          <w:szCs w:val="21"/>
          <w:highlight w:val="none"/>
        </w:rPr>
        <w:t>0576-87720209 </w:t>
      </w:r>
    </w:p>
    <w:p w14:paraId="47C5DCFE">
      <w:pPr>
        <w:rPr>
          <w:color w:val="auto"/>
          <w:sz w:val="24"/>
          <w:highlight w:val="none"/>
        </w:rPr>
      </w:pPr>
      <w:r>
        <w:rPr>
          <w:color w:val="auto"/>
          <w:sz w:val="24"/>
          <w:highlight w:val="none"/>
        </w:rPr>
        <w:br w:type="page"/>
      </w:r>
    </w:p>
    <w:p w14:paraId="7A58339F">
      <w:pPr>
        <w:pStyle w:val="3"/>
        <w:pageBreakBefore/>
        <w:spacing w:before="0" w:after="0" w:line="360" w:lineRule="auto"/>
        <w:jc w:val="center"/>
        <w:rPr>
          <w:rFonts w:ascii="宋体" w:cs="宋体"/>
          <w:color w:val="auto"/>
          <w:sz w:val="32"/>
          <w:szCs w:val="32"/>
          <w:highlight w:val="none"/>
        </w:rPr>
      </w:pPr>
      <w:bookmarkStart w:id="7" w:name="_Toc18295"/>
      <w:r>
        <w:rPr>
          <w:rFonts w:hint="eastAsia" w:ascii="宋体" w:hAnsi="宋体" w:cs="宋体"/>
          <w:color w:val="auto"/>
          <w:sz w:val="32"/>
          <w:szCs w:val="32"/>
          <w:highlight w:val="none"/>
        </w:rPr>
        <w:t>第二章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采购需求</w:t>
      </w:r>
      <w:bookmarkEnd w:id="7"/>
    </w:p>
    <w:bookmarkEnd w:id="1"/>
    <w:bookmarkEnd w:id="2"/>
    <w:p w14:paraId="77CBA3B2">
      <w:pPr>
        <w:spacing w:line="360" w:lineRule="auto"/>
        <w:ind w:firstLine="403"/>
        <w:rPr>
          <w:rFonts w:ascii="宋体" w:cs="宋体"/>
          <w:bCs/>
          <w:color w:val="auto"/>
          <w:szCs w:val="21"/>
          <w:highlight w:val="none"/>
          <w:u w:val="single"/>
        </w:rPr>
      </w:pPr>
      <w:bookmarkStart w:id="8" w:name="_Toc30830"/>
      <w:bookmarkStart w:id="9" w:name="_Toc13823"/>
      <w:bookmarkStart w:id="10" w:name="_Toc18363"/>
      <w:bookmarkStart w:id="11" w:name="_Toc8240"/>
      <w:bookmarkStart w:id="12" w:name="_Toc11082"/>
      <w:bookmarkStart w:id="13" w:name="_Toc324836660"/>
      <w:bookmarkStart w:id="14" w:name="_Toc359860065"/>
      <w:bookmarkStart w:id="15" w:name="_Toc636"/>
      <w:bookmarkStart w:id="16" w:name="_Toc12006"/>
      <w:r>
        <w:rPr>
          <w:rFonts w:hint="eastAsia" w:ascii="宋体" w:hAnsi="宋体" w:cs="宋体"/>
          <w:bCs/>
          <w:color w:val="auto"/>
          <w:szCs w:val="21"/>
          <w:highlight w:val="none"/>
          <w:u w:val="single"/>
        </w:rPr>
        <w:t>▲</w:t>
      </w:r>
      <w:r>
        <w:rPr>
          <w:rFonts w:ascii="宋体" w:hAnsi="宋体" w:cs="宋体"/>
          <w:bCs/>
          <w:color w:val="auto"/>
          <w:szCs w:val="21"/>
          <w:highlight w:val="none"/>
          <w:u w:val="single"/>
        </w:rPr>
        <w:t>1</w:t>
      </w:r>
      <w:r>
        <w:rPr>
          <w:rFonts w:hint="eastAsia" w:ascii="宋体" w:hAnsi="宋体" w:cs="宋体"/>
          <w:bCs/>
          <w:color w:val="auto"/>
          <w:szCs w:val="21"/>
          <w:highlight w:val="none"/>
          <w:u w:val="single"/>
        </w:rPr>
        <w:t>、中标单位在签订合同时，若坚持提出附加条件和不合理要求，成交资格将被取消，该中标人对由此产生的一切后果负责。</w:t>
      </w:r>
    </w:p>
    <w:p w14:paraId="1117DAA9">
      <w:pPr>
        <w:spacing w:line="360" w:lineRule="auto"/>
        <w:ind w:firstLine="403"/>
        <w:rPr>
          <w:rFonts w:ascii="宋体" w:cs="宋体"/>
          <w:b/>
          <w:color w:val="auto"/>
          <w:szCs w:val="21"/>
          <w:highlight w:val="none"/>
        </w:rPr>
      </w:pPr>
      <w:r>
        <w:rPr>
          <w:rFonts w:hint="eastAsia" w:ascii="宋体" w:hAnsi="宋体" w:cs="宋体"/>
          <w:bCs/>
          <w:color w:val="auto"/>
          <w:szCs w:val="21"/>
          <w:highlight w:val="none"/>
          <w:u w:val="single"/>
        </w:rPr>
        <w:t>▲</w:t>
      </w:r>
      <w:r>
        <w:rPr>
          <w:rFonts w:ascii="宋体" w:hAnsi="宋体" w:cs="宋体"/>
          <w:bCs/>
          <w:color w:val="auto"/>
          <w:szCs w:val="21"/>
          <w:highlight w:val="none"/>
          <w:u w:val="single"/>
        </w:rPr>
        <w:t>2</w:t>
      </w:r>
      <w:r>
        <w:rPr>
          <w:rFonts w:hint="eastAsia" w:ascii="宋体" w:hAnsi="宋体" w:cs="宋体"/>
          <w:bCs/>
          <w:color w:val="auto"/>
          <w:szCs w:val="21"/>
          <w:highlight w:val="none"/>
          <w:u w:val="single"/>
        </w:rPr>
        <w:t>、加“▲”的服务要求或商务要求为实质性要求，投标人应特别注意，所提供的服务承诺必须完全满足或优于这些要求，否则视为不满足。不满足实质性要求的投标文件将按无效标处理。</w:t>
      </w:r>
    </w:p>
    <w:p w14:paraId="0DB26F01">
      <w:pPr>
        <w:pStyle w:val="4"/>
        <w:numPr>
          <w:ilvl w:val="0"/>
          <w:numId w:val="3"/>
        </w:numPr>
        <w:tabs>
          <w:tab w:val="left" w:pos="3765"/>
        </w:tabs>
        <w:spacing w:before="0" w:after="0"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招标项目一览表</w:t>
      </w:r>
    </w:p>
    <w:p w14:paraId="58C49189">
      <w:pPr>
        <w:tabs>
          <w:tab w:val="left" w:pos="8280"/>
        </w:tabs>
        <w:autoSpaceDE w:val="0"/>
        <w:autoSpaceDN w:val="0"/>
        <w:adjustRightInd w:val="0"/>
        <w:spacing w:line="360" w:lineRule="auto"/>
        <w:ind w:right="25" w:firstLine="371" w:firstLineChars="177"/>
        <w:rPr>
          <w:rFonts w:hint="eastAsia" w:ascii="宋体" w:hAnsi="宋体" w:cs="宋体"/>
          <w:color w:val="auto"/>
          <w:szCs w:val="21"/>
          <w:highlight w:val="none"/>
        </w:rPr>
      </w:pPr>
      <w:r>
        <w:rPr>
          <w:rFonts w:hint="eastAsia" w:ascii="宋体" w:hAnsi="宋体" w:cs="宋体"/>
          <w:color w:val="auto"/>
          <w:szCs w:val="21"/>
          <w:highlight w:val="none"/>
        </w:rPr>
        <w:t>本次招标共</w:t>
      </w:r>
      <w:r>
        <w:rPr>
          <w:rFonts w:ascii="宋体" w:hAnsi="宋体" w:cs="宋体"/>
          <w:color w:val="auto"/>
          <w:szCs w:val="21"/>
          <w:highlight w:val="none"/>
          <w:u w:val="single"/>
        </w:rPr>
        <w:t xml:space="preserve">  1 </w:t>
      </w:r>
      <w:r>
        <w:rPr>
          <w:rFonts w:hint="eastAsia" w:ascii="宋体" w:hAnsi="宋体" w:cs="宋体"/>
          <w:color w:val="auto"/>
          <w:szCs w:val="21"/>
          <w:highlight w:val="none"/>
        </w:rPr>
        <w:t>个标项，具体内容如下表：</w:t>
      </w:r>
    </w:p>
    <w:tbl>
      <w:tblPr>
        <w:tblStyle w:val="28"/>
        <w:tblpPr w:leftFromText="180" w:rightFromText="180" w:vertAnchor="text" w:horzAnchor="page" w:tblpX="1065" w:tblpY="131"/>
        <w:tblOverlap w:val="never"/>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0"/>
        <w:gridCol w:w="777"/>
        <w:gridCol w:w="776"/>
        <w:gridCol w:w="1200"/>
        <w:gridCol w:w="1201"/>
        <w:gridCol w:w="2230"/>
        <w:gridCol w:w="918"/>
      </w:tblGrid>
      <w:tr w14:paraId="1214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61" w:type="dxa"/>
            <w:noWrap w:val="0"/>
            <w:vAlign w:val="center"/>
          </w:tcPr>
          <w:p w14:paraId="76022B49">
            <w:pPr>
              <w:pageBreakBefore w:val="0"/>
              <w:tabs>
                <w:tab w:val="left" w:pos="8280"/>
              </w:tabs>
              <w:kinsoku/>
              <w:wordWrap/>
              <w:overflowPunct/>
              <w:topLinePunct w:val="0"/>
              <w:autoSpaceDE w:val="0"/>
              <w:autoSpaceDN w:val="0"/>
              <w:bidi w:val="0"/>
              <w:adjustRightInd w:val="0"/>
              <w:spacing w:line="40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w:t>
            </w:r>
          </w:p>
          <w:p w14:paraId="24CCFA3F">
            <w:pPr>
              <w:pageBreakBefore w:val="0"/>
              <w:tabs>
                <w:tab w:val="left" w:pos="8280"/>
              </w:tabs>
              <w:kinsoku/>
              <w:wordWrap/>
              <w:overflowPunct/>
              <w:topLinePunct w:val="0"/>
              <w:autoSpaceDE w:val="0"/>
              <w:autoSpaceDN w:val="0"/>
              <w:bidi w:val="0"/>
              <w:adjustRightInd w:val="0"/>
              <w:spacing w:line="40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30" w:type="dxa"/>
            <w:noWrap w:val="0"/>
            <w:vAlign w:val="center"/>
          </w:tcPr>
          <w:p w14:paraId="78728B42">
            <w:pPr>
              <w:pageBreakBefore w:val="0"/>
              <w:tabs>
                <w:tab w:val="left" w:pos="8280"/>
              </w:tabs>
              <w:kinsoku/>
              <w:wordWrap/>
              <w:overflowPunct/>
              <w:topLinePunct w:val="0"/>
              <w:autoSpaceDE w:val="0"/>
              <w:autoSpaceDN w:val="0"/>
              <w:bidi w:val="0"/>
              <w:adjustRightInd w:val="0"/>
              <w:spacing w:line="400" w:lineRule="exact"/>
              <w:ind w:right="23" w:firstLine="105" w:firstLineChar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标项名称或内容</w:t>
            </w:r>
          </w:p>
        </w:tc>
        <w:tc>
          <w:tcPr>
            <w:tcW w:w="777" w:type="dxa"/>
            <w:noWrap w:val="0"/>
            <w:vAlign w:val="center"/>
          </w:tcPr>
          <w:p w14:paraId="09701D9D">
            <w:pPr>
              <w:pageBreakBefore w:val="0"/>
              <w:tabs>
                <w:tab w:val="left" w:pos="8280"/>
              </w:tabs>
              <w:kinsoku/>
              <w:wordWrap/>
              <w:overflowPunct/>
              <w:topLinePunct w:val="0"/>
              <w:autoSpaceDE w:val="0"/>
              <w:autoSpaceDN w:val="0"/>
              <w:bidi w:val="0"/>
              <w:adjustRightInd w:val="0"/>
              <w:spacing w:line="40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776" w:type="dxa"/>
            <w:noWrap w:val="0"/>
            <w:vAlign w:val="center"/>
          </w:tcPr>
          <w:p w14:paraId="2370F419">
            <w:pPr>
              <w:pageBreakBefore w:val="0"/>
              <w:tabs>
                <w:tab w:val="left" w:pos="8280"/>
              </w:tabs>
              <w:kinsoku/>
              <w:wordWrap/>
              <w:overflowPunct/>
              <w:topLinePunct w:val="0"/>
              <w:autoSpaceDE w:val="0"/>
              <w:autoSpaceDN w:val="0"/>
              <w:bidi w:val="0"/>
              <w:adjustRightInd w:val="0"/>
              <w:spacing w:line="40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200" w:type="dxa"/>
            <w:noWrap w:val="0"/>
            <w:vAlign w:val="center"/>
          </w:tcPr>
          <w:p w14:paraId="3FCE78E9">
            <w:pPr>
              <w:pageBreakBefore w:val="0"/>
              <w:tabs>
                <w:tab w:val="left" w:pos="8280"/>
              </w:tabs>
              <w:kinsoku/>
              <w:wordWrap/>
              <w:overflowPunct/>
              <w:topLinePunct w:val="0"/>
              <w:autoSpaceDE w:val="0"/>
              <w:autoSpaceDN w:val="0"/>
              <w:bidi w:val="0"/>
              <w:adjustRightInd w:val="0"/>
              <w:spacing w:line="40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预算金额（</w:t>
            </w:r>
            <w:r>
              <w:rPr>
                <w:rFonts w:hint="eastAsia" w:ascii="宋体" w:hAnsi="宋体" w:eastAsia="宋体" w:cs="宋体"/>
                <w:b/>
                <w:color w:val="auto"/>
                <w:szCs w:val="21"/>
                <w:highlight w:val="none"/>
                <w:lang w:eastAsia="zh-CN"/>
              </w:rPr>
              <w:t>万</w:t>
            </w:r>
            <w:r>
              <w:rPr>
                <w:rFonts w:hint="eastAsia" w:ascii="宋体" w:hAnsi="宋体" w:eastAsia="宋体" w:cs="宋体"/>
                <w:b/>
                <w:color w:val="auto"/>
                <w:szCs w:val="21"/>
                <w:highlight w:val="none"/>
                <w:lang w:val="en-US" w:eastAsia="zh-CN"/>
              </w:rPr>
              <w:t>元）</w:t>
            </w:r>
          </w:p>
        </w:tc>
        <w:tc>
          <w:tcPr>
            <w:tcW w:w="1201" w:type="dxa"/>
            <w:noWrap w:val="0"/>
            <w:vAlign w:val="center"/>
          </w:tcPr>
          <w:p w14:paraId="38B5B074">
            <w:pPr>
              <w:pageBreakBefore w:val="0"/>
              <w:tabs>
                <w:tab w:val="left" w:pos="8280"/>
              </w:tabs>
              <w:kinsoku/>
              <w:wordWrap/>
              <w:overflowPunct/>
              <w:topLinePunct w:val="0"/>
              <w:autoSpaceDE w:val="0"/>
              <w:autoSpaceDN w:val="0"/>
              <w:bidi w:val="0"/>
              <w:adjustRightInd w:val="0"/>
              <w:spacing w:line="40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最高限价</w:t>
            </w:r>
          </w:p>
          <w:p w14:paraId="74BDFF2B">
            <w:pPr>
              <w:pageBreakBefore w:val="0"/>
              <w:tabs>
                <w:tab w:val="left" w:pos="8280"/>
              </w:tabs>
              <w:kinsoku/>
              <w:wordWrap/>
              <w:overflowPunct/>
              <w:topLinePunct w:val="0"/>
              <w:autoSpaceDE w:val="0"/>
              <w:autoSpaceDN w:val="0"/>
              <w:bidi w:val="0"/>
              <w:adjustRightInd w:val="0"/>
              <w:spacing w:line="40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万</w:t>
            </w:r>
            <w:r>
              <w:rPr>
                <w:rFonts w:hint="eastAsia" w:ascii="宋体" w:hAnsi="宋体" w:eastAsia="宋体" w:cs="宋体"/>
                <w:b/>
                <w:color w:val="auto"/>
                <w:szCs w:val="21"/>
                <w:highlight w:val="none"/>
                <w:lang w:val="en-US" w:eastAsia="zh-CN"/>
              </w:rPr>
              <w:t>元</w:t>
            </w:r>
            <w:r>
              <w:rPr>
                <w:rFonts w:hint="eastAsia" w:ascii="宋体" w:hAnsi="宋体" w:eastAsia="宋体" w:cs="宋体"/>
                <w:b/>
                <w:color w:val="auto"/>
                <w:szCs w:val="21"/>
                <w:highlight w:val="none"/>
              </w:rPr>
              <w:t>）</w:t>
            </w:r>
          </w:p>
        </w:tc>
        <w:tc>
          <w:tcPr>
            <w:tcW w:w="2230" w:type="dxa"/>
            <w:noWrap w:val="0"/>
            <w:vAlign w:val="center"/>
          </w:tcPr>
          <w:p w14:paraId="31FFBD8F">
            <w:pPr>
              <w:pageBreakBefore w:val="0"/>
              <w:tabs>
                <w:tab w:val="left" w:pos="8280"/>
              </w:tabs>
              <w:kinsoku/>
              <w:wordWrap/>
              <w:overflowPunct/>
              <w:topLinePunct w:val="0"/>
              <w:autoSpaceDE w:val="0"/>
              <w:autoSpaceDN w:val="0"/>
              <w:bidi w:val="0"/>
              <w:adjustRightInd w:val="0"/>
              <w:spacing w:line="400" w:lineRule="exact"/>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具体工作范围</w:t>
            </w:r>
          </w:p>
        </w:tc>
        <w:tc>
          <w:tcPr>
            <w:tcW w:w="918" w:type="dxa"/>
            <w:noWrap w:val="0"/>
            <w:vAlign w:val="center"/>
          </w:tcPr>
          <w:p w14:paraId="5ECF349E">
            <w:pPr>
              <w:pageBreakBefore w:val="0"/>
              <w:tabs>
                <w:tab w:val="left" w:pos="8280"/>
              </w:tabs>
              <w:kinsoku/>
              <w:wordWrap/>
              <w:overflowPunct/>
              <w:topLinePunct w:val="0"/>
              <w:autoSpaceDE w:val="0"/>
              <w:autoSpaceDN w:val="0"/>
              <w:bidi w:val="0"/>
              <w:adjustRightInd w:val="0"/>
              <w:spacing w:line="400" w:lineRule="exact"/>
              <w:ind w:right="25"/>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备注</w:t>
            </w:r>
          </w:p>
        </w:tc>
      </w:tr>
      <w:tr w14:paraId="1B1C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61" w:type="dxa"/>
            <w:noWrap w:val="0"/>
            <w:vAlign w:val="center"/>
          </w:tcPr>
          <w:p w14:paraId="3AA4E97C">
            <w:pPr>
              <w:pageBreakBefore w:val="0"/>
              <w:tabs>
                <w:tab w:val="left" w:pos="8280"/>
              </w:tabs>
              <w:kinsoku/>
              <w:wordWrap/>
              <w:overflowPunct/>
              <w:topLinePunct w:val="0"/>
              <w:autoSpaceDE w:val="0"/>
              <w:autoSpaceDN w:val="0"/>
              <w:bidi w:val="0"/>
              <w:adjustRightInd w:val="0"/>
              <w:spacing w:line="400" w:lineRule="exact"/>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30" w:type="dxa"/>
            <w:noWrap w:val="0"/>
            <w:vAlign w:val="center"/>
          </w:tcPr>
          <w:p w14:paraId="0BB84A41">
            <w:pPr>
              <w:pageBreakBefore w:val="0"/>
              <w:widowControl/>
              <w:kinsoku/>
              <w:wordWrap/>
              <w:overflowPunct/>
              <w:topLinePunct w:val="0"/>
              <w:bidi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神仙居5A景区镇基础设施提升项目-游客集散中心（景区集散点）项目（重新招标）</w:t>
            </w:r>
          </w:p>
        </w:tc>
        <w:tc>
          <w:tcPr>
            <w:tcW w:w="777" w:type="dxa"/>
            <w:noWrap w:val="0"/>
            <w:vAlign w:val="center"/>
          </w:tcPr>
          <w:p w14:paraId="03141217">
            <w:pPr>
              <w:pageBreakBefore w:val="0"/>
              <w:tabs>
                <w:tab w:val="left" w:pos="8280"/>
              </w:tabs>
              <w:kinsoku/>
              <w:wordWrap/>
              <w:overflowPunct/>
              <w:topLinePunct w:val="0"/>
              <w:autoSpaceDE w:val="0"/>
              <w:autoSpaceDN w:val="0"/>
              <w:bidi w:val="0"/>
              <w:adjustRightInd w:val="0"/>
              <w:spacing w:line="400" w:lineRule="exact"/>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76" w:type="dxa"/>
            <w:noWrap w:val="0"/>
            <w:vAlign w:val="center"/>
          </w:tcPr>
          <w:p w14:paraId="36DE9248">
            <w:pPr>
              <w:pageBreakBefore w:val="0"/>
              <w:tabs>
                <w:tab w:val="left" w:pos="8280"/>
              </w:tabs>
              <w:kinsoku/>
              <w:wordWrap/>
              <w:overflowPunct/>
              <w:topLinePunct w:val="0"/>
              <w:autoSpaceDE w:val="0"/>
              <w:autoSpaceDN w:val="0"/>
              <w:bidi w:val="0"/>
              <w:adjustRightInd w:val="0"/>
              <w:spacing w:line="400" w:lineRule="exact"/>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200" w:type="dxa"/>
            <w:noWrap w:val="0"/>
            <w:vAlign w:val="center"/>
          </w:tcPr>
          <w:p w14:paraId="2916C586">
            <w:pPr>
              <w:widowControl/>
              <w:snapToGrid w:val="0"/>
              <w:spacing w:line="400" w:lineRule="exact"/>
              <w:jc w:val="center"/>
              <w:rPr>
                <w:rFonts w:hint="eastAsia" w:ascii="宋体" w:hAnsi="宋体" w:eastAsia="宋体" w:cs="宋体"/>
                <w:color w:val="auto"/>
                <w:szCs w:val="21"/>
                <w:highlight w:val="yellow"/>
              </w:rPr>
            </w:pPr>
            <w:r>
              <w:rPr>
                <w:rFonts w:hint="eastAsia" w:ascii="宋体" w:cs="宋体"/>
                <w:color w:val="auto"/>
                <w:szCs w:val="21"/>
                <w:highlight w:val="none"/>
                <w:lang w:val="en-US" w:eastAsia="zh-CN"/>
              </w:rPr>
              <w:t>345.1711</w:t>
            </w:r>
          </w:p>
        </w:tc>
        <w:tc>
          <w:tcPr>
            <w:tcW w:w="1201" w:type="dxa"/>
            <w:noWrap w:val="0"/>
            <w:vAlign w:val="center"/>
          </w:tcPr>
          <w:p w14:paraId="10B493DA">
            <w:pPr>
              <w:widowControl/>
              <w:snapToGrid w:val="0"/>
              <w:spacing w:line="400" w:lineRule="exact"/>
              <w:jc w:val="center"/>
              <w:rPr>
                <w:rFonts w:hint="eastAsia" w:ascii="宋体" w:hAnsi="宋体" w:eastAsia="宋体" w:cs="宋体"/>
                <w:color w:val="auto"/>
                <w:sz w:val="22"/>
                <w:szCs w:val="22"/>
                <w:highlight w:val="yellow"/>
                <w:lang w:eastAsia="zh-CN"/>
              </w:rPr>
            </w:pPr>
            <w:r>
              <w:rPr>
                <w:rFonts w:hint="eastAsia" w:ascii="宋体"/>
                <w:color w:val="auto"/>
                <w:szCs w:val="21"/>
                <w:highlight w:val="none"/>
              </w:rPr>
              <w:t>327.9125</w:t>
            </w:r>
          </w:p>
        </w:tc>
        <w:tc>
          <w:tcPr>
            <w:tcW w:w="2230" w:type="dxa"/>
            <w:noWrap w:val="0"/>
            <w:vAlign w:val="center"/>
          </w:tcPr>
          <w:p w14:paraId="3151F38E">
            <w:pPr>
              <w:pageBreakBefore w:val="0"/>
              <w:tabs>
                <w:tab w:val="left" w:pos="8280"/>
              </w:tabs>
              <w:kinsoku/>
              <w:wordWrap/>
              <w:overflowPunct/>
              <w:topLinePunct w:val="0"/>
              <w:autoSpaceDE w:val="0"/>
              <w:autoSpaceDN w:val="0"/>
              <w:bidi w:val="0"/>
              <w:adjustRightInd w:val="0"/>
              <w:spacing w:line="400" w:lineRule="exact"/>
              <w:ind w:right="25"/>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本项目由采购人提供的施工图纸及预算书中所包含的</w:t>
            </w:r>
            <w:r>
              <w:rPr>
                <w:rFonts w:hint="eastAsia" w:ascii="宋体" w:hAnsi="宋体" w:cs="宋体"/>
                <w:color w:val="auto"/>
                <w:szCs w:val="21"/>
                <w:highlight w:val="none"/>
              </w:rPr>
              <w:t>工程</w:t>
            </w:r>
            <w:r>
              <w:rPr>
                <w:rFonts w:hint="eastAsia" w:ascii="宋体" w:hAnsi="宋体" w:eastAsia="宋体" w:cs="宋体"/>
                <w:color w:val="auto"/>
                <w:szCs w:val="21"/>
                <w:highlight w:val="none"/>
              </w:rPr>
              <w:t>等项目组成。具体内容详见发包人提供的工程量清单及编制说明。</w:t>
            </w:r>
          </w:p>
        </w:tc>
        <w:tc>
          <w:tcPr>
            <w:tcW w:w="918" w:type="dxa"/>
            <w:noWrap w:val="0"/>
            <w:vAlign w:val="center"/>
          </w:tcPr>
          <w:p w14:paraId="5222086A">
            <w:pPr>
              <w:pageBreakBefore w:val="0"/>
              <w:tabs>
                <w:tab w:val="left" w:pos="8280"/>
              </w:tabs>
              <w:kinsoku/>
              <w:wordWrap/>
              <w:overflowPunct/>
              <w:topLinePunct w:val="0"/>
              <w:autoSpaceDE w:val="0"/>
              <w:autoSpaceDN w:val="0"/>
              <w:bidi w:val="0"/>
              <w:adjustRightInd w:val="0"/>
              <w:spacing w:line="400" w:lineRule="exact"/>
              <w:ind w:right="25"/>
              <w:jc w:val="center"/>
              <w:rPr>
                <w:rFonts w:hint="eastAsia" w:ascii="宋体" w:hAnsi="宋体" w:eastAsia="宋体" w:cs="宋体"/>
                <w:color w:val="auto"/>
                <w:szCs w:val="21"/>
                <w:highlight w:val="yellow"/>
              </w:rPr>
            </w:pPr>
          </w:p>
        </w:tc>
      </w:tr>
      <w:bookmarkEnd w:id="8"/>
      <w:bookmarkEnd w:id="9"/>
      <w:bookmarkEnd w:id="10"/>
      <w:bookmarkEnd w:id="11"/>
      <w:bookmarkEnd w:id="12"/>
      <w:bookmarkEnd w:id="13"/>
      <w:bookmarkEnd w:id="14"/>
    </w:tbl>
    <w:p w14:paraId="7E4A6ED4">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23" w:righ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二、项目概况</w:t>
      </w:r>
    </w:p>
    <w:p w14:paraId="5ECEE2AA">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1、服务范围及内容：</w:t>
      </w:r>
      <w:r>
        <w:rPr>
          <w:rFonts w:hint="eastAsia" w:ascii="宋体" w:hAnsi="宋体" w:eastAsia="宋体" w:cs="宋体"/>
          <w:color w:val="auto"/>
          <w:sz w:val="21"/>
          <w:szCs w:val="21"/>
          <w:highlight w:val="none"/>
          <w:lang w:val="en-US" w:eastAsia="zh-CN"/>
        </w:rPr>
        <w:t>本项目为王户村公房改造工程，公房位于王户村东侧，临近入村通道，现状建筑分为1#、3#、5#及11#四栋建筑，其中1#、3#、5#楼为一至二层的夯土墙结构，原始功能为民居建筑，外墙起到了承重墙的作用，11#楼为二层砖混结构建筑。拟改造建筑功能为景区集散点配套用房，溯溪道部分景观设施提升，作为游客中转、集散、旅游咨询与配套服务之用。</w:t>
      </w:r>
      <w:r>
        <w:rPr>
          <w:rFonts w:hint="eastAsia" w:ascii="宋体" w:hAnsi="宋体" w:eastAsia="宋体" w:cs="宋体"/>
          <w:color w:val="auto"/>
          <w:sz w:val="21"/>
          <w:szCs w:val="21"/>
          <w:highlight w:val="none"/>
          <w:lang w:eastAsia="zh-CN"/>
        </w:rPr>
        <w:t>具体内容详见采购人提供的工程量清单及编制说明。</w:t>
      </w:r>
    </w:p>
    <w:p w14:paraId="71F2D5B3">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项目地址：</w:t>
      </w:r>
      <w:r>
        <w:rPr>
          <w:rFonts w:hint="eastAsia" w:ascii="宋体" w:hAnsi="宋体" w:cs="宋体"/>
          <w:color w:val="auto"/>
          <w:sz w:val="21"/>
          <w:szCs w:val="21"/>
          <w:highlight w:val="none"/>
          <w:lang w:eastAsia="zh-CN"/>
        </w:rPr>
        <w:t>位于仙居县</w:t>
      </w:r>
      <w:r>
        <w:rPr>
          <w:rFonts w:hint="eastAsia" w:ascii="宋体" w:hAnsi="宋体" w:cs="宋体"/>
          <w:color w:val="auto"/>
          <w:sz w:val="21"/>
          <w:szCs w:val="21"/>
          <w:highlight w:val="none"/>
          <w:lang w:val="en-US" w:eastAsia="zh-CN"/>
        </w:rPr>
        <w:t>白塔镇</w:t>
      </w:r>
      <w:r>
        <w:rPr>
          <w:rFonts w:hint="eastAsia" w:ascii="宋体" w:hAnsi="宋体" w:eastAsia="宋体" w:cs="宋体"/>
          <w:color w:val="auto"/>
          <w:sz w:val="21"/>
          <w:szCs w:val="21"/>
          <w:highlight w:val="none"/>
        </w:rPr>
        <w:t>。</w:t>
      </w:r>
    </w:p>
    <w:p w14:paraId="4A366F5C">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val="en-US" w:eastAsia="zh-CN"/>
        </w:rPr>
        <w:t>3、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744E9DDE">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、规范要求</w:t>
      </w:r>
    </w:p>
    <w:p w14:paraId="4D8C543C">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依据设计施工图纸和技术规范要求，本工程项目的材料、设备、施工必须达到现行中华人民共和国及省、市、行业的一切有关法规、规范的要求，如标准及规范要求有出入则以较严格者为准。</w:t>
      </w:r>
    </w:p>
    <w:p w14:paraId="7E819FB4">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技术规范由供应商方自备，如有不足之处或未能达到国家最新标准时，供应商应使施工及选用的设备和材料符合最新版本的国家标准、规范。</w:t>
      </w:r>
    </w:p>
    <w:p w14:paraId="41DA08B0">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lang w:eastAsia="zh-CN"/>
        </w:rPr>
        <w:t>、施工要求</w:t>
      </w:r>
    </w:p>
    <w:p w14:paraId="2220BD63">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1、本工程施工严格按照规范要求进行施工，达到各项拟定的设计指标，确保工程质量达到国家合格验收标准。</w:t>
      </w:r>
    </w:p>
    <w:p w14:paraId="22A9D212">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在工程施工实施过程中，供应商必须制定文明施工、安全生产的各项规定，遵守总包责任人制定的现场管理制度，并无条件地接受采购人全方位、全过程的监督管理。保持现场和工程的井然有序，以免发生伤害事故。发生安全事故、火灾事故造成的损失，由承包商承担全部责任。</w:t>
      </w:r>
    </w:p>
    <w:p w14:paraId="7EDD6660">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3、所有材料设备必须在检验合格经采购人同意后，方可用于本工程。</w:t>
      </w:r>
    </w:p>
    <w:p w14:paraId="1A54131D">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4、隐蔽工程必须经采购人检查、验收后，方可进行下一道工序。</w:t>
      </w:r>
    </w:p>
    <w:p w14:paraId="523989E8">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5、在免费保修期内，成交供应商对有缺陷的部位必须无偿地给予修理与更换，并承担一切由此引起的对采购人或第三者的直接损失，除非该缺陷是由于人为破坏或合同规定的不可抗因素造成的损坏。</w:t>
      </w:r>
    </w:p>
    <w:p w14:paraId="33BC9200">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6、供应商必须对所承包的工程的质量负全部责任，其责任不因其他材料生产商提供的保证书而减轻或更改。</w:t>
      </w:r>
    </w:p>
    <w:p w14:paraId="468D4A47">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五、材料和设备质量要求</w:t>
      </w:r>
    </w:p>
    <w:p w14:paraId="3A0BFB9E">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1、承包人提供的材料和工程设备均由承包人负责采购、运输和保管。承包人应对其采购的材料和工程设备负责。</w:t>
      </w:r>
    </w:p>
    <w:p w14:paraId="65F82E33">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2、所有用于工程的材料和设备进场以前，承包人必须向发包人提交生产厂商出具的质量合格证书和承包人检验合格证书，证明材料、设备质量符合本合同技术规范的规定，以供发包人批准。</w:t>
      </w:r>
    </w:p>
    <w:p w14:paraId="2EC5A600">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3、承包人应随时按发包人的指令在制造、加工或施工现场对材料和设备进行检验，所需费用由承包人承担。</w:t>
      </w:r>
    </w:p>
    <w:p w14:paraId="4F8FE88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4、运入施工场地的材料、工程设备，包括备品备件、安装专用工器具与随机资料，必须专用于合同工程，未经发包人同意，承包人不得运出施工场地或挪作他用。</w:t>
      </w:r>
    </w:p>
    <w:p w14:paraId="48DE036E">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0" w:firstLineChars="200"/>
        <w:textAlignment w:val="auto"/>
        <w:rPr>
          <w:rFonts w:hint="eastAsia" w:ascii="宋体" w:hAnsi="宋体" w:cs="宋体"/>
          <w:b/>
          <w:color w:val="auto"/>
          <w:sz w:val="21"/>
          <w:szCs w:val="21"/>
          <w:highlight w:val="none"/>
          <w:lang w:val="en-US" w:eastAsia="zh-CN"/>
        </w:rPr>
      </w:pPr>
      <w:r>
        <w:rPr>
          <w:rFonts w:hint="eastAsia" w:ascii="宋体" w:hAnsi="宋体" w:cs="宋体"/>
          <w:color w:val="auto"/>
          <w:sz w:val="21"/>
          <w:szCs w:val="21"/>
          <w:highlight w:val="none"/>
          <w:lang w:val="en-US" w:eastAsia="zh-CN"/>
        </w:rPr>
        <w:t>5、本工程所采用的材料，承包人在磋商报价时必须考虑材料运至工地，到工地后的卸车、二次搬运、保管、验收所产生的费用。工程结算时，不作调整。承包人必须服从发包人安排并按发包人要求实施。</w:t>
      </w:r>
    </w:p>
    <w:p w14:paraId="7F89DCE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00" w:lineRule="exact"/>
        <w:ind w:right="0" w:righ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lang w:eastAsia="zh-CN"/>
        </w:rPr>
        <w:t>、工程管理要求</w:t>
      </w:r>
    </w:p>
    <w:p w14:paraId="46BE46F5">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1、本工程采购范围内的工程项目，未经采购人同意成交供应商不得将工程分包或转包。一经发现立即取消承包资格，作违约处理，并承担由此引起的一切经济损失。</w:t>
      </w:r>
    </w:p>
    <w:p w14:paraId="710E7D76">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1D26353B">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4393F24B">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4、供应商在工程施工全过程中要认真做好产品保护。凡由此而损及采购人利益时，采购人将向成交施工单位索赔。</w:t>
      </w:r>
    </w:p>
    <w:p w14:paraId="55D855F8">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5、施工期间，本工程用水用电由供应商自行考虑，相关费用计入投标报价中。</w:t>
      </w:r>
    </w:p>
    <w:p w14:paraId="12FA3342">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、供应商在响应文件中的承诺投入本项目实施人员的要求：</w:t>
      </w:r>
    </w:p>
    <w:p w14:paraId="7A59D3BA">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①供应商在响应文件中承诺的项目经理资格要求：具有建筑工程专业注册建造师二级及以上，并具有“三类人员”B类证书；</w:t>
      </w:r>
    </w:p>
    <w:p w14:paraId="0C992D1C">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②拟派本项目施工现场安全生产专职管理人员具有“三类人员”C类证书。</w:t>
      </w:r>
    </w:p>
    <w:p w14:paraId="7CF8A410">
      <w:pPr>
        <w:pStyle w:val="4"/>
        <w:keepNext/>
        <w:keepLines/>
        <w:pageBreakBefore w:val="0"/>
        <w:widowControl w:val="0"/>
        <w:kinsoku/>
        <w:wordWrap/>
        <w:overflowPunct/>
        <w:topLinePunct w:val="0"/>
        <w:autoSpaceDE/>
        <w:autoSpaceDN/>
        <w:bidi w:val="0"/>
        <w:adjustRightInd/>
        <w:snapToGrid w:val="0"/>
        <w:spacing w:before="0" w:after="0" w:line="400" w:lineRule="exact"/>
        <w:ind w:firstLine="422" w:firstLineChars="200"/>
        <w:textAlignment w:val="auto"/>
        <w:outlineLvl w:val="1"/>
        <w:rPr>
          <w:rFonts w:hint="eastAsia" w:ascii="宋体" w:hAnsi="宋体" w:eastAsia="宋体" w:cs="宋体"/>
          <w:b/>
          <w:bCs w:val="0"/>
          <w:color w:val="auto"/>
          <w:sz w:val="21"/>
          <w:szCs w:val="21"/>
          <w:highlight w:val="none"/>
          <w:lang w:val="en-US" w:eastAsia="zh-CN"/>
        </w:rPr>
      </w:pPr>
      <w:bookmarkStart w:id="17" w:name="_Toc31403"/>
      <w:r>
        <w:rPr>
          <w:rFonts w:hint="eastAsia" w:ascii="宋体" w:hAnsi="宋体" w:eastAsia="宋体" w:cs="宋体"/>
          <w:b/>
          <w:bCs w:val="0"/>
          <w:color w:val="auto"/>
          <w:sz w:val="21"/>
          <w:szCs w:val="21"/>
          <w:highlight w:val="none"/>
          <w:lang w:val="en-US" w:eastAsia="zh-CN"/>
        </w:rPr>
        <w:t>八、承包和计价方式</w:t>
      </w:r>
      <w:bookmarkEnd w:id="17"/>
    </w:p>
    <w:p w14:paraId="3F333ACA">
      <w:pPr>
        <w:pageBreakBefore w:val="0"/>
        <w:numPr>
          <w:ilvl w:val="0"/>
          <w:numId w:val="0"/>
        </w:numPr>
        <w:kinsoku/>
        <w:wordWrap/>
        <w:overflowPunct/>
        <w:topLinePunct w:val="0"/>
        <w:bidi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承包方式</w:t>
      </w:r>
    </w:p>
    <w:p w14:paraId="324C57F8">
      <w:pPr>
        <w:pageBreakBefore w:val="0"/>
        <w:kinsoku/>
        <w:wordWrap/>
        <w:overflowPunct/>
        <w:topLinePunct w:val="0"/>
        <w:bidi w:val="0"/>
        <w:adjustRightInd w:val="0"/>
        <w:snapToGrid w:val="0"/>
        <w:spacing w:line="400" w:lineRule="exact"/>
        <w:ind w:firstLine="420" w:firstLineChars="200"/>
        <w:rPr>
          <w:rFonts w:hint="eastAsia" w:ascii="宋体" w:hAnsi="宋体" w:cs="宋体"/>
          <w:kern w:val="0"/>
          <w:sz w:val="21"/>
          <w:szCs w:val="21"/>
        </w:rPr>
      </w:pPr>
      <w:r>
        <w:rPr>
          <w:rFonts w:hint="eastAsia" w:ascii="宋体" w:hAnsi="宋体" w:cs="宋体"/>
          <w:kern w:val="0"/>
          <w:sz w:val="21"/>
          <w:szCs w:val="21"/>
        </w:rPr>
        <w:t>包工、包料、包工期、包质量、包安全文明施工等。</w:t>
      </w:r>
    </w:p>
    <w:p w14:paraId="4FE90710">
      <w:pPr>
        <w:pageBreakBefore w:val="0"/>
        <w:numPr>
          <w:ilvl w:val="0"/>
          <w:numId w:val="0"/>
        </w:numPr>
        <w:kinsoku/>
        <w:wordWrap/>
        <w:overflowPunct/>
        <w:topLinePunct w:val="0"/>
        <w:bidi w:val="0"/>
        <w:adjustRightInd w:val="0"/>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lang w:val="en-US" w:eastAsia="zh-CN" w:bidi="ar-SA"/>
        </w:rPr>
        <w:t>2、</w:t>
      </w:r>
      <w:r>
        <w:rPr>
          <w:rFonts w:hint="eastAsia" w:ascii="宋体" w:hAnsi="宋体" w:cs="宋体"/>
          <w:color w:val="auto"/>
          <w:kern w:val="0"/>
          <w:sz w:val="21"/>
          <w:szCs w:val="21"/>
          <w:highlight w:val="none"/>
        </w:rPr>
        <w:t>计价方式</w:t>
      </w:r>
    </w:p>
    <w:p w14:paraId="3B5BE2A4">
      <w:pPr>
        <w:pageBreakBefore w:val="0"/>
        <w:numPr>
          <w:ilvl w:val="0"/>
          <w:numId w:val="0"/>
        </w:numPr>
        <w:kinsoku/>
        <w:wordWrap/>
        <w:overflowPunct/>
        <w:topLinePunct w:val="0"/>
        <w:bidi w:val="0"/>
        <w:adjustRightInd w:val="0"/>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采用固定综合单价计价方式。</w:t>
      </w:r>
    </w:p>
    <w:p w14:paraId="2B523512">
      <w:pPr>
        <w:pageBreakBefore w:val="0"/>
        <w:kinsoku/>
        <w:wordWrap/>
        <w:overflowPunct/>
        <w:topLinePunct w:val="0"/>
        <w:bidi w:val="0"/>
        <w:adjustRightInd w:val="0"/>
        <w:snapToGrid w:val="0"/>
        <w:spacing w:line="40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在合同执行期内综合单价固定不变，工程量按实结算</w:t>
      </w:r>
      <w:r>
        <w:rPr>
          <w:rFonts w:hint="eastAsia" w:ascii="宋体" w:hAnsi="宋体" w:cs="宋体"/>
          <w:color w:val="auto"/>
          <w:kern w:val="0"/>
          <w:sz w:val="21"/>
          <w:szCs w:val="21"/>
          <w:highlight w:val="none"/>
          <w:lang w:eastAsia="zh-CN"/>
        </w:rPr>
        <w:t>，</w:t>
      </w:r>
      <w:r>
        <w:rPr>
          <w:rFonts w:hint="eastAsia" w:ascii="宋体" w:hAnsi="宋体" w:eastAsia="宋体" w:cs="宋体"/>
          <w:bCs/>
          <w:color w:val="auto"/>
          <w:sz w:val="21"/>
          <w:szCs w:val="21"/>
          <w:highlight w:val="none"/>
        </w:rPr>
        <w:t>采购人有权单方面做出决定增加或减少或取消数量，但不得调整综合单价。引起承包总价变化，最终以审计为准。</w:t>
      </w:r>
    </w:p>
    <w:p w14:paraId="04AE71B2">
      <w:pPr>
        <w:pageBreakBefore w:val="0"/>
        <w:kinsoku/>
        <w:wordWrap/>
        <w:overflowPunct/>
        <w:topLinePunct w:val="0"/>
        <w:bidi w:val="0"/>
        <w:adjustRightInd w:val="0"/>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供应商</w:t>
      </w:r>
      <w:r>
        <w:rPr>
          <w:rFonts w:hint="eastAsia" w:ascii="宋体" w:hAnsi="宋体" w:cs="宋体"/>
          <w:color w:val="auto"/>
          <w:kern w:val="0"/>
          <w:sz w:val="21"/>
          <w:szCs w:val="21"/>
          <w:highlight w:val="none"/>
          <w:lang w:eastAsia="zh-CN"/>
        </w:rPr>
        <w:t>自行</w:t>
      </w:r>
      <w:r>
        <w:rPr>
          <w:rFonts w:hint="eastAsia" w:ascii="宋体" w:hAnsi="宋体" w:cs="宋体"/>
          <w:color w:val="auto"/>
          <w:kern w:val="0"/>
          <w:sz w:val="21"/>
          <w:szCs w:val="21"/>
          <w:highlight w:val="none"/>
        </w:rPr>
        <w:t>踏勘现场，</w:t>
      </w:r>
      <w:r>
        <w:rPr>
          <w:rFonts w:hint="eastAsia" w:ascii="宋体" w:hAnsi="宋体" w:eastAsia="宋体" w:cs="宋体"/>
          <w:color w:val="auto"/>
          <w:sz w:val="21"/>
          <w:szCs w:val="21"/>
          <w:highlight w:val="none"/>
        </w:rPr>
        <w:t>认真核对工程量清单中施工内容和工程量</w:t>
      </w:r>
      <w:r>
        <w:rPr>
          <w:rFonts w:hint="eastAsia" w:ascii="宋体" w:hAnsi="宋体" w:eastAsia="宋体" w:cs="宋体"/>
          <w:color w:val="auto"/>
          <w:sz w:val="21"/>
          <w:szCs w:val="21"/>
          <w:highlight w:val="none"/>
          <w:lang w:eastAsia="zh-CN"/>
        </w:rPr>
        <w:t>，</w:t>
      </w:r>
      <w:r>
        <w:rPr>
          <w:rFonts w:hint="eastAsia" w:ascii="宋体" w:hAnsi="宋体" w:cs="宋体"/>
          <w:color w:val="auto"/>
          <w:kern w:val="0"/>
          <w:sz w:val="21"/>
          <w:szCs w:val="21"/>
          <w:highlight w:val="none"/>
        </w:rPr>
        <w:t>确立合理的施工方案并充分考虑相应的措施项目及费用，对文件中存在的缺陷和不足进行深化、细化、完善和调整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14:paraId="37FF2A2F">
      <w:pPr>
        <w:pageBreakBefore w:val="0"/>
        <w:kinsoku/>
        <w:wordWrap/>
        <w:overflowPunct/>
        <w:topLinePunct w:val="0"/>
        <w:bidi w:val="0"/>
        <w:adjustRightInd w:val="0"/>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eastAsia="宋体" w:cs="宋体"/>
          <w:bCs/>
          <w:color w:val="auto"/>
          <w:sz w:val="21"/>
          <w:szCs w:val="21"/>
          <w:lang w:val="en-US" w:eastAsia="zh-CN"/>
        </w:rPr>
        <w:t>（4）</w:t>
      </w:r>
      <w:r>
        <w:rPr>
          <w:rFonts w:hint="eastAsia" w:ascii="宋体" w:hAnsi="宋体" w:eastAsia="宋体" w:cs="宋体"/>
          <w:color w:val="auto"/>
          <w:sz w:val="21"/>
          <w:szCs w:val="21"/>
        </w:rPr>
        <w:t>除非</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人对</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文件予以修改，</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应按</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提供的</w:t>
      </w:r>
      <w:r>
        <w:rPr>
          <w:rFonts w:hint="eastAsia" w:ascii="宋体" w:hAnsi="宋体" w:eastAsia="宋体" w:cs="宋体"/>
          <w:color w:val="auto"/>
          <w:sz w:val="21"/>
          <w:szCs w:val="21"/>
          <w:lang w:val="en-US" w:eastAsia="zh-CN"/>
        </w:rPr>
        <w:t>清单报价表</w:t>
      </w:r>
      <w:r>
        <w:rPr>
          <w:rFonts w:hint="eastAsia" w:ascii="宋体" w:hAnsi="宋体" w:eastAsia="宋体" w:cs="宋体"/>
          <w:color w:val="auto"/>
          <w:sz w:val="21"/>
          <w:szCs w:val="21"/>
        </w:rPr>
        <w:t>中列出的工程项目和工程量填报单价和合价。每一项目只允许有一个报价。任何有选择的报价将不予接受。</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未填单价或合价的工程项目，在实施后，</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将不予以支付，并视为该项费用已包括在</w:t>
      </w:r>
      <w:r>
        <w:rPr>
          <w:rFonts w:hint="eastAsia" w:ascii="宋体" w:hAnsi="宋体" w:cs="宋体"/>
          <w:color w:val="auto"/>
          <w:kern w:val="0"/>
          <w:sz w:val="21"/>
          <w:szCs w:val="21"/>
          <w:highlight w:val="none"/>
        </w:rPr>
        <w:t>其他有价款的单价或合价内。</w:t>
      </w:r>
    </w:p>
    <w:p w14:paraId="372EC246">
      <w:pPr>
        <w:pageBreakBefore w:val="0"/>
        <w:kinsoku/>
        <w:wordWrap/>
        <w:overflowPunct/>
        <w:topLinePunct w:val="0"/>
        <w:bidi w:val="0"/>
        <w:adjustRightInd w:val="0"/>
        <w:snapToGrid w:val="0"/>
        <w:spacing w:line="400" w:lineRule="exact"/>
        <w:ind w:firstLine="480"/>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工程总报价包括项目实施所需的包含人工费、材料费、燃料费、设备的进退场费用、二次搬运费、冬雨季施工增加费、行车、行人干扰增加费、检测费、保险费、管理费、利润及各种规费、税费、水费、电费、安全文明施工费、采购代理服务费、政策性文件规定及合同包含的所有风险责任等一切费用等完成合同所需的一切本身和不可或缺的所有工作开支、政策性文件规定及合同包含的所有风险、责任等各项全部费用并承担一切风险责任</w:t>
      </w:r>
      <w:r>
        <w:rPr>
          <w:rFonts w:hint="eastAsia" w:hAnsi="宋体" w:eastAsia="宋体" w:cs="宋体"/>
          <w:sz w:val="21"/>
          <w:szCs w:val="21"/>
          <w:highlight w:val="none"/>
          <w:lang w:eastAsia="zh-CN"/>
        </w:rPr>
        <w:t>。</w:t>
      </w:r>
    </w:p>
    <w:p w14:paraId="016CC889">
      <w:pPr>
        <w:pageBreakBefore w:val="0"/>
        <w:numPr>
          <w:ilvl w:val="0"/>
          <w:numId w:val="0"/>
        </w:numPr>
        <w:kinsoku/>
        <w:wordWrap/>
        <w:overflowPunct/>
        <w:topLinePunct w:val="0"/>
        <w:bidi w:val="0"/>
        <w:adjustRightInd w:val="0"/>
        <w:snapToGrid w:val="0"/>
        <w:spacing w:line="400" w:lineRule="exact"/>
        <w:ind w:firstLine="420" w:firstLineChars="200"/>
        <w:rPr>
          <w:rFonts w:hint="eastAsia" w:ascii="宋体" w:hAnsi="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cs="宋体"/>
          <w:kern w:val="0"/>
          <w:sz w:val="21"/>
          <w:szCs w:val="21"/>
        </w:rPr>
        <w:t>供应商应按要求填写相应表格，在填报价格及费用时应充分考虑国家现行技术标准、规范和施工说明要求。</w:t>
      </w:r>
    </w:p>
    <w:p w14:paraId="2B52E5D2">
      <w:pPr>
        <w:pageBreakBefore w:val="0"/>
        <w:tabs>
          <w:tab w:val="left" w:pos="8280"/>
        </w:tabs>
        <w:kinsoku/>
        <w:wordWrap/>
        <w:overflowPunct/>
        <w:topLinePunct w:val="0"/>
        <w:autoSpaceDE w:val="0"/>
        <w:autoSpaceDN w:val="0"/>
        <w:bidi w:val="0"/>
        <w:adjustRightInd w:val="0"/>
        <w:spacing w:line="400" w:lineRule="exact"/>
        <w:ind w:right="2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九</w:t>
      </w:r>
      <w:r>
        <w:rPr>
          <w:rFonts w:hint="eastAsia" w:ascii="宋体" w:hAnsi="宋体" w:eastAsia="宋体" w:cs="宋体"/>
          <w:b/>
          <w:color w:val="auto"/>
          <w:sz w:val="21"/>
          <w:szCs w:val="21"/>
          <w:highlight w:val="none"/>
        </w:rPr>
        <w:t>、商务条款</w:t>
      </w:r>
    </w:p>
    <w:tbl>
      <w:tblPr>
        <w:tblStyle w:val="2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569"/>
      </w:tblGrid>
      <w:tr w14:paraId="13F1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14:paraId="37370B3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eastAsia="zh-CN"/>
              </w:rPr>
              <w:t>合同履约期限</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5CBB895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kern w:val="0"/>
                <w:szCs w:val="21"/>
                <w:highlight w:val="none"/>
                <w:lang w:val="en-US" w:eastAsia="zh-CN"/>
              </w:rPr>
              <w:t>项目工期不超过60日历天（如遇政策处置问题工期顺延，具体开工时间以监理开工令发布为准）。</w:t>
            </w:r>
          </w:p>
        </w:tc>
      </w:tr>
      <w:tr w14:paraId="040D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14:paraId="587FA3B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highlight w:val="none"/>
                <w:lang w:eastAsia="zh-CN" w:bidi="ar"/>
              </w:rPr>
            </w:pPr>
            <w:r>
              <w:rPr>
                <w:rFonts w:hint="eastAsia" w:ascii="宋体" w:hAnsi="宋体" w:eastAsia="宋体" w:cs="宋体"/>
                <w:b/>
                <w:sz w:val="21"/>
                <w:szCs w:val="21"/>
                <w:highlight w:val="none"/>
                <w:lang w:eastAsia="zh-CN" w:bidi="ar"/>
              </w:rPr>
              <w:t>质量</w:t>
            </w:r>
            <w:r>
              <w:rPr>
                <w:rFonts w:hint="eastAsia" w:ascii="宋体" w:hAnsi="宋体" w:cs="宋体"/>
                <w:b/>
                <w:sz w:val="21"/>
                <w:szCs w:val="21"/>
                <w:highlight w:val="none"/>
                <w:lang w:val="en-US" w:eastAsia="zh-CN" w:bidi="ar"/>
              </w:rPr>
              <w:t>要求</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5CE49E0F">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合格</w:t>
            </w:r>
            <w:r>
              <w:rPr>
                <w:rFonts w:hint="eastAsia" w:ascii="宋体" w:eastAsia="宋体" w:cs="宋体"/>
                <w:sz w:val="21"/>
                <w:szCs w:val="21"/>
                <w:highlight w:val="none"/>
                <w:lang w:eastAsia="zh-CN"/>
              </w:rPr>
              <w:t>。</w:t>
            </w:r>
          </w:p>
        </w:tc>
      </w:tr>
      <w:tr w14:paraId="0C99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14:paraId="19ACDA7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highlight w:val="none"/>
                <w:lang w:val="en-US" w:eastAsia="zh-CN" w:bidi="ar"/>
              </w:rPr>
            </w:pPr>
            <w:r>
              <w:rPr>
                <w:rFonts w:hint="eastAsia" w:ascii="宋体" w:hAnsi="宋体" w:cs="宋体"/>
                <w:b/>
                <w:color w:val="auto"/>
                <w:sz w:val="21"/>
                <w:szCs w:val="21"/>
                <w:highlight w:val="none"/>
                <w:lang w:val="en-US" w:eastAsia="zh-CN" w:bidi="ar"/>
              </w:rPr>
              <w:t>保修要求</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1F1880B8">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本工程缺陷责任期为</w:t>
            </w:r>
            <w:r>
              <w:rPr>
                <w:rFonts w:hint="eastAsia" w:asci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p>
          <w:p w14:paraId="325257CD">
            <w:pPr>
              <w:pageBreakBefore w:val="0"/>
              <w:kinsoku/>
              <w:wordWrap/>
              <w:overflowPunct/>
              <w:topLinePunct w:val="0"/>
              <w:bidi w:val="0"/>
              <w:spacing w:line="400" w:lineRule="exact"/>
              <w:jc w:val="both"/>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成交供应商</w:t>
            </w:r>
            <w:r>
              <w:rPr>
                <w:rFonts w:hint="eastAsia" w:ascii="宋体" w:hAnsi="宋体" w:cs="宋体"/>
                <w:sz w:val="21"/>
                <w:szCs w:val="21"/>
                <w:highlight w:val="none"/>
              </w:rPr>
              <w:t>施工完毕，并在工程竣工验收合格办理移交手续之日，在签订的工程质量保修书期限内，为发包方提供免费服务。</w:t>
            </w:r>
          </w:p>
          <w:p w14:paraId="10DA3419">
            <w:pPr>
              <w:pageBreakBefore w:val="0"/>
              <w:kinsoku/>
              <w:wordWrap/>
              <w:overflowPunct/>
              <w:topLinePunct w:val="0"/>
              <w:bidi w:val="0"/>
              <w:spacing w:line="400" w:lineRule="exact"/>
              <w:jc w:val="both"/>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中标后承包人应与发包人签订工</w:t>
            </w:r>
            <w:r>
              <w:rPr>
                <w:rFonts w:hint="eastAsia" w:ascii="宋体" w:hAnsi="宋体" w:eastAsia="宋体" w:cs="宋体"/>
                <w:sz w:val="21"/>
                <w:szCs w:val="21"/>
                <w:highlight w:val="none"/>
                <w:lang w:eastAsia="zh-CN"/>
              </w:rPr>
              <w:t>程质量保修书，承包人在质量保修期内，按照有关法律、法规、规章的管理规定和双方约定，承担本工程质量保修责任。</w:t>
            </w:r>
          </w:p>
          <w:p w14:paraId="1D81A17C">
            <w:pPr>
              <w:pageBreakBefore w:val="0"/>
              <w:kinsoku/>
              <w:wordWrap/>
              <w:overflowPunct/>
              <w:topLinePunct w:val="0"/>
              <w:bidi w:val="0"/>
              <w:spacing w:line="4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承包人要对其所提供的施工、材料、设备及其内在工程质量负全部责任。</w:t>
            </w:r>
          </w:p>
        </w:tc>
      </w:tr>
      <w:tr w14:paraId="3C28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14:paraId="6F32D7E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highlight w:val="none"/>
                <w:lang w:eastAsia="zh-CN" w:bidi="ar"/>
              </w:rPr>
            </w:pPr>
            <w:r>
              <w:rPr>
                <w:rFonts w:hint="eastAsia" w:ascii="宋体" w:hAnsi="宋体" w:eastAsia="宋体" w:cs="宋体"/>
                <w:b/>
                <w:sz w:val="21"/>
                <w:szCs w:val="21"/>
                <w:highlight w:val="none"/>
                <w:lang w:bidi="ar"/>
              </w:rPr>
              <w:t>付款</w:t>
            </w:r>
            <w:r>
              <w:rPr>
                <w:rFonts w:hint="eastAsia" w:ascii="宋体" w:hAnsi="宋体" w:eastAsia="宋体" w:cs="宋体"/>
                <w:b/>
                <w:sz w:val="21"/>
                <w:szCs w:val="21"/>
                <w:highlight w:val="none"/>
                <w:lang w:eastAsia="zh-CN" w:bidi="ar"/>
              </w:rPr>
              <w:t>方式</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0071B7BF">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1</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highlight w:val="none"/>
                <w:lang w:val="en-US" w:eastAsia="zh-CN"/>
              </w:rPr>
              <w:t>本工程预付款为签约合同价的</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0%（包含2%工资性工程预付款，转入农民工工资专用账户；包含专用条款6.1.6条例所列的安全文明施工费，其余作为备料款），在合同生效，承包人人员设备进场后7个工作日内支付。</w:t>
            </w:r>
          </w:p>
          <w:p w14:paraId="6921B051">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发包人向承包人支付当期按12.1、12.3款（详见合同）计量合格工程量价款的80%（含</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0%预付款）。工程完工，验收达到要求的质量标准等级及竣工备案（如有）后，付至经发包人确认的已完成工程量的85%（含</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0%预付款）；发包人收到承包人递交的竣工结算报告及完整的结算资料后，经有资质的工程造价咨询机构审定后，在3个月内核实并付至工程结算价的 98.5 %，余下1.5%作为工程质量保修金（不计息）。其余按合同通用条款。</w:t>
            </w:r>
          </w:p>
          <w:p w14:paraId="0CE8CAB3">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承包人如采用银行保函〔保险保函〕等形式向采购单位提供与质保期时间一致的工程质量保证金保函后（保函或保单的费用由承包人自行承担），可付至工程结算价的100%。其余按合同通用条款。</w:t>
            </w:r>
          </w:p>
          <w:p w14:paraId="0B221EE1">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highlight w:val="none"/>
              </w:rPr>
            </w:pP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2</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highlight w:val="none"/>
              </w:rPr>
              <w:t>承包人须开具正规合法的建筑增值税发票提供给</w:t>
            </w:r>
            <w:r>
              <w:rPr>
                <w:rFonts w:hint="eastAsia" w:ascii="宋体" w:hAnsi="宋体" w:eastAsia="宋体" w:cs="宋体"/>
                <w:sz w:val="21"/>
                <w:szCs w:val="21"/>
                <w:highlight w:val="none"/>
                <w:lang w:eastAsia="zh-CN"/>
              </w:rPr>
              <w:t>发包人</w:t>
            </w:r>
            <w:r>
              <w:rPr>
                <w:rFonts w:hint="eastAsia" w:ascii="宋体" w:hAnsi="宋体" w:eastAsia="宋体" w:cs="宋体"/>
                <w:sz w:val="21"/>
                <w:szCs w:val="21"/>
                <w:highlight w:val="none"/>
              </w:rPr>
              <w:t>。</w:t>
            </w:r>
          </w:p>
          <w:p w14:paraId="797C8D0F">
            <w:pPr>
              <w:pStyle w:val="2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highlight w:val="none"/>
              </w:rPr>
              <w:t>在项目实施中</w:t>
            </w:r>
            <w:r>
              <w:rPr>
                <w:rFonts w:hint="eastAsia" w:ascii="宋体" w:hAnsi="宋体" w:eastAsia="宋体" w:cs="宋体"/>
                <w:sz w:val="21"/>
                <w:szCs w:val="21"/>
                <w:highlight w:val="none"/>
                <w:lang w:eastAsia="zh-CN"/>
              </w:rPr>
              <w:t>发包人</w:t>
            </w:r>
            <w:r>
              <w:rPr>
                <w:rFonts w:hint="eastAsia" w:ascii="宋体" w:hAnsi="宋体" w:eastAsia="宋体" w:cs="宋体"/>
                <w:sz w:val="21"/>
                <w:szCs w:val="21"/>
                <w:highlight w:val="none"/>
              </w:rPr>
              <w:t>有工作量增减需要的，在竣工结算时以出具的有效联系单为准，列入竣工结算款项，无甲方书面明确要求的，乙方不得擅自调整或变更。</w:t>
            </w:r>
          </w:p>
        </w:tc>
      </w:tr>
      <w:tr w14:paraId="63D4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14:paraId="74DE030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rPr>
              <w:t>履约保证金</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2A342EC1">
            <w:pPr>
              <w:pageBreakBefore w:val="0"/>
              <w:widowControl w:val="0"/>
              <w:tabs>
                <w:tab w:val="left" w:pos="8280"/>
              </w:tabs>
              <w:kinsoku/>
              <w:wordWrap/>
              <w:overflowPunct/>
              <w:topLinePunct w:val="0"/>
              <w:autoSpaceDE w:val="0"/>
              <w:autoSpaceDN w:val="0"/>
              <w:bidi w:val="0"/>
              <w:adjustRightInd w:val="0"/>
              <w:snapToGrid w:val="0"/>
              <w:spacing w:line="360" w:lineRule="auto"/>
              <w:ind w:right="0"/>
              <w:textAlignment w:val="auto"/>
              <w:rPr>
                <w:rFonts w:hint="eastAsia" w:ascii="宋体" w:hAnsi="宋体" w:eastAsia="宋体" w:cs="宋体"/>
                <w:sz w:val="21"/>
                <w:szCs w:val="21"/>
              </w:rPr>
            </w:pPr>
            <w:r>
              <w:rPr>
                <w:rFonts w:hint="eastAsia" w:ascii="宋体" w:hAnsi="宋体" w:eastAsia="宋体" w:cs="宋体"/>
                <w:sz w:val="21"/>
                <w:szCs w:val="21"/>
              </w:rPr>
              <w:t>（1）成交供应商向采购人提供履约担保，担保方式为：转账或采购人认可的形式（如银行保函、保险机构保证保险保单和融资担保公司保函 ），担保合同作为合同附件。担保额度：合同价</w:t>
            </w:r>
            <w:r>
              <w:rPr>
                <w:rFonts w:hint="eastAsia" w:ascii="宋体" w:hAnsi="宋体" w:eastAsia="宋体" w:cs="宋体"/>
                <w:sz w:val="21"/>
                <w:szCs w:val="21"/>
                <w:highlight w:val="none"/>
              </w:rPr>
              <w:t>的</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rPr>
              <w:t>。成交供应商应按合同规定向采购人提交履约保证金。</w:t>
            </w:r>
          </w:p>
          <w:p w14:paraId="17A0E9A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bidi="ar"/>
              </w:rPr>
            </w:pPr>
            <w:r>
              <w:rPr>
                <w:rFonts w:hint="eastAsia" w:ascii="宋体" w:hAnsi="宋体" w:eastAsia="宋体" w:cs="宋体"/>
                <w:sz w:val="21"/>
                <w:szCs w:val="21"/>
              </w:rPr>
              <w:t>（2）工程通过竣工验收合格后15日内退还，</w:t>
            </w:r>
            <w:r>
              <w:rPr>
                <w:rFonts w:hint="eastAsia" w:ascii="宋体" w:hAnsi="宋体" w:eastAsia="宋体" w:cs="宋体"/>
                <w:color w:val="0070C0"/>
                <w:sz w:val="21"/>
                <w:szCs w:val="21"/>
              </w:rPr>
              <w:t>(采用现金或转账方式递交的，利息按银行同期存款利率计息，利息随保证金同时退还)</w:t>
            </w:r>
            <w:r>
              <w:rPr>
                <w:rFonts w:hint="eastAsia" w:ascii="宋体" w:hAnsi="宋体" w:eastAsia="宋体" w:cs="宋体"/>
                <w:sz w:val="21"/>
                <w:szCs w:val="21"/>
              </w:rPr>
              <w:t>。承包人应保证履约担保在竣工验收合格前持续有效</w:t>
            </w:r>
            <w:r>
              <w:rPr>
                <w:rFonts w:hint="eastAsia" w:ascii="宋体" w:hAnsi="宋体" w:eastAsia="宋体" w:cs="宋体"/>
                <w:sz w:val="21"/>
                <w:szCs w:val="21"/>
                <w:lang w:val="zh-CN"/>
              </w:rPr>
              <w:t>。</w:t>
            </w:r>
            <w:r>
              <w:rPr>
                <w:rFonts w:hint="eastAsia" w:ascii="宋体" w:hAnsi="宋体" w:eastAsia="宋体" w:cs="宋体"/>
                <w:sz w:val="21"/>
                <w:szCs w:val="21"/>
              </w:rPr>
              <w:t>如成交供应商原因造成合同中止，履约担保金不返还；如成交供应商不能按</w:t>
            </w:r>
          </w:p>
        </w:tc>
      </w:tr>
    </w:tbl>
    <w:p w14:paraId="1D226FA3">
      <w:pPr>
        <w:pStyle w:val="4"/>
        <w:pageBreakBefore w:val="0"/>
        <w:numPr>
          <w:ilvl w:val="0"/>
          <w:numId w:val="0"/>
        </w:numPr>
        <w:kinsoku/>
        <w:wordWrap/>
        <w:overflowPunct/>
        <w:topLinePunct w:val="0"/>
        <w:bidi w:val="0"/>
        <w:spacing w:before="0" w:after="0" w:line="400" w:lineRule="exact"/>
        <w:rPr>
          <w:rFonts w:ascii="宋体" w:hAnsi="宋体" w:eastAsia="宋体" w:cs="宋体"/>
          <w:sz w:val="21"/>
          <w:szCs w:val="21"/>
        </w:rPr>
      </w:pPr>
      <w:bookmarkStart w:id="18" w:name="_Toc19484"/>
      <w:bookmarkStart w:id="19" w:name="_Toc32240"/>
      <w:r>
        <w:rPr>
          <w:rFonts w:hint="eastAsia" w:ascii="宋体" w:hAnsi="宋体" w:eastAsia="宋体" w:cs="宋体"/>
          <w:sz w:val="21"/>
          <w:szCs w:val="21"/>
          <w:lang w:eastAsia="zh-CN"/>
        </w:rPr>
        <w:t>十、</w:t>
      </w:r>
      <w:r>
        <w:rPr>
          <w:rFonts w:hint="eastAsia" w:ascii="宋体" w:hAnsi="宋体" w:eastAsia="宋体" w:cs="宋体"/>
          <w:sz w:val="21"/>
          <w:szCs w:val="21"/>
        </w:rPr>
        <w:t>注意事项</w:t>
      </w:r>
      <w:bookmarkEnd w:id="18"/>
      <w:bookmarkEnd w:id="19"/>
    </w:p>
    <w:p w14:paraId="70BB3479">
      <w:pPr>
        <w:pStyle w:val="12"/>
        <w:pageBreakBefore w:val="0"/>
        <w:widowControl/>
        <w:tabs>
          <w:tab w:val="left" w:pos="540"/>
        </w:tabs>
        <w:kinsoku/>
        <w:wordWrap/>
        <w:overflowPunct/>
        <w:topLinePunct w:val="0"/>
        <w:bidi w:val="0"/>
        <w:spacing w:line="400" w:lineRule="exact"/>
        <w:ind w:firstLine="420"/>
        <w:jc w:val="left"/>
        <w:rPr>
          <w:rFonts w:ascii="宋体" w:eastAsia="宋体" w:cs="宋体"/>
          <w:sz w:val="21"/>
          <w:szCs w:val="21"/>
        </w:rPr>
      </w:pPr>
      <w:r>
        <w:rPr>
          <w:rFonts w:hint="eastAsia" w:ascii="宋体" w:eastAsia="宋体" w:cs="宋体"/>
          <w:sz w:val="21"/>
          <w:szCs w:val="21"/>
        </w:rPr>
        <w:t>为了更好地实现采购目标，磋商小组可以修改竞争性磋商采购文件，对采购需求、合同草案作出实质性变动，并以书面形式通知所有参加磋商的供应商。供应商收到修改采购文件的通知后，可以决定是否继续参加磋商活动。</w:t>
      </w:r>
    </w:p>
    <w:p w14:paraId="41941716">
      <w:pPr>
        <w:keepNext w:val="0"/>
        <w:keepLines w:val="0"/>
        <w:pageBreakBefore w:val="0"/>
        <w:widowControl w:val="0"/>
        <w:tabs>
          <w:tab w:val="left" w:pos="400"/>
        </w:tabs>
        <w:kinsoku/>
        <w:wordWrap/>
        <w:overflowPunct/>
        <w:topLinePunct w:val="0"/>
        <w:bidi w:val="0"/>
        <w:adjustRightInd w:val="0"/>
        <w:snapToGrid w:val="0"/>
        <w:spacing w:line="350" w:lineRule="exact"/>
        <w:ind w:leftChars="0" w:right="0" w:firstLine="420" w:firstLineChars="200"/>
        <w:textAlignment w:val="auto"/>
        <w:rPr>
          <w:rFonts w:hint="eastAsia" w:ascii="宋体" w:hAnsi="宋体" w:eastAsia="宋体" w:cs="宋体"/>
          <w:color w:val="auto"/>
          <w:sz w:val="21"/>
          <w:szCs w:val="21"/>
          <w:highlight w:val="none"/>
        </w:rPr>
      </w:pPr>
    </w:p>
    <w:p w14:paraId="65E5021C">
      <w:pPr>
        <w:spacing w:line="360" w:lineRule="auto"/>
        <w:rPr>
          <w:rFonts w:ascii="宋体" w:cs="宋体"/>
          <w:color w:val="auto"/>
          <w:szCs w:val="21"/>
          <w:highlight w:val="none"/>
        </w:rPr>
      </w:pPr>
      <w:r>
        <w:rPr>
          <w:rFonts w:ascii="宋体" w:cs="宋体"/>
          <w:color w:val="auto"/>
          <w:szCs w:val="21"/>
          <w:highlight w:val="none"/>
        </w:rPr>
        <w:br w:type="page"/>
      </w:r>
    </w:p>
    <w:p w14:paraId="51DA946F">
      <w:pPr>
        <w:pStyle w:val="3"/>
        <w:spacing w:before="0" w:after="0" w:line="360" w:lineRule="auto"/>
        <w:jc w:val="center"/>
        <w:rPr>
          <w:rFonts w:ascii="宋体" w:cs="宋体"/>
          <w:color w:val="auto"/>
          <w:sz w:val="32"/>
          <w:szCs w:val="32"/>
          <w:highlight w:val="none"/>
        </w:rPr>
      </w:pPr>
      <w:r>
        <w:rPr>
          <w:rFonts w:hint="eastAsia" w:ascii="宋体" w:hAnsi="宋体" w:cs="宋体"/>
          <w:color w:val="auto"/>
          <w:sz w:val="32"/>
          <w:szCs w:val="32"/>
          <w:highlight w:val="none"/>
        </w:rPr>
        <w:t>第三章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投标须知</w:t>
      </w:r>
      <w:bookmarkEnd w:id="15"/>
      <w:bookmarkEnd w:id="16"/>
    </w:p>
    <w:p w14:paraId="6AA57704">
      <w:pPr>
        <w:pStyle w:val="4"/>
        <w:spacing w:before="0" w:after="0" w:line="360" w:lineRule="auto"/>
        <w:jc w:val="center"/>
        <w:rPr>
          <w:rFonts w:hint="eastAsia" w:ascii="宋体" w:hAnsi="宋体" w:eastAsia="宋体" w:cs="宋体"/>
          <w:color w:val="auto"/>
          <w:sz w:val="24"/>
          <w:szCs w:val="24"/>
          <w:highlight w:val="none"/>
        </w:rPr>
      </w:pPr>
      <w:bookmarkStart w:id="20" w:name="_Toc508888785"/>
      <w:bookmarkStart w:id="21" w:name="_Toc29209"/>
      <w:bookmarkStart w:id="22" w:name="_Toc23544"/>
      <w:bookmarkStart w:id="23" w:name="_Toc528927413"/>
      <w:bookmarkStart w:id="24" w:name="_Toc25252"/>
      <w:r>
        <w:rPr>
          <w:rFonts w:hint="eastAsia" w:ascii="宋体" w:hAnsi="宋体" w:eastAsia="宋体" w:cs="宋体"/>
          <w:color w:val="auto"/>
          <w:sz w:val="24"/>
          <w:szCs w:val="24"/>
          <w:highlight w:val="none"/>
        </w:rPr>
        <w:t>前</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附</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表</w:t>
      </w:r>
      <w:bookmarkEnd w:id="20"/>
      <w:bookmarkEnd w:id="21"/>
      <w:bookmarkEnd w:id="22"/>
      <w:bookmarkEnd w:id="23"/>
      <w:bookmarkEnd w:id="24"/>
    </w:p>
    <w:tbl>
      <w:tblPr>
        <w:tblStyle w:val="28"/>
        <w:tblpPr w:topFromText="180" w:bottomFromText="180" w:vertAnchor="text" w:horzAnchor="margin" w:tblpXSpec="center" w:tblpY="251"/>
        <w:tblOverlap w:val="never"/>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06"/>
        <w:gridCol w:w="7201"/>
      </w:tblGrid>
      <w:tr w14:paraId="30B2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91" w:type="dxa"/>
            <w:shd w:val="clear" w:color="auto" w:fill="D7D7D7"/>
            <w:vAlign w:val="center"/>
          </w:tcPr>
          <w:p w14:paraId="2BB38CDE">
            <w:pPr>
              <w:spacing w:line="360" w:lineRule="auto"/>
              <w:jc w:val="center"/>
              <w:rPr>
                <w:rFonts w:ascii="宋体" w:cs="宋体"/>
                <w:b/>
                <w:color w:val="auto"/>
                <w:szCs w:val="21"/>
                <w:highlight w:val="none"/>
              </w:rPr>
            </w:pPr>
            <w:r>
              <w:rPr>
                <w:rFonts w:hint="eastAsia" w:ascii="宋体" w:hAnsi="宋体" w:cs="宋体"/>
                <w:b/>
                <w:color w:val="auto"/>
                <w:szCs w:val="21"/>
                <w:highlight w:val="none"/>
              </w:rPr>
              <w:t>条款号</w:t>
            </w:r>
          </w:p>
        </w:tc>
        <w:tc>
          <w:tcPr>
            <w:tcW w:w="1606" w:type="dxa"/>
            <w:shd w:val="clear" w:color="auto" w:fill="D7D7D7"/>
            <w:vAlign w:val="center"/>
          </w:tcPr>
          <w:p w14:paraId="02DEC3BF">
            <w:pPr>
              <w:spacing w:line="360" w:lineRule="auto"/>
              <w:jc w:val="center"/>
              <w:rPr>
                <w:rFonts w:ascii="宋体" w:cs="宋体"/>
                <w:b/>
                <w:color w:val="auto"/>
                <w:szCs w:val="21"/>
                <w:highlight w:val="none"/>
              </w:rPr>
            </w:pPr>
            <w:r>
              <w:rPr>
                <w:rFonts w:hint="eastAsia" w:ascii="宋体" w:hAnsi="宋体" w:cs="宋体"/>
                <w:b/>
                <w:color w:val="auto"/>
                <w:szCs w:val="21"/>
                <w:highlight w:val="none"/>
              </w:rPr>
              <w:t>名称</w:t>
            </w:r>
          </w:p>
        </w:tc>
        <w:tc>
          <w:tcPr>
            <w:tcW w:w="7201" w:type="dxa"/>
            <w:shd w:val="clear" w:color="auto" w:fill="D7D7D7"/>
            <w:vAlign w:val="center"/>
          </w:tcPr>
          <w:p w14:paraId="4E9C15C3">
            <w:pPr>
              <w:spacing w:line="360" w:lineRule="auto"/>
              <w:jc w:val="center"/>
              <w:rPr>
                <w:rFonts w:ascii="宋体" w:cs="宋体"/>
                <w:b/>
                <w:color w:val="auto"/>
                <w:szCs w:val="21"/>
                <w:highlight w:val="none"/>
              </w:rPr>
            </w:pPr>
            <w:r>
              <w:rPr>
                <w:rFonts w:hint="eastAsia" w:ascii="宋体" w:hAnsi="宋体" w:cs="宋体"/>
                <w:b/>
                <w:color w:val="auto"/>
                <w:szCs w:val="21"/>
                <w:highlight w:val="none"/>
              </w:rPr>
              <w:t>内容及要求</w:t>
            </w:r>
          </w:p>
        </w:tc>
      </w:tr>
      <w:tr w14:paraId="4434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91" w:type="dxa"/>
            <w:vAlign w:val="center"/>
          </w:tcPr>
          <w:p w14:paraId="016E4D0C">
            <w:pPr>
              <w:spacing w:line="360" w:lineRule="auto"/>
              <w:jc w:val="center"/>
              <w:rPr>
                <w:rFonts w:ascii="宋体" w:cs="宋体"/>
                <w:bCs/>
                <w:color w:val="auto"/>
                <w:szCs w:val="21"/>
                <w:highlight w:val="none"/>
              </w:rPr>
            </w:pPr>
            <w:r>
              <w:rPr>
                <w:rFonts w:ascii="宋体" w:hAnsi="宋体" w:cs="宋体"/>
                <w:bCs/>
                <w:color w:val="auto"/>
                <w:szCs w:val="21"/>
                <w:highlight w:val="none"/>
              </w:rPr>
              <w:t>2.2</w:t>
            </w:r>
          </w:p>
        </w:tc>
        <w:tc>
          <w:tcPr>
            <w:tcW w:w="1606" w:type="dxa"/>
            <w:vAlign w:val="center"/>
          </w:tcPr>
          <w:p w14:paraId="4287163E">
            <w:pPr>
              <w:spacing w:line="360" w:lineRule="auto"/>
              <w:jc w:val="center"/>
              <w:rPr>
                <w:rFonts w:ascii="宋体" w:cs="宋体"/>
                <w:bCs/>
                <w:color w:val="auto"/>
                <w:szCs w:val="21"/>
                <w:highlight w:val="none"/>
              </w:rPr>
            </w:pPr>
            <w:r>
              <w:rPr>
                <w:rFonts w:hint="eastAsia" w:ascii="宋体" w:hAnsi="宋体" w:cs="宋体"/>
                <w:bCs/>
                <w:color w:val="auto"/>
                <w:szCs w:val="21"/>
                <w:highlight w:val="none"/>
              </w:rPr>
              <w:t>项目名称</w:t>
            </w:r>
          </w:p>
        </w:tc>
        <w:tc>
          <w:tcPr>
            <w:tcW w:w="7201" w:type="dxa"/>
            <w:vAlign w:val="center"/>
          </w:tcPr>
          <w:p w14:paraId="224557FC">
            <w:pPr>
              <w:spacing w:line="360" w:lineRule="auto"/>
              <w:ind w:firstLine="210" w:firstLineChars="100"/>
              <w:jc w:val="left"/>
              <w:rPr>
                <w:rFonts w:ascii="宋体" w:cs="宋体"/>
                <w:bCs/>
                <w:color w:val="auto"/>
                <w:szCs w:val="21"/>
                <w:highlight w:val="none"/>
              </w:rPr>
            </w:pPr>
            <w:r>
              <w:rPr>
                <w:rFonts w:hint="eastAsia" w:ascii="宋体" w:hAnsi="宋体" w:cs="宋体"/>
                <w:bCs/>
                <w:color w:val="auto"/>
                <w:szCs w:val="21"/>
                <w:highlight w:val="none"/>
                <w:lang w:eastAsia="zh-CN"/>
              </w:rPr>
              <w:t>神仙居5A景区镇基础设施提升项目-游客集散中心（景区集散点）项目（重新招标）</w:t>
            </w:r>
          </w:p>
        </w:tc>
      </w:tr>
      <w:tr w14:paraId="0BA1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91" w:type="dxa"/>
            <w:vAlign w:val="center"/>
          </w:tcPr>
          <w:p w14:paraId="1BA41521">
            <w:pPr>
              <w:spacing w:line="360" w:lineRule="auto"/>
              <w:jc w:val="center"/>
              <w:rPr>
                <w:rFonts w:ascii="宋体" w:cs="宋体"/>
                <w:bCs/>
                <w:color w:val="auto"/>
                <w:szCs w:val="21"/>
                <w:highlight w:val="none"/>
              </w:rPr>
            </w:pPr>
            <w:r>
              <w:rPr>
                <w:rFonts w:ascii="宋体" w:hAnsi="宋体" w:cs="宋体"/>
                <w:bCs/>
                <w:color w:val="auto"/>
                <w:szCs w:val="21"/>
                <w:highlight w:val="none"/>
              </w:rPr>
              <w:t>3.2</w:t>
            </w:r>
          </w:p>
        </w:tc>
        <w:tc>
          <w:tcPr>
            <w:tcW w:w="1606" w:type="dxa"/>
            <w:vAlign w:val="center"/>
          </w:tcPr>
          <w:p w14:paraId="1B256FE2">
            <w:pPr>
              <w:spacing w:line="360" w:lineRule="auto"/>
              <w:jc w:val="center"/>
              <w:rPr>
                <w:rFonts w:ascii="宋体" w:cs="宋体"/>
                <w:bCs/>
                <w:color w:val="auto"/>
                <w:szCs w:val="21"/>
                <w:highlight w:val="none"/>
              </w:rPr>
            </w:pPr>
            <w:r>
              <w:rPr>
                <w:rFonts w:hint="eastAsia" w:ascii="宋体" w:hAnsi="宋体" w:cs="宋体"/>
                <w:bCs/>
                <w:color w:val="auto"/>
                <w:szCs w:val="21"/>
                <w:highlight w:val="none"/>
              </w:rPr>
              <w:t>采购内容</w:t>
            </w:r>
          </w:p>
        </w:tc>
        <w:tc>
          <w:tcPr>
            <w:tcW w:w="7201" w:type="dxa"/>
            <w:vAlign w:val="center"/>
          </w:tcPr>
          <w:p w14:paraId="14042977">
            <w:pPr>
              <w:spacing w:line="360" w:lineRule="auto"/>
              <w:ind w:firstLine="210" w:firstLineChars="100"/>
              <w:rPr>
                <w:rFonts w:ascii="宋体" w:cs="宋体"/>
                <w:bCs/>
                <w:color w:val="auto"/>
                <w:szCs w:val="21"/>
                <w:highlight w:val="none"/>
              </w:rPr>
            </w:pPr>
            <w:r>
              <w:rPr>
                <w:rFonts w:hint="eastAsia" w:ascii="宋体" w:hAnsi="宋体" w:cs="宋体"/>
                <w:bCs/>
                <w:color w:val="auto"/>
                <w:szCs w:val="21"/>
                <w:highlight w:val="none"/>
              </w:rPr>
              <w:t>详见本采购文件“第二章</w:t>
            </w:r>
            <w:r>
              <w:rPr>
                <w:rFonts w:ascii="宋体" w:hAnsi="宋体" w:cs="宋体"/>
                <w:bCs/>
                <w:color w:val="auto"/>
                <w:szCs w:val="21"/>
                <w:highlight w:val="none"/>
              </w:rPr>
              <w:t xml:space="preserve"> </w:t>
            </w:r>
            <w:r>
              <w:rPr>
                <w:rFonts w:hint="eastAsia" w:ascii="宋体" w:hAnsi="宋体" w:cs="宋体"/>
                <w:bCs/>
                <w:color w:val="auto"/>
                <w:szCs w:val="21"/>
                <w:highlight w:val="none"/>
              </w:rPr>
              <w:t>采购需求”内容</w:t>
            </w:r>
          </w:p>
        </w:tc>
      </w:tr>
      <w:tr w14:paraId="2911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991" w:type="dxa"/>
            <w:vAlign w:val="center"/>
          </w:tcPr>
          <w:p w14:paraId="1974A2F1">
            <w:pPr>
              <w:spacing w:line="360" w:lineRule="auto"/>
              <w:jc w:val="center"/>
              <w:rPr>
                <w:rFonts w:ascii="宋体" w:cs="宋体"/>
                <w:bCs/>
                <w:color w:val="auto"/>
                <w:szCs w:val="21"/>
                <w:highlight w:val="none"/>
              </w:rPr>
            </w:pPr>
            <w:r>
              <w:rPr>
                <w:rFonts w:ascii="宋体" w:hAnsi="宋体" w:cs="宋体"/>
                <w:bCs/>
                <w:color w:val="auto"/>
                <w:szCs w:val="21"/>
                <w:highlight w:val="none"/>
              </w:rPr>
              <w:t>4.2</w:t>
            </w:r>
          </w:p>
        </w:tc>
        <w:tc>
          <w:tcPr>
            <w:tcW w:w="1606" w:type="dxa"/>
            <w:vAlign w:val="center"/>
          </w:tcPr>
          <w:p w14:paraId="78C5D6F6">
            <w:pPr>
              <w:spacing w:line="360" w:lineRule="auto"/>
              <w:jc w:val="center"/>
              <w:rPr>
                <w:rFonts w:ascii="宋体" w:cs="宋体"/>
                <w:bCs/>
                <w:color w:val="auto"/>
                <w:szCs w:val="21"/>
                <w:highlight w:val="none"/>
              </w:rPr>
            </w:pPr>
            <w:r>
              <w:rPr>
                <w:rFonts w:hint="eastAsia" w:ascii="宋体" w:hAnsi="宋体" w:cs="宋体"/>
                <w:bCs/>
                <w:color w:val="auto"/>
                <w:szCs w:val="21"/>
                <w:highlight w:val="none"/>
              </w:rPr>
              <w:t>采购人</w:t>
            </w:r>
          </w:p>
        </w:tc>
        <w:tc>
          <w:tcPr>
            <w:tcW w:w="7201" w:type="dxa"/>
            <w:vAlign w:val="center"/>
          </w:tcPr>
          <w:p w14:paraId="42F598FF">
            <w:pPr>
              <w:spacing w:line="360" w:lineRule="auto"/>
              <w:ind w:firstLine="210" w:firstLineChars="100"/>
              <w:rPr>
                <w:rFonts w:hint="eastAsia" w:ascii="宋体" w:hAnsi="宋体" w:eastAsia="宋体" w:cs="宋体"/>
                <w:bCs/>
                <w:color w:val="auto"/>
                <w:szCs w:val="21"/>
                <w:highlight w:val="none"/>
              </w:rPr>
            </w:pPr>
            <w:r>
              <w:rPr>
                <w:rFonts w:hint="eastAsia" w:ascii="宋体" w:hAnsi="宋体"/>
                <w:bCs/>
                <w:color w:val="auto"/>
                <w:szCs w:val="21"/>
                <w:highlight w:val="none"/>
              </w:rPr>
              <w:t>采购人名</w:t>
            </w:r>
            <w:r>
              <w:rPr>
                <w:rFonts w:hint="eastAsia" w:ascii="宋体" w:hAnsi="宋体" w:eastAsia="宋体" w:cs="宋体"/>
                <w:bCs/>
                <w:color w:val="auto"/>
                <w:szCs w:val="21"/>
                <w:highlight w:val="none"/>
              </w:rPr>
              <w:t>称：仙居县白塔镇人民政府</w:t>
            </w:r>
          </w:p>
          <w:p w14:paraId="3890195A">
            <w:pPr>
              <w:spacing w:line="360" w:lineRule="auto"/>
              <w:ind w:firstLine="210" w:firstLineChars="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cs="宋体"/>
                <w:bCs/>
                <w:color w:val="auto"/>
                <w:szCs w:val="21"/>
                <w:highlight w:val="none"/>
                <w:lang w:eastAsia="zh-CN"/>
              </w:rPr>
              <w:t>李先生</w:t>
            </w:r>
            <w:r>
              <w:rPr>
                <w:rFonts w:hint="eastAsia" w:ascii="宋体" w:hAnsi="宋体" w:eastAsia="宋体" w:cs="宋体"/>
                <w:bCs/>
                <w:color w:val="auto"/>
                <w:szCs w:val="21"/>
                <w:highlight w:val="none"/>
              </w:rPr>
              <w:t xml:space="preserve">  </w:t>
            </w:r>
          </w:p>
          <w:p w14:paraId="2450DF10">
            <w:pPr>
              <w:spacing w:line="360" w:lineRule="auto"/>
              <w:ind w:firstLine="210" w:firstLineChars="1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联系电话：</w:t>
            </w:r>
            <w:r>
              <w:rPr>
                <w:rFonts w:hint="eastAsia" w:ascii="宋体" w:hAnsi="宋体" w:cs="宋体"/>
                <w:color w:val="auto"/>
                <w:szCs w:val="21"/>
                <w:highlight w:val="none"/>
                <w:lang w:eastAsia="zh-CN"/>
              </w:rPr>
              <w:t>13566491466</w:t>
            </w:r>
          </w:p>
          <w:p w14:paraId="1DC0C828">
            <w:pPr>
              <w:spacing w:line="360" w:lineRule="auto"/>
              <w:ind w:firstLine="210" w:firstLineChars="100"/>
              <w:rPr>
                <w:rFonts w:hint="eastAsia" w:ascii="宋体" w:eastAsia="宋体" w:cs="宋体"/>
                <w:bCs/>
                <w:color w:val="auto"/>
                <w:szCs w:val="21"/>
                <w:highlight w:val="none"/>
                <w:lang w:eastAsia="zh-CN"/>
              </w:rPr>
            </w:pPr>
            <w:r>
              <w:rPr>
                <w:rFonts w:hint="eastAsia" w:ascii="宋体" w:hAnsi="宋体"/>
                <w:bCs/>
                <w:color w:val="auto"/>
                <w:szCs w:val="21"/>
                <w:highlight w:val="none"/>
              </w:rPr>
              <w:t>联系地址：</w:t>
            </w:r>
            <w:r>
              <w:rPr>
                <w:rFonts w:hint="eastAsia" w:cs="宋体"/>
                <w:color w:val="auto"/>
                <w:szCs w:val="21"/>
                <w:highlight w:val="none"/>
                <w:lang w:eastAsia="zh-CN"/>
              </w:rPr>
              <w:t>仙居县白塔镇</w:t>
            </w:r>
          </w:p>
        </w:tc>
      </w:tr>
      <w:tr w14:paraId="4307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991" w:type="dxa"/>
            <w:vAlign w:val="center"/>
          </w:tcPr>
          <w:p w14:paraId="1FD28413">
            <w:pPr>
              <w:spacing w:line="360" w:lineRule="auto"/>
              <w:jc w:val="center"/>
              <w:rPr>
                <w:rFonts w:ascii="宋体" w:cs="宋体"/>
                <w:bCs/>
                <w:color w:val="auto"/>
                <w:szCs w:val="21"/>
                <w:highlight w:val="none"/>
              </w:rPr>
            </w:pPr>
            <w:r>
              <w:rPr>
                <w:rFonts w:ascii="宋体" w:hAnsi="宋体" w:cs="宋体"/>
                <w:bCs/>
                <w:color w:val="auto"/>
                <w:szCs w:val="21"/>
                <w:highlight w:val="none"/>
              </w:rPr>
              <w:t>4.3</w:t>
            </w:r>
          </w:p>
        </w:tc>
        <w:tc>
          <w:tcPr>
            <w:tcW w:w="1606" w:type="dxa"/>
            <w:vAlign w:val="center"/>
          </w:tcPr>
          <w:p w14:paraId="64BB9768">
            <w:pPr>
              <w:spacing w:line="360" w:lineRule="auto"/>
              <w:jc w:val="center"/>
              <w:rPr>
                <w:rFonts w:ascii="宋体" w:cs="宋体"/>
                <w:bCs/>
                <w:color w:val="auto"/>
                <w:szCs w:val="21"/>
                <w:highlight w:val="none"/>
              </w:rPr>
            </w:pPr>
            <w:r>
              <w:rPr>
                <w:rFonts w:hint="eastAsia" w:ascii="宋体" w:hAnsi="宋体" w:cs="宋体"/>
                <w:bCs/>
                <w:color w:val="auto"/>
                <w:szCs w:val="21"/>
                <w:highlight w:val="none"/>
              </w:rPr>
              <w:t>采购代理机构</w:t>
            </w:r>
          </w:p>
        </w:tc>
        <w:tc>
          <w:tcPr>
            <w:tcW w:w="7201" w:type="dxa"/>
            <w:vAlign w:val="center"/>
          </w:tcPr>
          <w:p w14:paraId="096C5CE3">
            <w:pPr>
              <w:spacing w:line="360" w:lineRule="auto"/>
              <w:ind w:firstLine="210" w:firstLineChars="100"/>
              <w:rPr>
                <w:rFonts w:ascii="宋体" w:cs="宋体"/>
                <w:bCs/>
                <w:color w:val="auto"/>
                <w:szCs w:val="21"/>
                <w:highlight w:val="none"/>
              </w:rPr>
            </w:pPr>
            <w:r>
              <w:rPr>
                <w:rFonts w:hint="eastAsia" w:ascii="宋体" w:hAnsi="宋体" w:cs="宋体"/>
                <w:bCs/>
                <w:color w:val="auto"/>
                <w:szCs w:val="21"/>
                <w:highlight w:val="none"/>
              </w:rPr>
              <w:t>采购代理机构名称：浙江聚信工程管理有限公司</w:t>
            </w:r>
          </w:p>
          <w:p w14:paraId="0433E67E">
            <w:pPr>
              <w:spacing w:line="360" w:lineRule="auto"/>
              <w:ind w:firstLine="210" w:firstLineChars="100"/>
              <w:rPr>
                <w:rFonts w:ascii="宋体" w:cs="宋体"/>
                <w:bCs/>
                <w:color w:val="auto"/>
                <w:szCs w:val="21"/>
                <w:highlight w:val="none"/>
              </w:rPr>
            </w:pPr>
            <w:r>
              <w:rPr>
                <w:rFonts w:hint="eastAsia" w:ascii="宋体" w:hAnsi="宋体" w:cs="宋体"/>
                <w:bCs/>
                <w:color w:val="auto"/>
                <w:szCs w:val="21"/>
                <w:highlight w:val="none"/>
              </w:rPr>
              <w:t>联系人：周女士</w:t>
            </w:r>
            <w:r>
              <w:rPr>
                <w:rFonts w:ascii="宋体" w:hAnsi="宋体" w:cs="宋体"/>
                <w:bCs/>
                <w:color w:val="auto"/>
                <w:szCs w:val="21"/>
                <w:highlight w:val="none"/>
              </w:rPr>
              <w:t xml:space="preserve">      </w:t>
            </w:r>
          </w:p>
          <w:p w14:paraId="0F797683">
            <w:pPr>
              <w:spacing w:line="360" w:lineRule="auto"/>
              <w:ind w:firstLine="210" w:firstLineChars="100"/>
              <w:rPr>
                <w:rFonts w:ascii="宋体" w:cs="宋体"/>
                <w:bCs/>
                <w:color w:val="auto"/>
                <w:szCs w:val="21"/>
                <w:highlight w:val="none"/>
              </w:rPr>
            </w:pPr>
            <w:r>
              <w:rPr>
                <w:rFonts w:hint="eastAsia" w:ascii="宋体" w:hAnsi="宋体" w:cs="宋体"/>
                <w:bCs/>
                <w:color w:val="auto"/>
                <w:szCs w:val="21"/>
                <w:highlight w:val="none"/>
              </w:rPr>
              <w:t>联系电话：</w:t>
            </w:r>
            <w:r>
              <w:rPr>
                <w:rFonts w:ascii="宋体" w:hAnsi="宋体" w:cs="宋体"/>
                <w:bCs/>
                <w:color w:val="auto"/>
                <w:szCs w:val="21"/>
                <w:highlight w:val="none"/>
              </w:rPr>
              <w:t xml:space="preserve">0576-87785155   </w:t>
            </w:r>
          </w:p>
          <w:p w14:paraId="3ADEC53D">
            <w:pPr>
              <w:spacing w:line="360" w:lineRule="auto"/>
              <w:ind w:firstLine="210" w:firstLineChars="100"/>
              <w:rPr>
                <w:rFonts w:ascii="宋体" w:cs="宋体"/>
                <w:bCs/>
                <w:color w:val="auto"/>
                <w:szCs w:val="21"/>
                <w:highlight w:val="none"/>
              </w:rPr>
            </w:pPr>
            <w:r>
              <w:rPr>
                <w:rFonts w:hint="eastAsia" w:ascii="宋体" w:hAnsi="宋体" w:cs="宋体"/>
                <w:bCs/>
                <w:color w:val="auto"/>
                <w:szCs w:val="21"/>
                <w:highlight w:val="none"/>
              </w:rPr>
              <w:t>地址：仙居县光明西路</w:t>
            </w:r>
            <w:r>
              <w:rPr>
                <w:rFonts w:ascii="宋体" w:hAnsi="宋体" w:cs="宋体"/>
                <w:bCs/>
                <w:color w:val="auto"/>
                <w:szCs w:val="21"/>
                <w:highlight w:val="none"/>
              </w:rPr>
              <w:t>434</w:t>
            </w:r>
            <w:r>
              <w:rPr>
                <w:rFonts w:hint="eastAsia" w:ascii="宋体" w:hAnsi="宋体" w:cs="宋体"/>
                <w:bCs/>
                <w:color w:val="auto"/>
                <w:szCs w:val="21"/>
                <w:highlight w:val="none"/>
              </w:rPr>
              <w:t>号</w:t>
            </w:r>
          </w:p>
        </w:tc>
      </w:tr>
      <w:tr w14:paraId="2B79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991" w:type="dxa"/>
            <w:vAlign w:val="center"/>
          </w:tcPr>
          <w:p w14:paraId="6E73237A">
            <w:pPr>
              <w:spacing w:line="360" w:lineRule="auto"/>
              <w:jc w:val="center"/>
              <w:rPr>
                <w:rFonts w:ascii="宋体" w:cs="宋体"/>
                <w:color w:val="auto"/>
                <w:szCs w:val="21"/>
                <w:highlight w:val="none"/>
              </w:rPr>
            </w:pPr>
            <w:r>
              <w:rPr>
                <w:rFonts w:ascii="宋体" w:hAnsi="宋体" w:cs="宋体"/>
                <w:color w:val="auto"/>
                <w:szCs w:val="21"/>
                <w:highlight w:val="none"/>
              </w:rPr>
              <w:t>10.1</w:t>
            </w:r>
          </w:p>
        </w:tc>
        <w:tc>
          <w:tcPr>
            <w:tcW w:w="1606" w:type="dxa"/>
            <w:vAlign w:val="center"/>
          </w:tcPr>
          <w:p w14:paraId="56FBE108">
            <w:pPr>
              <w:spacing w:line="360" w:lineRule="auto"/>
              <w:jc w:val="center"/>
              <w:rPr>
                <w:rFonts w:ascii="宋体" w:cs="宋体"/>
                <w:bCs/>
                <w:color w:val="auto"/>
                <w:szCs w:val="21"/>
                <w:highlight w:val="none"/>
              </w:rPr>
            </w:pPr>
            <w:r>
              <w:rPr>
                <w:rFonts w:hint="eastAsia" w:ascii="宋体" w:hAnsi="宋体" w:cs="宋体"/>
                <w:bCs/>
                <w:color w:val="auto"/>
                <w:szCs w:val="21"/>
                <w:highlight w:val="none"/>
              </w:rPr>
              <w:t>踏勘现场</w:t>
            </w:r>
          </w:p>
        </w:tc>
        <w:tc>
          <w:tcPr>
            <w:tcW w:w="7201" w:type="dxa"/>
            <w:vAlign w:val="center"/>
          </w:tcPr>
          <w:p w14:paraId="4C5811BA">
            <w:pPr>
              <w:spacing w:line="360" w:lineRule="auto"/>
              <w:rPr>
                <w:rFonts w:ascii="宋体" w:cs="宋体"/>
                <w:color w:val="auto"/>
                <w:szCs w:val="21"/>
                <w:highlight w:val="none"/>
              </w:rPr>
            </w:pPr>
            <w:r>
              <w:rPr>
                <w:rFonts w:hint="eastAsia" w:ascii="宋体" w:hAnsi="Wingdings 2" w:cs="宋体"/>
                <w:color w:val="auto"/>
                <w:szCs w:val="20"/>
                <w:highlight w:val="none"/>
              </w:rPr>
              <w:sym w:font="Wingdings 2" w:char="F0A3"/>
            </w:r>
            <w:r>
              <w:rPr>
                <w:rFonts w:hint="eastAsia" w:ascii="宋体" w:hAnsi="宋体" w:cs="宋体"/>
                <w:color w:val="auto"/>
                <w:szCs w:val="21"/>
                <w:highlight w:val="none"/>
              </w:rPr>
              <w:t>本项目组织现场踏勘</w:t>
            </w:r>
          </w:p>
          <w:p w14:paraId="3569AEB4">
            <w:pPr>
              <w:pStyle w:val="9"/>
              <w:spacing w:after="0" w:line="360" w:lineRule="auto"/>
              <w:rPr>
                <w:rFonts w:ascii="宋体" w:cs="宋体"/>
                <w:color w:val="auto"/>
                <w:szCs w:val="21"/>
                <w:highlight w:val="none"/>
                <w:u w:val="single"/>
              </w:rPr>
            </w:pPr>
            <w:r>
              <w:rPr>
                <w:rFonts w:ascii="宋体" w:hAnsi="宋体" w:cs="宋体"/>
                <w:color w:val="auto"/>
                <w:szCs w:val="21"/>
                <w:highlight w:val="none"/>
              </w:rPr>
              <w:t xml:space="preserve">  </w:t>
            </w:r>
            <w:r>
              <w:rPr>
                <w:rFonts w:hint="eastAsia" w:ascii="宋体" w:hAnsi="宋体" w:cs="宋体"/>
                <w:color w:val="auto"/>
                <w:szCs w:val="21"/>
                <w:highlight w:val="none"/>
              </w:rPr>
              <w:t>现场踏勘时间：</w:t>
            </w:r>
            <w:r>
              <w:rPr>
                <w:rFonts w:ascii="宋体" w:hAnsi="宋体" w:cs="宋体"/>
                <w:color w:val="auto"/>
                <w:szCs w:val="21"/>
                <w:highlight w:val="none"/>
                <w:u w:val="single"/>
              </w:rPr>
              <w:t xml:space="preserve">                           </w:t>
            </w:r>
          </w:p>
          <w:p w14:paraId="40961856">
            <w:pPr>
              <w:pStyle w:val="9"/>
              <w:spacing w:after="0" w:line="360" w:lineRule="auto"/>
              <w:rPr>
                <w:rFonts w:ascii="宋体" w:cs="宋体"/>
                <w:color w:val="auto"/>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现场踏勘地址：</w:t>
            </w:r>
            <w:r>
              <w:rPr>
                <w:rFonts w:ascii="宋体" w:hAnsi="宋体" w:cs="宋体"/>
                <w:color w:val="auto"/>
                <w:szCs w:val="21"/>
                <w:highlight w:val="none"/>
                <w:u w:val="single"/>
              </w:rPr>
              <w:t xml:space="preserve">                           </w:t>
            </w:r>
          </w:p>
          <w:p w14:paraId="4C5F8205">
            <w:pPr>
              <w:spacing w:line="360" w:lineRule="auto"/>
              <w:rPr>
                <w:rFonts w:ascii="宋体" w:cs="宋体"/>
                <w:color w:val="auto"/>
                <w:szCs w:val="21"/>
                <w:highlight w:val="none"/>
                <w:u w:val="single"/>
              </w:rPr>
            </w:pPr>
            <w:r>
              <w:rPr>
                <w:rFonts w:hint="eastAsia" w:ascii="宋体" w:hAnsi="Wingdings 2" w:cs="宋体"/>
                <w:color w:val="auto"/>
                <w:szCs w:val="20"/>
                <w:highlight w:val="none"/>
              </w:rPr>
              <w:sym w:font="Wingdings 2" w:char="F052"/>
            </w:r>
            <w:r>
              <w:rPr>
                <w:rFonts w:hint="eastAsia" w:ascii="宋体" w:hAnsi="宋体" w:cs="宋体"/>
                <w:color w:val="auto"/>
                <w:szCs w:val="21"/>
                <w:highlight w:val="none"/>
                <w:u w:val="single"/>
              </w:rPr>
              <w:t>本项目不组织现场踏勘</w:t>
            </w:r>
          </w:p>
          <w:p w14:paraId="70B63BE6">
            <w:pPr>
              <w:spacing w:line="360" w:lineRule="auto"/>
              <w:ind w:firstLine="210" w:firstLineChars="100"/>
              <w:rPr>
                <w:rFonts w:ascii="宋体" w:cs="宋体"/>
                <w:color w:val="auto"/>
                <w:szCs w:val="21"/>
                <w:highlight w:val="none"/>
              </w:rPr>
            </w:pPr>
            <w:r>
              <w:rPr>
                <w:rFonts w:hint="eastAsia" w:ascii="宋体" w:hAnsi="宋体" w:cs="宋体"/>
                <w:color w:val="auto"/>
                <w:szCs w:val="21"/>
                <w:highlight w:val="none"/>
              </w:rPr>
              <w:t>本项目采购人不组织现场踏勘，供应商如有需要可自行前往，踏勘期间发生的费用或意外导致伤亡等一切责任和损失均由供应商自负。</w:t>
            </w:r>
          </w:p>
        </w:tc>
      </w:tr>
      <w:tr w14:paraId="5B81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 w:type="dxa"/>
            <w:vAlign w:val="center"/>
          </w:tcPr>
          <w:p w14:paraId="5A6D8D01">
            <w:pPr>
              <w:spacing w:line="360" w:lineRule="auto"/>
              <w:jc w:val="center"/>
              <w:rPr>
                <w:rFonts w:ascii="宋体" w:cs="宋体"/>
                <w:color w:val="auto"/>
                <w:szCs w:val="21"/>
                <w:highlight w:val="none"/>
              </w:rPr>
            </w:pPr>
            <w:r>
              <w:rPr>
                <w:rFonts w:ascii="宋体" w:hAnsi="宋体" w:cs="宋体"/>
                <w:color w:val="auto"/>
                <w:szCs w:val="21"/>
                <w:highlight w:val="none"/>
              </w:rPr>
              <w:t>11.1</w:t>
            </w:r>
          </w:p>
        </w:tc>
        <w:tc>
          <w:tcPr>
            <w:tcW w:w="1606" w:type="dxa"/>
            <w:vAlign w:val="center"/>
          </w:tcPr>
          <w:p w14:paraId="783476D5">
            <w:pPr>
              <w:spacing w:line="360" w:lineRule="auto"/>
              <w:jc w:val="center"/>
              <w:rPr>
                <w:rFonts w:ascii="宋体" w:cs="宋体"/>
                <w:bCs/>
                <w:color w:val="auto"/>
                <w:szCs w:val="21"/>
                <w:highlight w:val="none"/>
              </w:rPr>
            </w:pPr>
            <w:r>
              <w:rPr>
                <w:rFonts w:hint="eastAsia" w:ascii="宋体" w:hAnsi="宋体" w:cs="宋体"/>
                <w:bCs/>
                <w:color w:val="auto"/>
                <w:szCs w:val="21"/>
                <w:highlight w:val="none"/>
              </w:rPr>
              <w:t>答疑</w:t>
            </w:r>
          </w:p>
        </w:tc>
        <w:tc>
          <w:tcPr>
            <w:tcW w:w="7201" w:type="dxa"/>
            <w:vAlign w:val="center"/>
          </w:tcPr>
          <w:p w14:paraId="5596CA71">
            <w:pPr>
              <w:spacing w:line="360" w:lineRule="auto"/>
              <w:rPr>
                <w:rFonts w:ascii="宋体" w:cs="宋体"/>
                <w:color w:val="auto"/>
                <w:szCs w:val="21"/>
                <w:highlight w:val="none"/>
              </w:rPr>
            </w:pPr>
            <w:r>
              <w:rPr>
                <w:rFonts w:hint="eastAsia" w:ascii="宋体" w:hAnsi="Wingdings 2" w:cs="宋体"/>
                <w:color w:val="auto"/>
                <w:szCs w:val="20"/>
                <w:highlight w:val="none"/>
              </w:rPr>
              <w:sym w:font="Wingdings 2" w:char="F0A3"/>
            </w:r>
            <w:r>
              <w:rPr>
                <w:rFonts w:hint="eastAsia" w:ascii="宋体" w:hAnsi="宋体" w:cs="宋体"/>
                <w:color w:val="auto"/>
                <w:szCs w:val="21"/>
                <w:highlight w:val="none"/>
              </w:rPr>
              <w:t>采购人召开答疑会</w:t>
            </w:r>
          </w:p>
          <w:p w14:paraId="7A63C4D0">
            <w:pPr>
              <w:pStyle w:val="9"/>
              <w:spacing w:after="0" w:line="360" w:lineRule="auto"/>
              <w:rPr>
                <w:rFonts w:ascii="宋体" w:cs="宋体"/>
                <w:color w:val="auto"/>
                <w:szCs w:val="21"/>
                <w:highlight w:val="none"/>
                <w:u w:val="single"/>
              </w:rPr>
            </w:pPr>
            <w:r>
              <w:rPr>
                <w:rFonts w:ascii="宋体" w:hAnsi="宋体" w:cs="宋体"/>
                <w:color w:val="auto"/>
                <w:szCs w:val="21"/>
                <w:highlight w:val="none"/>
              </w:rPr>
              <w:t xml:space="preserve">  </w:t>
            </w:r>
            <w:r>
              <w:rPr>
                <w:rFonts w:hint="eastAsia" w:ascii="宋体" w:hAnsi="宋体" w:cs="宋体"/>
                <w:color w:val="auto"/>
                <w:szCs w:val="21"/>
                <w:highlight w:val="none"/>
              </w:rPr>
              <w:t>召开答疑会时间：</w:t>
            </w:r>
            <w:r>
              <w:rPr>
                <w:rFonts w:ascii="宋体" w:hAnsi="宋体" w:cs="宋体"/>
                <w:color w:val="auto"/>
                <w:szCs w:val="21"/>
                <w:highlight w:val="none"/>
                <w:u w:val="single"/>
              </w:rPr>
              <w:t xml:space="preserve">                           </w:t>
            </w:r>
          </w:p>
          <w:p w14:paraId="08D768D2">
            <w:pPr>
              <w:pStyle w:val="9"/>
              <w:spacing w:after="0" w:line="360" w:lineRule="auto"/>
              <w:rPr>
                <w:rFonts w:ascii="宋体" w:cs="宋体"/>
                <w:color w:val="auto"/>
                <w:szCs w:val="21"/>
                <w:highlight w:val="none"/>
                <w:u w:val="single"/>
              </w:rPr>
            </w:pPr>
            <w:r>
              <w:rPr>
                <w:rFonts w:ascii="宋体" w:hAnsi="宋体" w:cs="宋体"/>
                <w:color w:val="auto"/>
                <w:szCs w:val="21"/>
                <w:highlight w:val="none"/>
              </w:rPr>
              <w:t xml:space="preserve">  </w:t>
            </w:r>
            <w:r>
              <w:rPr>
                <w:rFonts w:hint="eastAsia" w:ascii="宋体" w:hAnsi="宋体" w:cs="宋体"/>
                <w:color w:val="auto"/>
                <w:szCs w:val="21"/>
                <w:highlight w:val="none"/>
              </w:rPr>
              <w:t>召开答疑会地址：</w:t>
            </w:r>
            <w:r>
              <w:rPr>
                <w:rFonts w:ascii="宋体" w:hAnsi="宋体" w:cs="宋体"/>
                <w:color w:val="auto"/>
                <w:szCs w:val="21"/>
                <w:highlight w:val="none"/>
                <w:u w:val="single"/>
              </w:rPr>
              <w:t xml:space="preserve">                           </w:t>
            </w:r>
          </w:p>
          <w:p w14:paraId="3A5F2C22">
            <w:pPr>
              <w:spacing w:line="360" w:lineRule="auto"/>
              <w:rPr>
                <w:rFonts w:ascii="宋体" w:cs="宋体"/>
                <w:color w:val="auto"/>
                <w:szCs w:val="21"/>
                <w:highlight w:val="none"/>
              </w:rPr>
            </w:pPr>
            <w:r>
              <w:rPr>
                <w:rFonts w:hint="eastAsia" w:ascii="宋体" w:hAnsi="Wingdings 2" w:cs="宋体"/>
                <w:color w:val="auto"/>
                <w:szCs w:val="20"/>
                <w:highlight w:val="none"/>
              </w:rPr>
              <w:sym w:font="Wingdings 2" w:char="F052"/>
            </w:r>
            <w:r>
              <w:rPr>
                <w:rFonts w:hint="eastAsia" w:ascii="宋体" w:hAnsi="宋体" w:cs="宋体"/>
                <w:color w:val="auto"/>
                <w:szCs w:val="21"/>
                <w:highlight w:val="none"/>
                <w:u w:val="single"/>
              </w:rPr>
              <w:t>采购人不召开答疑会。</w:t>
            </w:r>
          </w:p>
        </w:tc>
      </w:tr>
      <w:tr w14:paraId="0337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991" w:type="dxa"/>
            <w:vAlign w:val="center"/>
          </w:tcPr>
          <w:p w14:paraId="11B45E27">
            <w:pPr>
              <w:spacing w:line="360" w:lineRule="auto"/>
              <w:jc w:val="center"/>
              <w:rPr>
                <w:rFonts w:ascii="宋体" w:cs="宋体"/>
                <w:color w:val="auto"/>
                <w:szCs w:val="21"/>
                <w:highlight w:val="none"/>
              </w:rPr>
            </w:pPr>
            <w:r>
              <w:rPr>
                <w:rFonts w:ascii="宋体" w:hAnsi="宋体" w:cs="宋体"/>
                <w:color w:val="auto"/>
                <w:szCs w:val="21"/>
                <w:highlight w:val="none"/>
              </w:rPr>
              <w:t>12.1</w:t>
            </w:r>
          </w:p>
        </w:tc>
        <w:tc>
          <w:tcPr>
            <w:tcW w:w="1606" w:type="dxa"/>
            <w:vAlign w:val="center"/>
          </w:tcPr>
          <w:p w14:paraId="47BC372F">
            <w:pPr>
              <w:spacing w:line="360" w:lineRule="auto"/>
              <w:jc w:val="center"/>
              <w:rPr>
                <w:rFonts w:ascii="宋体" w:cs="宋体"/>
                <w:bCs/>
                <w:color w:val="auto"/>
                <w:szCs w:val="21"/>
                <w:highlight w:val="none"/>
              </w:rPr>
            </w:pPr>
            <w:r>
              <w:rPr>
                <w:rFonts w:hint="eastAsia" w:ascii="宋体" w:hAnsi="宋体" w:cs="宋体"/>
                <w:bCs/>
                <w:color w:val="auto"/>
                <w:szCs w:val="21"/>
                <w:highlight w:val="none"/>
              </w:rPr>
              <w:t>分包</w:t>
            </w:r>
          </w:p>
        </w:tc>
        <w:tc>
          <w:tcPr>
            <w:tcW w:w="7201" w:type="dxa"/>
            <w:vAlign w:val="center"/>
          </w:tcPr>
          <w:p w14:paraId="538ED9B5">
            <w:pPr>
              <w:spacing w:line="360" w:lineRule="auto"/>
              <w:rPr>
                <w:rFonts w:ascii="宋体" w:cs="宋体"/>
                <w:color w:val="auto"/>
                <w:highlight w:val="none"/>
              </w:rPr>
            </w:pPr>
            <w:r>
              <w:rPr>
                <w:rFonts w:hint="eastAsia" w:ascii="宋体" w:hAnsi="Wingdings 2" w:cs="宋体"/>
                <w:color w:val="auto"/>
                <w:szCs w:val="20"/>
                <w:highlight w:val="none"/>
              </w:rPr>
              <w:sym w:font="Wingdings 2" w:char="F0A3"/>
            </w:r>
            <w:r>
              <w:rPr>
                <w:rFonts w:hint="eastAsia" w:ascii="宋体" w:hAnsi="宋体" w:cs="宋体"/>
                <w:color w:val="auto"/>
                <w:highlight w:val="none"/>
              </w:rPr>
              <w:t>本项目允许分包</w:t>
            </w:r>
          </w:p>
          <w:p w14:paraId="5539B435">
            <w:pPr>
              <w:spacing w:line="360" w:lineRule="auto"/>
              <w:ind w:firstLine="210" w:firstLineChars="100"/>
              <w:rPr>
                <w:rFonts w:ascii="宋体" w:cs="宋体"/>
                <w:color w:val="auto"/>
                <w:highlight w:val="none"/>
                <w:u w:val="single"/>
              </w:rPr>
            </w:pPr>
            <w:r>
              <w:rPr>
                <w:rFonts w:hint="eastAsia" w:ascii="宋体" w:hAnsi="宋体" w:cs="宋体"/>
                <w:color w:val="auto"/>
                <w:highlight w:val="none"/>
              </w:rPr>
              <w:t>允许分包的内容：</w:t>
            </w:r>
            <w:r>
              <w:rPr>
                <w:rFonts w:ascii="宋体" w:hAnsi="宋体" w:cs="宋体"/>
                <w:color w:val="auto"/>
                <w:highlight w:val="none"/>
                <w:u w:val="single"/>
              </w:rPr>
              <w:t xml:space="preserve">                  </w:t>
            </w:r>
          </w:p>
          <w:p w14:paraId="5AA60659">
            <w:pPr>
              <w:pStyle w:val="9"/>
              <w:spacing w:after="0" w:line="360" w:lineRule="auto"/>
              <w:rPr>
                <w:rFonts w:ascii="宋体" w:cs="宋体"/>
                <w:color w:val="auto"/>
                <w:highlight w:val="none"/>
              </w:rPr>
            </w:pPr>
            <w:r>
              <w:rPr>
                <w:rFonts w:hint="eastAsia" w:ascii="宋体" w:hAnsi="Wingdings 2" w:cs="宋体"/>
                <w:color w:val="auto"/>
                <w:szCs w:val="20"/>
                <w:highlight w:val="none"/>
              </w:rPr>
              <w:sym w:font="Wingdings 2" w:char="F052"/>
            </w:r>
            <w:r>
              <w:rPr>
                <w:rFonts w:hint="eastAsia" w:ascii="宋体" w:hAnsi="宋体" w:cs="宋体"/>
                <w:color w:val="auto"/>
                <w:szCs w:val="21"/>
                <w:highlight w:val="none"/>
                <w:u w:val="single"/>
              </w:rPr>
              <w:t>本项目不允许分包</w:t>
            </w:r>
          </w:p>
        </w:tc>
      </w:tr>
      <w:tr w14:paraId="3D84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991" w:type="dxa"/>
            <w:vAlign w:val="center"/>
          </w:tcPr>
          <w:p w14:paraId="681EA0BC">
            <w:pPr>
              <w:spacing w:line="360" w:lineRule="auto"/>
              <w:jc w:val="center"/>
              <w:rPr>
                <w:rFonts w:ascii="宋体" w:cs="宋体"/>
                <w:color w:val="auto"/>
                <w:szCs w:val="21"/>
                <w:highlight w:val="none"/>
              </w:rPr>
            </w:pPr>
            <w:r>
              <w:rPr>
                <w:rFonts w:ascii="宋体" w:hAnsi="宋体" w:cs="宋体"/>
                <w:color w:val="auto"/>
                <w:szCs w:val="21"/>
                <w:highlight w:val="none"/>
              </w:rPr>
              <w:t>20.1</w:t>
            </w:r>
          </w:p>
        </w:tc>
        <w:tc>
          <w:tcPr>
            <w:tcW w:w="1606" w:type="dxa"/>
            <w:vAlign w:val="center"/>
          </w:tcPr>
          <w:p w14:paraId="2EFA9380">
            <w:pPr>
              <w:spacing w:line="360" w:lineRule="auto"/>
              <w:jc w:val="center"/>
              <w:rPr>
                <w:rFonts w:ascii="宋体" w:cs="宋体"/>
                <w:bCs/>
                <w:color w:val="auto"/>
                <w:szCs w:val="21"/>
                <w:highlight w:val="none"/>
              </w:rPr>
            </w:pPr>
            <w:r>
              <w:rPr>
                <w:rFonts w:hint="eastAsia" w:ascii="宋体" w:hAnsi="宋体" w:cs="宋体"/>
                <w:bCs/>
                <w:color w:val="auto"/>
                <w:szCs w:val="21"/>
                <w:highlight w:val="none"/>
              </w:rPr>
              <w:t>采购文件的澄清</w:t>
            </w:r>
          </w:p>
        </w:tc>
        <w:tc>
          <w:tcPr>
            <w:tcW w:w="7201" w:type="dxa"/>
            <w:vAlign w:val="center"/>
          </w:tcPr>
          <w:p w14:paraId="19A4AABD">
            <w:pPr>
              <w:spacing w:line="360" w:lineRule="auto"/>
              <w:ind w:firstLine="210" w:firstLineChars="100"/>
              <w:rPr>
                <w:rFonts w:ascii="宋体" w:cs="宋体"/>
                <w:color w:val="auto"/>
                <w:szCs w:val="21"/>
                <w:highlight w:val="none"/>
              </w:rPr>
            </w:pPr>
            <w:r>
              <w:rPr>
                <w:rFonts w:hint="eastAsia" w:ascii="宋体" w:hAnsi="宋体" w:cs="宋体"/>
                <w:color w:val="auto"/>
                <w:szCs w:val="21"/>
                <w:highlight w:val="none"/>
              </w:rPr>
              <w:t>供应商如认为采购文件表述不清晰、存在歧视性或者倾向性或者其他违法内容的，应于自收到采购文件之日或者采购文件公告期限届满之日起</w:t>
            </w:r>
            <w:r>
              <w:rPr>
                <w:rFonts w:ascii="宋体" w:hAnsi="宋体" w:cs="宋体"/>
                <w:color w:val="auto"/>
                <w:szCs w:val="21"/>
                <w:highlight w:val="none"/>
              </w:rPr>
              <w:t>7</w:t>
            </w:r>
            <w:r>
              <w:rPr>
                <w:rFonts w:hint="eastAsia" w:ascii="宋体" w:hAnsi="宋体" w:cs="宋体"/>
                <w:color w:val="auto"/>
                <w:szCs w:val="21"/>
                <w:highlight w:val="none"/>
              </w:rPr>
              <w:t>个工作日内（采购文件领取截止时间之后获取的，应于自采购文件领取截止时间之日起</w:t>
            </w:r>
            <w:r>
              <w:rPr>
                <w:rFonts w:ascii="宋体" w:hAnsi="宋体" w:cs="宋体"/>
                <w:color w:val="auto"/>
                <w:szCs w:val="21"/>
                <w:highlight w:val="none"/>
              </w:rPr>
              <w:t>7</w:t>
            </w:r>
            <w:r>
              <w:rPr>
                <w:rFonts w:hint="eastAsia" w:ascii="宋体" w:hAnsi="宋体" w:cs="宋体"/>
                <w:color w:val="auto"/>
                <w:szCs w:val="21"/>
                <w:highlight w:val="none"/>
              </w:rPr>
              <w:t>个工作日内）以书面形式向采购机构将要求答疑的问题传真</w:t>
            </w:r>
            <w:r>
              <w:rPr>
                <w:rFonts w:ascii="宋体" w:hAnsi="宋体" w:cs="宋体"/>
                <w:color w:val="auto"/>
                <w:szCs w:val="21"/>
                <w:highlight w:val="none"/>
              </w:rPr>
              <w:t>0576</w:t>
            </w:r>
            <w:r>
              <w:rPr>
                <w:rFonts w:hint="eastAsia" w:ascii="宋体" w:hAnsi="宋体" w:cs="宋体"/>
                <w:color w:val="auto"/>
                <w:szCs w:val="21"/>
                <w:highlight w:val="none"/>
              </w:rPr>
              <w:t>－</w:t>
            </w:r>
            <w:r>
              <w:rPr>
                <w:rFonts w:ascii="宋体" w:hAnsi="宋体" w:cs="宋体"/>
                <w:color w:val="auto"/>
                <w:szCs w:val="21"/>
                <w:highlight w:val="none"/>
              </w:rPr>
              <w:t>87785155</w:t>
            </w:r>
            <w:r>
              <w:rPr>
                <w:rFonts w:hint="eastAsia" w:ascii="宋体" w:hAnsi="宋体" w:cs="宋体"/>
                <w:color w:val="auto"/>
                <w:szCs w:val="21"/>
                <w:highlight w:val="none"/>
              </w:rPr>
              <w:t>或发电子邮件至</w:t>
            </w:r>
            <w:r>
              <w:rPr>
                <w:color w:val="auto"/>
                <w:highlight w:val="none"/>
              </w:rPr>
              <w:fldChar w:fldCharType="begin"/>
            </w:r>
            <w:r>
              <w:rPr>
                <w:color w:val="auto"/>
                <w:highlight w:val="none"/>
              </w:rPr>
              <w:instrText xml:space="preserve"> HYPERLINK "mailto:272285461@qq.com" </w:instrText>
            </w:r>
            <w:r>
              <w:rPr>
                <w:color w:val="auto"/>
                <w:highlight w:val="none"/>
              </w:rPr>
              <w:fldChar w:fldCharType="separate"/>
            </w:r>
            <w:r>
              <w:rPr>
                <w:rFonts w:ascii="宋体" w:hAnsi="宋体" w:cs="宋体"/>
                <w:color w:val="auto"/>
                <w:szCs w:val="21"/>
                <w:highlight w:val="none"/>
              </w:rPr>
              <w:t>sha7479@qq.com</w:t>
            </w:r>
            <w:r>
              <w:rPr>
                <w:rFonts w:ascii="宋体" w:hAnsi="宋体" w:cs="宋体"/>
                <w:color w:val="auto"/>
                <w:szCs w:val="21"/>
                <w:highlight w:val="none"/>
              </w:rPr>
              <w:fldChar w:fldCharType="end"/>
            </w:r>
            <w:r>
              <w:rPr>
                <w:rFonts w:hint="eastAsia" w:ascii="宋体" w:hAnsi="宋体" w:cs="宋体"/>
                <w:color w:val="auto"/>
                <w:szCs w:val="21"/>
                <w:highlight w:val="none"/>
              </w:rPr>
              <w:t>（电子邮件与书面文件有不一致的，一律以书面文件为准）。</w:t>
            </w:r>
          </w:p>
        </w:tc>
      </w:tr>
      <w:tr w14:paraId="1EAD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91" w:type="dxa"/>
            <w:vAlign w:val="center"/>
          </w:tcPr>
          <w:p w14:paraId="66CF74F8">
            <w:pPr>
              <w:spacing w:line="360" w:lineRule="auto"/>
              <w:jc w:val="center"/>
              <w:rPr>
                <w:rFonts w:ascii="宋体" w:cs="宋体"/>
                <w:bCs/>
                <w:color w:val="auto"/>
                <w:szCs w:val="21"/>
                <w:highlight w:val="none"/>
              </w:rPr>
            </w:pPr>
            <w:r>
              <w:rPr>
                <w:rFonts w:ascii="宋体" w:hAnsi="宋体" w:cs="宋体"/>
                <w:bCs/>
                <w:color w:val="auto"/>
                <w:szCs w:val="21"/>
                <w:highlight w:val="none"/>
              </w:rPr>
              <w:t>24.2</w:t>
            </w: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w:t>
            </w:r>
          </w:p>
        </w:tc>
        <w:tc>
          <w:tcPr>
            <w:tcW w:w="1606" w:type="dxa"/>
            <w:vAlign w:val="center"/>
          </w:tcPr>
          <w:p w14:paraId="52B16F55">
            <w:pPr>
              <w:spacing w:line="360" w:lineRule="auto"/>
              <w:jc w:val="center"/>
              <w:rPr>
                <w:rFonts w:ascii="宋体" w:cs="宋体"/>
                <w:bCs/>
                <w:color w:val="auto"/>
                <w:szCs w:val="21"/>
                <w:highlight w:val="none"/>
              </w:rPr>
            </w:pPr>
            <w:r>
              <w:rPr>
                <w:rFonts w:hint="eastAsia" w:ascii="宋体" w:hAnsi="宋体" w:cs="宋体"/>
                <w:bCs/>
                <w:color w:val="auto"/>
                <w:szCs w:val="21"/>
                <w:highlight w:val="none"/>
              </w:rPr>
              <w:t>签字或盖章</w:t>
            </w:r>
          </w:p>
        </w:tc>
        <w:tc>
          <w:tcPr>
            <w:tcW w:w="7201" w:type="dxa"/>
            <w:vAlign w:val="center"/>
          </w:tcPr>
          <w:p w14:paraId="17084BFD">
            <w:pPr>
              <w:spacing w:line="360" w:lineRule="auto"/>
              <w:ind w:firstLine="210" w:firstLineChars="100"/>
              <w:rPr>
                <w:rFonts w:ascii="宋体" w:cs="宋体"/>
                <w:bCs/>
                <w:color w:val="auto"/>
                <w:szCs w:val="21"/>
                <w:highlight w:val="none"/>
              </w:rPr>
            </w:pPr>
            <w:r>
              <w:rPr>
                <w:rFonts w:hint="eastAsia" w:ascii="宋体" w:hAnsi="宋体" w:cs="宋体"/>
                <w:bCs/>
                <w:color w:val="auto"/>
                <w:szCs w:val="21"/>
                <w:highlight w:val="none"/>
              </w:rPr>
              <w:t>须按磋商响应文件格式中的要求盖单位公章及签署。公章可采用单位</w:t>
            </w:r>
            <w:r>
              <w:rPr>
                <w:rFonts w:ascii="宋体" w:hAnsi="宋体" w:cs="宋体"/>
                <w:bCs/>
                <w:color w:val="auto"/>
                <w:szCs w:val="21"/>
                <w:highlight w:val="none"/>
              </w:rPr>
              <w:t>CA</w:t>
            </w:r>
            <w:r>
              <w:rPr>
                <w:rFonts w:hint="eastAsia" w:ascii="宋体" w:hAnsi="宋体" w:cs="宋体"/>
                <w:bCs/>
                <w:color w:val="auto"/>
                <w:szCs w:val="21"/>
                <w:highlight w:val="none"/>
              </w:rPr>
              <w:t>章或单位公章。</w:t>
            </w:r>
            <w:r>
              <w:rPr>
                <w:rFonts w:ascii="宋体" w:hAnsi="宋体" w:cs="宋体"/>
                <w:bCs/>
                <w:color w:val="auto"/>
                <w:szCs w:val="21"/>
                <w:highlight w:val="none"/>
              </w:rPr>
              <w:t xml:space="preserve"> </w:t>
            </w:r>
          </w:p>
        </w:tc>
      </w:tr>
      <w:tr w14:paraId="044F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91" w:type="dxa"/>
            <w:vAlign w:val="center"/>
          </w:tcPr>
          <w:p w14:paraId="3B99BFF5">
            <w:pPr>
              <w:spacing w:line="360" w:lineRule="auto"/>
              <w:jc w:val="center"/>
              <w:rPr>
                <w:rFonts w:ascii="宋体" w:cs="宋体"/>
                <w:bCs/>
                <w:color w:val="auto"/>
                <w:szCs w:val="21"/>
                <w:highlight w:val="none"/>
              </w:rPr>
            </w:pPr>
            <w:r>
              <w:rPr>
                <w:rFonts w:ascii="宋体" w:hAnsi="宋体" w:cs="宋体"/>
                <w:bCs/>
                <w:color w:val="auto"/>
                <w:szCs w:val="21"/>
                <w:highlight w:val="none"/>
              </w:rPr>
              <w:t>24.2</w:t>
            </w: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rPr>
              <w:t>）</w:t>
            </w:r>
          </w:p>
        </w:tc>
        <w:tc>
          <w:tcPr>
            <w:tcW w:w="1606" w:type="dxa"/>
            <w:vAlign w:val="center"/>
          </w:tcPr>
          <w:p w14:paraId="38A6E825">
            <w:pPr>
              <w:spacing w:line="360" w:lineRule="auto"/>
              <w:jc w:val="center"/>
              <w:rPr>
                <w:rFonts w:ascii="宋体" w:cs="宋体"/>
                <w:bCs/>
                <w:color w:val="auto"/>
                <w:szCs w:val="21"/>
                <w:highlight w:val="none"/>
              </w:rPr>
            </w:pPr>
            <w:r>
              <w:rPr>
                <w:rFonts w:hint="eastAsia" w:ascii="宋体" w:hAnsi="宋体" w:cs="宋体"/>
                <w:bCs/>
                <w:color w:val="auto"/>
                <w:szCs w:val="21"/>
                <w:highlight w:val="none"/>
              </w:rPr>
              <w:t>响应文件装订</w:t>
            </w:r>
          </w:p>
        </w:tc>
        <w:tc>
          <w:tcPr>
            <w:tcW w:w="7201" w:type="dxa"/>
            <w:vAlign w:val="center"/>
          </w:tcPr>
          <w:p w14:paraId="310D95C1">
            <w:pPr>
              <w:spacing w:line="360" w:lineRule="auto"/>
              <w:ind w:firstLine="210" w:firstLineChars="100"/>
              <w:rPr>
                <w:rFonts w:ascii="宋体" w:cs="宋体"/>
                <w:bCs/>
                <w:color w:val="auto"/>
                <w:szCs w:val="21"/>
                <w:highlight w:val="none"/>
              </w:rPr>
            </w:pPr>
            <w:r>
              <w:rPr>
                <w:rFonts w:hint="eastAsia" w:ascii="宋体" w:hAnsi="宋体" w:cs="宋体"/>
                <w:bCs/>
                <w:color w:val="auto"/>
                <w:szCs w:val="21"/>
                <w:highlight w:val="none"/>
              </w:rPr>
              <w:t>本项目响应时采用电子文件，不需提供纸质磋商响应文件，无装订要求。</w:t>
            </w:r>
          </w:p>
        </w:tc>
      </w:tr>
      <w:tr w14:paraId="055E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91" w:type="dxa"/>
            <w:vAlign w:val="center"/>
          </w:tcPr>
          <w:p w14:paraId="15CABA34">
            <w:pPr>
              <w:spacing w:line="360" w:lineRule="auto"/>
              <w:jc w:val="center"/>
              <w:rPr>
                <w:rFonts w:ascii="宋体" w:cs="宋体"/>
                <w:bCs/>
                <w:color w:val="auto"/>
                <w:szCs w:val="21"/>
                <w:highlight w:val="none"/>
              </w:rPr>
            </w:pPr>
            <w:r>
              <w:rPr>
                <w:rFonts w:ascii="宋体" w:hAnsi="宋体" w:cs="宋体"/>
                <w:bCs/>
                <w:color w:val="auto"/>
                <w:szCs w:val="21"/>
                <w:highlight w:val="none"/>
              </w:rPr>
              <w:t>25.3.2</w:t>
            </w:r>
          </w:p>
        </w:tc>
        <w:tc>
          <w:tcPr>
            <w:tcW w:w="1606" w:type="dxa"/>
            <w:vAlign w:val="center"/>
          </w:tcPr>
          <w:p w14:paraId="49D7A0F6">
            <w:pPr>
              <w:autoSpaceDE w:val="0"/>
              <w:autoSpaceDN w:val="0"/>
              <w:spacing w:line="360" w:lineRule="exact"/>
              <w:jc w:val="center"/>
              <w:rPr>
                <w:rFonts w:ascii="宋体" w:cs="宋体"/>
                <w:color w:val="auto"/>
                <w:szCs w:val="21"/>
                <w:highlight w:val="none"/>
                <w:lang w:val="zh-CN"/>
              </w:rPr>
            </w:pPr>
            <w:r>
              <w:rPr>
                <w:rFonts w:hint="eastAsia" w:ascii="宋体" w:hAnsi="宋体" w:cs="宋体"/>
                <w:bCs/>
                <w:color w:val="auto"/>
                <w:szCs w:val="21"/>
                <w:highlight w:val="none"/>
              </w:rPr>
              <w:t>▲</w:t>
            </w:r>
            <w:r>
              <w:rPr>
                <w:rFonts w:hint="eastAsia" w:ascii="宋体" w:hAnsi="宋体" w:cs="宋体"/>
                <w:color w:val="auto"/>
                <w:szCs w:val="21"/>
                <w:highlight w:val="none"/>
                <w:lang w:val="zh-CN"/>
              </w:rPr>
              <w:t>项目最高限价</w:t>
            </w:r>
          </w:p>
        </w:tc>
        <w:tc>
          <w:tcPr>
            <w:tcW w:w="7201" w:type="dxa"/>
            <w:vAlign w:val="center"/>
          </w:tcPr>
          <w:p w14:paraId="622F7BC7">
            <w:pPr>
              <w:spacing w:line="360" w:lineRule="auto"/>
              <w:ind w:firstLine="210" w:firstLineChars="100"/>
              <w:rPr>
                <w:rFonts w:ascii="宋体" w:cs="宋体"/>
                <w:color w:val="auto"/>
                <w:highlight w:val="none"/>
                <w:lang w:val="zh-CN"/>
              </w:rPr>
            </w:pPr>
            <w:r>
              <w:rPr>
                <w:rFonts w:hint="eastAsia" w:ascii="宋体" w:hAnsi="宋体" w:cs="宋体"/>
                <w:bCs/>
                <w:color w:val="auto"/>
                <w:szCs w:val="21"/>
              </w:rPr>
              <w:t>本项目投标报价的最高限价为人民</w:t>
            </w:r>
            <w:r>
              <w:rPr>
                <w:rFonts w:hint="eastAsia" w:ascii="宋体" w:hAnsi="宋体" w:cs="宋体"/>
                <w:bCs/>
                <w:color w:val="auto"/>
                <w:szCs w:val="21"/>
                <w:highlight w:val="none"/>
              </w:rPr>
              <w:t>币</w:t>
            </w:r>
            <w:r>
              <w:rPr>
                <w:rFonts w:hint="eastAsia" w:ascii="宋体" w:cs="宋体"/>
                <w:b/>
                <w:bCs/>
                <w:color w:val="auto"/>
                <w:sz w:val="21"/>
                <w:highlight w:val="none"/>
                <w:u w:val="single"/>
                <w:lang w:val="en-US" w:eastAsia="zh-CN"/>
              </w:rPr>
              <w:t xml:space="preserve"> 327.9125</w:t>
            </w:r>
            <w:r>
              <w:rPr>
                <w:rFonts w:hint="eastAsia" w:ascii="宋体" w:eastAsia="宋体" w:cs="宋体"/>
                <w:b/>
                <w:bCs/>
                <w:color w:val="auto"/>
                <w:sz w:val="21"/>
                <w:highlight w:val="none"/>
                <w:u w:val="single"/>
                <w:lang w:val="zh-CN"/>
              </w:rPr>
              <w:t>万元</w:t>
            </w:r>
            <w:r>
              <w:rPr>
                <w:rFonts w:hint="eastAsia" w:ascii="宋体" w:eastAsia="宋体" w:cs="宋体"/>
                <w:b w:val="0"/>
                <w:bCs w:val="0"/>
                <w:color w:val="auto"/>
                <w:sz w:val="21"/>
                <w:highlight w:val="none"/>
                <w:u w:val="none"/>
                <w:lang w:val="zh-CN"/>
              </w:rPr>
              <w:t>（</w:t>
            </w:r>
            <w:r>
              <w:rPr>
                <w:rFonts w:hint="eastAsia" w:ascii="宋体" w:hAnsi="宋体"/>
                <w:color w:val="auto"/>
                <w:highlight w:val="none"/>
              </w:rPr>
              <w:t>招标控制价×</w:t>
            </w:r>
            <w:r>
              <w:rPr>
                <w:rFonts w:hint="eastAsia" w:ascii="宋体" w:hAnsi="宋体"/>
                <w:color w:val="auto"/>
                <w:highlight w:val="none"/>
                <w:u w:val="single"/>
                <w:lang w:val="en-US" w:eastAsia="zh-CN"/>
              </w:rPr>
              <w:t xml:space="preserve">95 </w:t>
            </w:r>
            <w:r>
              <w:rPr>
                <w:rFonts w:hint="eastAsia" w:ascii="宋体" w:hAnsi="宋体"/>
                <w:color w:val="auto"/>
                <w:highlight w:val="none"/>
              </w:rPr>
              <w:t>%）</w:t>
            </w:r>
            <w:r>
              <w:rPr>
                <w:rFonts w:hint="eastAsia" w:ascii="宋体" w:hAnsi="宋体" w:cs="宋体"/>
                <w:bCs/>
                <w:color w:val="auto"/>
                <w:szCs w:val="21"/>
              </w:rPr>
              <w:t>。如供应商的报价超过最高限价的，其响应文件作无效标处理。</w:t>
            </w:r>
          </w:p>
        </w:tc>
      </w:tr>
      <w:tr w14:paraId="7F7A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1" w:type="dxa"/>
            <w:vAlign w:val="center"/>
          </w:tcPr>
          <w:p w14:paraId="3D6845C9">
            <w:pPr>
              <w:spacing w:line="360" w:lineRule="auto"/>
              <w:jc w:val="center"/>
              <w:rPr>
                <w:rFonts w:ascii="宋体" w:cs="宋体"/>
                <w:bCs/>
                <w:color w:val="auto"/>
                <w:szCs w:val="21"/>
                <w:highlight w:val="none"/>
              </w:rPr>
            </w:pPr>
            <w:r>
              <w:rPr>
                <w:rFonts w:ascii="宋体" w:hAnsi="宋体" w:cs="宋体"/>
                <w:color w:val="auto"/>
                <w:szCs w:val="21"/>
                <w:highlight w:val="none"/>
              </w:rPr>
              <w:t>26.1</w:t>
            </w:r>
          </w:p>
        </w:tc>
        <w:tc>
          <w:tcPr>
            <w:tcW w:w="1606" w:type="dxa"/>
            <w:vAlign w:val="center"/>
          </w:tcPr>
          <w:p w14:paraId="230BAE0C">
            <w:pPr>
              <w:spacing w:line="360" w:lineRule="auto"/>
              <w:jc w:val="center"/>
              <w:rPr>
                <w:rFonts w:ascii="宋体" w:cs="宋体"/>
                <w:bCs/>
                <w:color w:val="auto"/>
                <w:szCs w:val="21"/>
                <w:highlight w:val="none"/>
              </w:rPr>
            </w:pPr>
            <w:r>
              <w:rPr>
                <w:rFonts w:hint="eastAsia" w:ascii="宋体" w:hAnsi="宋体" w:cs="宋体"/>
                <w:bCs/>
                <w:color w:val="auto"/>
                <w:szCs w:val="21"/>
                <w:highlight w:val="none"/>
              </w:rPr>
              <w:t>▲磋商保证金</w:t>
            </w:r>
          </w:p>
        </w:tc>
        <w:tc>
          <w:tcPr>
            <w:tcW w:w="7201" w:type="dxa"/>
            <w:vAlign w:val="center"/>
          </w:tcPr>
          <w:p w14:paraId="4640423B">
            <w:pPr>
              <w:spacing w:line="360" w:lineRule="auto"/>
              <w:rPr>
                <w:rFonts w:ascii="宋体" w:cs="宋体"/>
                <w:color w:val="auto"/>
                <w:szCs w:val="21"/>
                <w:highlight w:val="none"/>
              </w:rPr>
            </w:pPr>
            <w:r>
              <w:rPr>
                <w:rFonts w:hint="eastAsia" w:ascii="宋体" w:hAnsi="Wingdings 2" w:cs="宋体"/>
                <w:color w:val="auto"/>
                <w:szCs w:val="20"/>
                <w:highlight w:val="none"/>
              </w:rPr>
              <w:sym w:font="Wingdings 2" w:char="F0A3"/>
            </w:r>
            <w:r>
              <w:rPr>
                <w:rFonts w:hint="eastAsia" w:ascii="宋体" w:hAnsi="宋体" w:cs="宋体"/>
                <w:color w:val="auto"/>
                <w:szCs w:val="21"/>
                <w:highlight w:val="none"/>
              </w:rPr>
              <w:t>本项目磋商保证金：</w:t>
            </w:r>
            <w:r>
              <w:rPr>
                <w:rFonts w:ascii="宋体" w:hAnsi="宋体" w:cs="宋体"/>
                <w:color w:val="auto"/>
                <w:szCs w:val="21"/>
                <w:highlight w:val="none"/>
                <w:u w:val="single"/>
              </w:rPr>
              <w:t xml:space="preserve">        </w:t>
            </w:r>
            <w:r>
              <w:rPr>
                <w:rFonts w:hint="eastAsia" w:ascii="宋体" w:hAnsi="宋体" w:cs="宋体"/>
                <w:color w:val="auto"/>
                <w:szCs w:val="21"/>
                <w:highlight w:val="none"/>
              </w:rPr>
              <w:t>元。</w:t>
            </w:r>
          </w:p>
          <w:p w14:paraId="43277F59">
            <w:pPr>
              <w:spacing w:line="360" w:lineRule="auto"/>
              <w:rPr>
                <w:rFonts w:ascii="宋体" w:cs="宋体"/>
                <w:color w:val="auto"/>
                <w:kern w:val="0"/>
                <w:szCs w:val="21"/>
                <w:highlight w:val="none"/>
              </w:rPr>
            </w:pPr>
            <w:r>
              <w:rPr>
                <w:rFonts w:hint="eastAsia" w:ascii="宋体" w:hAnsi="Wingdings 2" w:cs="宋体"/>
                <w:color w:val="auto"/>
                <w:szCs w:val="20"/>
                <w:highlight w:val="none"/>
              </w:rPr>
              <w:sym w:font="Wingdings 2" w:char="F052"/>
            </w:r>
            <w:r>
              <w:rPr>
                <w:rFonts w:hint="eastAsia" w:ascii="宋体" w:hAnsi="宋体" w:cs="宋体"/>
                <w:color w:val="auto"/>
                <w:szCs w:val="21"/>
                <w:highlight w:val="none"/>
              </w:rPr>
              <w:t>无，本项目不作要求。</w:t>
            </w:r>
          </w:p>
        </w:tc>
      </w:tr>
      <w:tr w14:paraId="0734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91" w:type="dxa"/>
            <w:vAlign w:val="center"/>
          </w:tcPr>
          <w:p w14:paraId="1C34353D">
            <w:pPr>
              <w:spacing w:line="360" w:lineRule="auto"/>
              <w:jc w:val="center"/>
              <w:rPr>
                <w:rFonts w:ascii="宋体" w:cs="宋体"/>
                <w:color w:val="auto"/>
                <w:szCs w:val="21"/>
                <w:highlight w:val="none"/>
              </w:rPr>
            </w:pPr>
            <w:r>
              <w:rPr>
                <w:rFonts w:ascii="宋体" w:hAnsi="宋体" w:cs="宋体"/>
                <w:color w:val="auto"/>
                <w:szCs w:val="21"/>
                <w:highlight w:val="none"/>
              </w:rPr>
              <w:t>27.1</w:t>
            </w:r>
          </w:p>
        </w:tc>
        <w:tc>
          <w:tcPr>
            <w:tcW w:w="1606" w:type="dxa"/>
            <w:vAlign w:val="center"/>
          </w:tcPr>
          <w:p w14:paraId="20431CB3">
            <w:pPr>
              <w:spacing w:line="360" w:lineRule="exact"/>
              <w:jc w:val="center"/>
              <w:rPr>
                <w:rFonts w:ascii="宋体" w:cs="宋体"/>
                <w:color w:val="auto"/>
                <w:kern w:val="0"/>
                <w:szCs w:val="21"/>
                <w:highlight w:val="none"/>
              </w:rPr>
            </w:pPr>
            <w:r>
              <w:rPr>
                <w:rFonts w:hint="eastAsia" w:ascii="宋体" w:hAnsi="宋体" w:cs="宋体"/>
                <w:color w:val="auto"/>
                <w:kern w:val="0"/>
                <w:szCs w:val="21"/>
                <w:highlight w:val="none"/>
              </w:rPr>
              <w:t>▲响应文件有效期</w:t>
            </w:r>
          </w:p>
        </w:tc>
        <w:tc>
          <w:tcPr>
            <w:tcW w:w="7201" w:type="dxa"/>
            <w:vAlign w:val="center"/>
          </w:tcPr>
          <w:p w14:paraId="375160DD">
            <w:pPr>
              <w:pStyle w:val="26"/>
              <w:spacing w:before="0" w:beforeAutospacing="0" w:after="0" w:afterAutospacing="0" w:line="360" w:lineRule="auto"/>
              <w:ind w:firstLine="210" w:firstLineChars="100"/>
              <w:rPr>
                <w:rFonts w:hint="eastAsia" w:cs="宋体"/>
                <w:color w:val="auto"/>
                <w:sz w:val="21"/>
                <w:szCs w:val="21"/>
                <w:highlight w:val="none"/>
              </w:rPr>
            </w:pPr>
            <w:r>
              <w:rPr>
                <w:rFonts w:hint="eastAsia" w:cs="宋体"/>
                <w:color w:val="auto"/>
                <w:sz w:val="21"/>
                <w:szCs w:val="21"/>
                <w:highlight w:val="none"/>
              </w:rPr>
              <w:t>自响应文件递交截止之日起</w:t>
            </w:r>
            <w:r>
              <w:rPr>
                <w:rFonts w:cs="宋体"/>
                <w:color w:val="auto"/>
                <w:sz w:val="21"/>
                <w:szCs w:val="21"/>
                <w:highlight w:val="none"/>
              </w:rPr>
              <w:t>90</w:t>
            </w:r>
            <w:r>
              <w:rPr>
                <w:rFonts w:hint="eastAsia" w:cs="宋体"/>
                <w:color w:val="auto"/>
                <w:sz w:val="21"/>
                <w:szCs w:val="21"/>
                <w:highlight w:val="none"/>
              </w:rPr>
              <w:t>天内有效。</w:t>
            </w:r>
          </w:p>
        </w:tc>
      </w:tr>
      <w:tr w14:paraId="085D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91" w:type="dxa"/>
            <w:vAlign w:val="center"/>
          </w:tcPr>
          <w:p w14:paraId="689E88C3">
            <w:pPr>
              <w:spacing w:line="360" w:lineRule="auto"/>
              <w:jc w:val="center"/>
              <w:rPr>
                <w:rFonts w:ascii="宋体" w:cs="宋体"/>
                <w:color w:val="auto"/>
                <w:szCs w:val="21"/>
                <w:highlight w:val="none"/>
              </w:rPr>
            </w:pPr>
            <w:r>
              <w:rPr>
                <w:rFonts w:ascii="宋体" w:hAnsi="宋体" w:cs="宋体"/>
                <w:color w:val="auto"/>
                <w:szCs w:val="21"/>
                <w:highlight w:val="none"/>
              </w:rPr>
              <w:t>28.1</w:t>
            </w:r>
          </w:p>
        </w:tc>
        <w:tc>
          <w:tcPr>
            <w:tcW w:w="1606" w:type="dxa"/>
            <w:vAlign w:val="center"/>
          </w:tcPr>
          <w:p w14:paraId="5F259C05">
            <w:pPr>
              <w:spacing w:line="360" w:lineRule="exact"/>
              <w:jc w:val="center"/>
              <w:rPr>
                <w:rFonts w:ascii="宋体" w:cs="宋体"/>
                <w:bCs/>
                <w:color w:val="auto"/>
                <w:szCs w:val="21"/>
                <w:highlight w:val="none"/>
              </w:rPr>
            </w:pPr>
            <w:r>
              <w:rPr>
                <w:rFonts w:hint="eastAsia" w:ascii="宋体" w:hAnsi="宋体" w:cs="宋体"/>
                <w:bCs/>
                <w:color w:val="auto"/>
                <w:szCs w:val="21"/>
                <w:highlight w:val="none"/>
              </w:rPr>
              <w:t>响应文件密封及标记</w:t>
            </w:r>
          </w:p>
        </w:tc>
        <w:tc>
          <w:tcPr>
            <w:tcW w:w="7201" w:type="dxa"/>
            <w:vAlign w:val="center"/>
          </w:tcPr>
          <w:p w14:paraId="2778AF73">
            <w:pPr>
              <w:spacing w:line="360" w:lineRule="auto"/>
              <w:ind w:firstLine="210" w:firstLineChars="100"/>
              <w:rPr>
                <w:rFonts w:ascii="宋体" w:cs="宋体"/>
                <w:color w:val="auto"/>
                <w:szCs w:val="21"/>
                <w:highlight w:val="none"/>
              </w:rPr>
            </w:pPr>
            <w:r>
              <w:rPr>
                <w:rFonts w:hint="eastAsia" w:ascii="宋体" w:hAnsi="宋体" w:cs="宋体"/>
                <w:color w:val="auto"/>
                <w:szCs w:val="21"/>
                <w:highlight w:val="none"/>
              </w:rPr>
              <w:t>无</w:t>
            </w:r>
          </w:p>
        </w:tc>
      </w:tr>
      <w:tr w14:paraId="68ED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1" w:type="dxa"/>
            <w:vAlign w:val="center"/>
          </w:tcPr>
          <w:p w14:paraId="09D1446C">
            <w:pPr>
              <w:spacing w:line="360" w:lineRule="exact"/>
              <w:rPr>
                <w:rFonts w:ascii="宋体" w:cs="宋体"/>
                <w:color w:val="auto"/>
                <w:szCs w:val="21"/>
                <w:highlight w:val="none"/>
              </w:rPr>
            </w:pPr>
            <w:r>
              <w:rPr>
                <w:rFonts w:ascii="宋体" w:hAnsi="宋体" w:cs="宋体"/>
                <w:color w:val="auto"/>
                <w:szCs w:val="21"/>
                <w:highlight w:val="none"/>
              </w:rPr>
              <w:t>29.1 1</w:t>
            </w:r>
            <w:r>
              <w:rPr>
                <w:rFonts w:hint="eastAsia" w:ascii="宋体" w:hAnsi="宋体" w:cs="宋体"/>
                <w:color w:val="auto"/>
                <w:szCs w:val="21"/>
                <w:highlight w:val="none"/>
              </w:rPr>
              <w:t>）</w:t>
            </w:r>
          </w:p>
        </w:tc>
        <w:tc>
          <w:tcPr>
            <w:tcW w:w="1606" w:type="dxa"/>
            <w:vAlign w:val="center"/>
          </w:tcPr>
          <w:p w14:paraId="1A66C4E8">
            <w:pPr>
              <w:spacing w:line="360" w:lineRule="exact"/>
              <w:jc w:val="center"/>
              <w:rPr>
                <w:rFonts w:ascii="宋体" w:cs="宋体"/>
                <w:bCs/>
                <w:color w:val="auto"/>
                <w:szCs w:val="21"/>
                <w:highlight w:val="none"/>
              </w:rPr>
            </w:pPr>
            <w:r>
              <w:rPr>
                <w:rFonts w:hint="eastAsia" w:ascii="宋体" w:hAnsi="宋体" w:cs="宋体"/>
                <w:bCs/>
                <w:color w:val="auto"/>
                <w:szCs w:val="21"/>
                <w:highlight w:val="none"/>
              </w:rPr>
              <w:t>响应文件提交截止时间</w:t>
            </w:r>
          </w:p>
        </w:tc>
        <w:tc>
          <w:tcPr>
            <w:tcW w:w="7201" w:type="dxa"/>
            <w:vAlign w:val="center"/>
          </w:tcPr>
          <w:p w14:paraId="5E964ED5">
            <w:pPr>
              <w:spacing w:line="360" w:lineRule="auto"/>
              <w:ind w:firstLine="210" w:firstLineChars="100"/>
              <w:rPr>
                <w:rFonts w:ascii="宋体" w:cs="宋体"/>
                <w:color w:val="auto"/>
                <w:szCs w:val="21"/>
                <w:highlight w:val="none"/>
              </w:rPr>
            </w:pPr>
            <w:r>
              <w:rPr>
                <w:rFonts w:hint="eastAsia" w:ascii="宋体" w:hAnsi="宋体" w:cs="宋体"/>
                <w:color w:val="auto"/>
                <w:szCs w:val="21"/>
                <w:highlight w:val="none"/>
              </w:rPr>
              <w:t>同“竞争性磋商公告”规定</w:t>
            </w:r>
          </w:p>
        </w:tc>
      </w:tr>
      <w:tr w14:paraId="072A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91" w:type="dxa"/>
            <w:vAlign w:val="center"/>
          </w:tcPr>
          <w:p w14:paraId="7BF55290">
            <w:pPr>
              <w:spacing w:line="360" w:lineRule="exact"/>
              <w:rPr>
                <w:rFonts w:ascii="宋体" w:cs="宋体"/>
                <w:color w:val="auto"/>
                <w:szCs w:val="21"/>
                <w:highlight w:val="none"/>
              </w:rPr>
            </w:pPr>
            <w:r>
              <w:rPr>
                <w:rFonts w:ascii="宋体" w:hAnsi="宋体" w:cs="宋体"/>
                <w:color w:val="auto"/>
                <w:szCs w:val="21"/>
                <w:highlight w:val="none"/>
              </w:rPr>
              <w:t>29.1 1</w:t>
            </w:r>
            <w:r>
              <w:rPr>
                <w:rFonts w:hint="eastAsia" w:ascii="宋体" w:hAnsi="宋体" w:cs="宋体"/>
                <w:color w:val="auto"/>
                <w:szCs w:val="21"/>
                <w:highlight w:val="none"/>
              </w:rPr>
              <w:t>）</w:t>
            </w:r>
          </w:p>
        </w:tc>
        <w:tc>
          <w:tcPr>
            <w:tcW w:w="1606" w:type="dxa"/>
            <w:vAlign w:val="center"/>
          </w:tcPr>
          <w:p w14:paraId="27D3D229">
            <w:pPr>
              <w:spacing w:line="360" w:lineRule="exact"/>
              <w:jc w:val="center"/>
              <w:rPr>
                <w:rFonts w:ascii="宋体" w:cs="宋体"/>
                <w:bCs/>
                <w:color w:val="auto"/>
                <w:szCs w:val="21"/>
                <w:highlight w:val="none"/>
              </w:rPr>
            </w:pPr>
            <w:r>
              <w:rPr>
                <w:rFonts w:hint="eastAsia" w:ascii="宋体" w:hAnsi="宋体" w:cs="宋体"/>
                <w:bCs/>
                <w:color w:val="auto"/>
                <w:szCs w:val="21"/>
                <w:highlight w:val="none"/>
              </w:rPr>
              <w:t>响应文件提交地点</w:t>
            </w:r>
          </w:p>
        </w:tc>
        <w:tc>
          <w:tcPr>
            <w:tcW w:w="7201" w:type="dxa"/>
            <w:vAlign w:val="center"/>
          </w:tcPr>
          <w:p w14:paraId="652B959A">
            <w:pPr>
              <w:spacing w:line="360" w:lineRule="auto"/>
              <w:ind w:firstLine="210" w:firstLineChars="100"/>
              <w:rPr>
                <w:rFonts w:ascii="宋体" w:cs="宋体"/>
                <w:color w:val="auto"/>
                <w:szCs w:val="21"/>
                <w:highlight w:val="none"/>
              </w:rPr>
            </w:pPr>
            <w:r>
              <w:rPr>
                <w:rFonts w:hint="eastAsia" w:ascii="宋体" w:hAnsi="宋体" w:cs="宋体"/>
                <w:color w:val="auto"/>
                <w:highlight w:val="none"/>
              </w:rPr>
              <w:t>同“竞争性磋商公告”规定。</w:t>
            </w:r>
          </w:p>
        </w:tc>
      </w:tr>
      <w:tr w14:paraId="0500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91" w:type="dxa"/>
            <w:vAlign w:val="center"/>
          </w:tcPr>
          <w:p w14:paraId="3DDC4004">
            <w:pPr>
              <w:pStyle w:val="9"/>
              <w:spacing w:after="0" w:line="360" w:lineRule="exact"/>
              <w:rPr>
                <w:rFonts w:ascii="宋体" w:cs="宋体"/>
                <w:color w:val="auto"/>
                <w:highlight w:val="none"/>
              </w:rPr>
            </w:pPr>
            <w:r>
              <w:rPr>
                <w:rFonts w:ascii="宋体" w:hAnsi="宋体" w:cs="宋体"/>
                <w:color w:val="auto"/>
                <w:szCs w:val="21"/>
                <w:highlight w:val="none"/>
              </w:rPr>
              <w:t>29.1 2</w:t>
            </w:r>
            <w:r>
              <w:rPr>
                <w:rFonts w:hint="eastAsia" w:ascii="宋体" w:hAnsi="宋体" w:cs="宋体"/>
                <w:color w:val="auto"/>
                <w:szCs w:val="21"/>
                <w:highlight w:val="none"/>
              </w:rPr>
              <w:t>）</w:t>
            </w:r>
          </w:p>
        </w:tc>
        <w:tc>
          <w:tcPr>
            <w:tcW w:w="1606" w:type="dxa"/>
            <w:vAlign w:val="center"/>
          </w:tcPr>
          <w:p w14:paraId="6E37BE0F">
            <w:pPr>
              <w:spacing w:line="360" w:lineRule="exact"/>
              <w:jc w:val="center"/>
              <w:rPr>
                <w:rFonts w:ascii="宋体" w:cs="宋体"/>
                <w:bCs/>
                <w:color w:val="auto"/>
                <w:szCs w:val="21"/>
                <w:highlight w:val="none"/>
              </w:rPr>
            </w:pPr>
            <w:r>
              <w:rPr>
                <w:rFonts w:hint="eastAsia" w:ascii="宋体" w:hAnsi="宋体" w:cs="宋体"/>
                <w:bCs/>
                <w:color w:val="auto"/>
                <w:szCs w:val="21"/>
                <w:highlight w:val="none"/>
              </w:rPr>
              <w:t>响应文件开启时间和地点</w:t>
            </w:r>
          </w:p>
        </w:tc>
        <w:tc>
          <w:tcPr>
            <w:tcW w:w="7201" w:type="dxa"/>
            <w:vAlign w:val="center"/>
          </w:tcPr>
          <w:p w14:paraId="2B063EB6">
            <w:pPr>
              <w:spacing w:line="360" w:lineRule="auto"/>
              <w:ind w:firstLine="210" w:firstLineChars="100"/>
              <w:rPr>
                <w:rFonts w:ascii="宋体" w:cs="宋体"/>
                <w:color w:val="auto"/>
                <w:szCs w:val="21"/>
                <w:highlight w:val="none"/>
              </w:rPr>
            </w:pPr>
            <w:r>
              <w:rPr>
                <w:rFonts w:hint="eastAsia" w:ascii="宋体" w:hAnsi="宋体" w:cs="宋体"/>
                <w:color w:val="auto"/>
                <w:szCs w:val="21"/>
                <w:highlight w:val="none"/>
              </w:rPr>
              <w:t>同“竞争性磋商公告”规定</w:t>
            </w:r>
          </w:p>
        </w:tc>
      </w:tr>
      <w:tr w14:paraId="5C37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1" w:type="dxa"/>
            <w:vAlign w:val="center"/>
          </w:tcPr>
          <w:p w14:paraId="40759DF5">
            <w:pPr>
              <w:pStyle w:val="9"/>
              <w:spacing w:after="0" w:line="360" w:lineRule="auto"/>
              <w:jc w:val="center"/>
              <w:rPr>
                <w:rFonts w:ascii="宋体" w:cs="宋体"/>
                <w:color w:val="auto"/>
                <w:szCs w:val="21"/>
                <w:highlight w:val="none"/>
              </w:rPr>
            </w:pPr>
            <w:r>
              <w:rPr>
                <w:rFonts w:ascii="宋体" w:hAnsi="宋体" w:cs="宋体"/>
                <w:color w:val="auto"/>
                <w:szCs w:val="21"/>
                <w:highlight w:val="none"/>
              </w:rPr>
              <w:t>35.3</w:t>
            </w:r>
          </w:p>
        </w:tc>
        <w:tc>
          <w:tcPr>
            <w:tcW w:w="1606" w:type="dxa"/>
            <w:vAlign w:val="center"/>
          </w:tcPr>
          <w:p w14:paraId="71298E6C">
            <w:pPr>
              <w:spacing w:line="360" w:lineRule="auto"/>
              <w:jc w:val="center"/>
              <w:rPr>
                <w:rFonts w:ascii="宋体" w:cs="宋体"/>
                <w:bCs/>
                <w:color w:val="auto"/>
                <w:szCs w:val="21"/>
                <w:highlight w:val="none"/>
              </w:rPr>
            </w:pPr>
            <w:r>
              <w:rPr>
                <w:rFonts w:hint="eastAsia" w:ascii="宋体" w:hAnsi="宋体" w:cs="宋体"/>
                <w:bCs/>
                <w:color w:val="auto"/>
                <w:szCs w:val="21"/>
                <w:highlight w:val="none"/>
              </w:rPr>
              <w:t>解密时间</w:t>
            </w:r>
          </w:p>
        </w:tc>
        <w:tc>
          <w:tcPr>
            <w:tcW w:w="7201" w:type="dxa"/>
            <w:vAlign w:val="center"/>
          </w:tcPr>
          <w:p w14:paraId="1942FB63">
            <w:pPr>
              <w:spacing w:line="360" w:lineRule="auto"/>
              <w:ind w:firstLine="210" w:firstLineChars="100"/>
              <w:rPr>
                <w:rFonts w:ascii="宋体" w:cs="宋体"/>
                <w:color w:val="auto"/>
                <w:szCs w:val="21"/>
                <w:highlight w:val="none"/>
              </w:rPr>
            </w:pPr>
            <w:r>
              <w:rPr>
                <w:rFonts w:hint="eastAsia" w:ascii="宋体" w:hAnsi="宋体" w:cs="宋体"/>
                <w:color w:val="auto"/>
                <w:szCs w:val="21"/>
                <w:highlight w:val="none"/>
              </w:rPr>
              <w:t>在采购代理机构发布标书解密指令后</w:t>
            </w:r>
            <w:r>
              <w:rPr>
                <w:rFonts w:ascii="宋体" w:hAnsi="宋体" w:cs="宋体"/>
                <w:color w:val="auto"/>
                <w:szCs w:val="21"/>
                <w:highlight w:val="none"/>
              </w:rPr>
              <w:t>60</w:t>
            </w:r>
            <w:r>
              <w:rPr>
                <w:rFonts w:hint="eastAsia" w:ascii="宋体" w:hAnsi="宋体" w:cs="宋体"/>
                <w:color w:val="auto"/>
                <w:szCs w:val="21"/>
                <w:highlight w:val="none"/>
              </w:rPr>
              <w:t>分钟内完成解密。</w:t>
            </w:r>
          </w:p>
        </w:tc>
      </w:tr>
      <w:tr w14:paraId="2B7B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991" w:type="dxa"/>
            <w:vAlign w:val="center"/>
          </w:tcPr>
          <w:p w14:paraId="440813BC">
            <w:pPr>
              <w:spacing w:line="360" w:lineRule="auto"/>
              <w:jc w:val="center"/>
              <w:rPr>
                <w:rFonts w:ascii="宋体" w:cs="宋体"/>
                <w:color w:val="auto"/>
                <w:szCs w:val="21"/>
                <w:highlight w:val="none"/>
              </w:rPr>
            </w:pPr>
            <w:r>
              <w:rPr>
                <w:rFonts w:ascii="宋体" w:hAnsi="宋体" w:cs="宋体"/>
                <w:color w:val="auto"/>
                <w:szCs w:val="21"/>
                <w:highlight w:val="none"/>
              </w:rPr>
              <w:t>39.1</w:t>
            </w:r>
          </w:p>
        </w:tc>
        <w:tc>
          <w:tcPr>
            <w:tcW w:w="1606" w:type="dxa"/>
            <w:vAlign w:val="center"/>
          </w:tcPr>
          <w:p w14:paraId="794854F5">
            <w:pPr>
              <w:spacing w:line="360" w:lineRule="auto"/>
              <w:jc w:val="center"/>
              <w:rPr>
                <w:rFonts w:ascii="宋体" w:cs="宋体"/>
                <w:bCs/>
                <w:color w:val="auto"/>
                <w:szCs w:val="21"/>
                <w:highlight w:val="none"/>
              </w:rPr>
            </w:pPr>
            <w:r>
              <w:rPr>
                <w:rFonts w:hint="eastAsia" w:ascii="宋体" w:hAnsi="宋体" w:cs="宋体"/>
                <w:color w:val="auto"/>
                <w:szCs w:val="21"/>
                <w:highlight w:val="none"/>
              </w:rPr>
              <w:t>资格审查方式</w:t>
            </w:r>
          </w:p>
        </w:tc>
        <w:tc>
          <w:tcPr>
            <w:tcW w:w="7201" w:type="dxa"/>
            <w:vAlign w:val="center"/>
          </w:tcPr>
          <w:p w14:paraId="653CC01C">
            <w:pPr>
              <w:spacing w:line="360" w:lineRule="auto"/>
              <w:ind w:firstLine="210" w:firstLineChars="100"/>
              <w:rPr>
                <w:rFonts w:ascii="宋体" w:cs="宋体"/>
                <w:bCs/>
                <w:color w:val="auto"/>
                <w:szCs w:val="21"/>
                <w:highlight w:val="none"/>
                <w:u w:val="single"/>
              </w:rPr>
            </w:pPr>
            <w:r>
              <w:rPr>
                <w:rFonts w:hint="eastAsia" w:ascii="宋体" w:hAnsi="宋体" w:cs="宋体"/>
                <w:bCs/>
                <w:color w:val="auto"/>
                <w:szCs w:val="21"/>
                <w:highlight w:val="none"/>
                <w:u w:val="single"/>
              </w:rPr>
              <w:t>资格后审。</w:t>
            </w:r>
          </w:p>
          <w:p w14:paraId="2351ED5B">
            <w:pPr>
              <w:spacing w:line="360" w:lineRule="auto"/>
              <w:ind w:firstLine="210" w:firstLineChars="100"/>
              <w:rPr>
                <w:rFonts w:ascii="宋体" w:cs="宋体"/>
                <w:bCs/>
                <w:color w:val="auto"/>
                <w:szCs w:val="21"/>
                <w:highlight w:val="none"/>
              </w:rPr>
            </w:pPr>
            <w:r>
              <w:rPr>
                <w:rFonts w:hint="eastAsia" w:ascii="宋体" w:hAnsi="宋体" w:cs="宋体"/>
                <w:bCs/>
                <w:color w:val="auto"/>
                <w:szCs w:val="21"/>
                <w:highlight w:val="none"/>
              </w:rPr>
              <w:t>资格后审是指在开标后由磋商小组依法对磋商供应商进行资格审查。资格后审不合格的供应商，对其响应文件作无效标处理。</w:t>
            </w:r>
          </w:p>
        </w:tc>
      </w:tr>
      <w:tr w14:paraId="3FD3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91" w:type="dxa"/>
            <w:vAlign w:val="center"/>
          </w:tcPr>
          <w:p w14:paraId="403A712B">
            <w:pPr>
              <w:spacing w:line="360" w:lineRule="auto"/>
              <w:jc w:val="center"/>
              <w:rPr>
                <w:rFonts w:ascii="宋体" w:cs="宋体"/>
                <w:color w:val="auto"/>
                <w:szCs w:val="21"/>
                <w:highlight w:val="none"/>
              </w:rPr>
            </w:pPr>
            <w:r>
              <w:rPr>
                <w:rFonts w:ascii="宋体" w:hAnsi="宋体" w:cs="宋体"/>
                <w:color w:val="auto"/>
                <w:szCs w:val="21"/>
                <w:highlight w:val="none"/>
              </w:rPr>
              <w:t>51.1</w:t>
            </w:r>
          </w:p>
        </w:tc>
        <w:tc>
          <w:tcPr>
            <w:tcW w:w="1606" w:type="dxa"/>
            <w:vAlign w:val="center"/>
          </w:tcPr>
          <w:p w14:paraId="4246F9DC">
            <w:pPr>
              <w:spacing w:line="360" w:lineRule="auto"/>
              <w:jc w:val="center"/>
              <w:rPr>
                <w:rFonts w:ascii="宋体" w:cs="宋体"/>
                <w:bCs/>
                <w:color w:val="auto"/>
                <w:szCs w:val="21"/>
                <w:highlight w:val="none"/>
              </w:rPr>
            </w:pPr>
            <w:r>
              <w:rPr>
                <w:rFonts w:hint="eastAsia" w:ascii="宋体" w:hAnsi="宋体" w:cs="宋体"/>
                <w:bCs/>
                <w:color w:val="auto"/>
                <w:szCs w:val="21"/>
                <w:highlight w:val="none"/>
              </w:rPr>
              <w:t>▲履约保证金</w:t>
            </w:r>
          </w:p>
        </w:tc>
        <w:tc>
          <w:tcPr>
            <w:tcW w:w="7201" w:type="dxa"/>
            <w:vAlign w:val="center"/>
          </w:tcPr>
          <w:p w14:paraId="0A431E9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本项目履约保证金为合同价的1%。</w:t>
            </w:r>
          </w:p>
          <w:p w14:paraId="1C99AAB6">
            <w:pPr>
              <w:spacing w:line="360" w:lineRule="auto"/>
              <w:ind w:firstLine="210" w:firstLineChars="100"/>
              <w:rPr>
                <w:rFonts w:ascii="宋体" w:cs="宋体"/>
                <w:color w:val="auto"/>
                <w:szCs w:val="21"/>
                <w:highlight w:val="none"/>
              </w:rPr>
            </w:pPr>
            <w:r>
              <w:rPr>
                <w:rFonts w:hint="eastAsia" w:ascii="宋体" w:hAnsi="宋体" w:eastAsia="宋体" w:cs="宋体"/>
                <w:color w:val="auto"/>
                <w:szCs w:val="21"/>
                <w:highlight w:val="none"/>
              </w:rPr>
              <w:t>鼓励供应商开展政采贷、履约保函等政府采购金融服务，供应商以银行、保险公司出具保函形式提交履约保证金的，采购单位不得拒收。</w:t>
            </w:r>
          </w:p>
        </w:tc>
      </w:tr>
      <w:tr w14:paraId="4AA0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91" w:type="dxa"/>
            <w:vAlign w:val="center"/>
          </w:tcPr>
          <w:p w14:paraId="5A586B51">
            <w:pPr>
              <w:spacing w:line="360" w:lineRule="auto"/>
              <w:jc w:val="center"/>
              <w:rPr>
                <w:rFonts w:ascii="宋体" w:cs="宋体"/>
                <w:color w:val="auto"/>
                <w:szCs w:val="21"/>
                <w:highlight w:val="none"/>
              </w:rPr>
            </w:pPr>
            <w:r>
              <w:rPr>
                <w:rFonts w:ascii="宋体" w:hAnsi="宋体" w:cs="宋体"/>
                <w:color w:val="auto"/>
                <w:szCs w:val="21"/>
                <w:highlight w:val="none"/>
              </w:rPr>
              <w:t>54.1</w:t>
            </w:r>
          </w:p>
        </w:tc>
        <w:tc>
          <w:tcPr>
            <w:tcW w:w="1606" w:type="dxa"/>
            <w:vAlign w:val="center"/>
          </w:tcPr>
          <w:p w14:paraId="4B2D54DC">
            <w:pPr>
              <w:autoSpaceDE w:val="0"/>
              <w:autoSpaceDN w:val="0"/>
              <w:spacing w:line="360" w:lineRule="auto"/>
              <w:jc w:val="center"/>
              <w:rPr>
                <w:rFonts w:ascii="宋体" w:cs="宋体"/>
                <w:color w:val="auto"/>
                <w:szCs w:val="21"/>
                <w:highlight w:val="none"/>
                <w:lang w:val="zh-CN"/>
              </w:rPr>
            </w:pPr>
            <w:r>
              <w:rPr>
                <w:rFonts w:hint="eastAsia" w:ascii="宋体" w:hAnsi="宋体" w:cs="宋体"/>
                <w:color w:val="auto"/>
                <w:szCs w:val="21"/>
                <w:highlight w:val="none"/>
                <w:lang w:val="zh-CN"/>
              </w:rPr>
              <w:t>磋商费用</w:t>
            </w:r>
          </w:p>
        </w:tc>
        <w:tc>
          <w:tcPr>
            <w:tcW w:w="7201" w:type="dxa"/>
            <w:vAlign w:val="center"/>
          </w:tcPr>
          <w:p w14:paraId="5B99AE8C">
            <w:pPr>
              <w:spacing w:line="360" w:lineRule="auto"/>
              <w:ind w:firstLine="210" w:firstLineChars="100"/>
              <w:rPr>
                <w:rFonts w:ascii="宋体" w:cs="宋体"/>
                <w:color w:val="auto"/>
                <w:highlight w:val="none"/>
                <w:lang w:val="zh-CN"/>
              </w:rPr>
            </w:pPr>
            <w:r>
              <w:rPr>
                <w:rFonts w:hint="eastAsia" w:ascii="宋体" w:hAnsi="宋体" w:cs="宋体"/>
                <w:color w:val="auto"/>
                <w:highlight w:val="none"/>
              </w:rPr>
              <w:t>本项目招标代理服务费</w:t>
            </w:r>
            <w:r>
              <w:rPr>
                <w:rFonts w:hint="eastAsia"/>
                <w:color w:val="auto"/>
                <w:highlight w:val="none"/>
                <w:lang w:val="zh-CN"/>
              </w:rPr>
              <w:t>由</w:t>
            </w:r>
            <w:r>
              <w:rPr>
                <w:rFonts w:hint="eastAsia" w:ascii="宋体" w:hAnsi="宋体" w:cs="宋体"/>
                <w:color w:val="auto"/>
                <w:highlight w:val="none"/>
                <w:lang w:val="en-US" w:eastAsia="zh-CN"/>
              </w:rPr>
              <w:t>中标单位</w:t>
            </w:r>
            <w:r>
              <w:rPr>
                <w:rFonts w:hint="eastAsia" w:ascii="宋体" w:hAnsi="宋体" w:cs="宋体"/>
                <w:color w:val="auto"/>
                <w:highlight w:val="none"/>
                <w:lang w:val="zh-CN"/>
              </w:rPr>
              <w:t>支付，</w:t>
            </w:r>
            <w:r>
              <w:rPr>
                <w:rFonts w:hint="eastAsia" w:ascii="宋体" w:hAnsi="宋体" w:cs="宋体"/>
                <w:color w:val="auto"/>
                <w:szCs w:val="21"/>
                <w:highlight w:val="none"/>
                <w:lang w:val="en-US" w:eastAsia="zh-CN"/>
              </w:rPr>
              <w:t>以</w:t>
            </w:r>
            <w:r>
              <w:rPr>
                <w:rFonts w:hint="eastAsia" w:ascii="宋体" w:hAnsi="宋体" w:cs="宋体"/>
                <w:color w:val="auto"/>
                <w:szCs w:val="21"/>
                <w:highlight w:val="none"/>
              </w:rPr>
              <w:t>中标价为计算基数，按</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类标准费率计算值的70%的计取</w:t>
            </w:r>
            <w:r>
              <w:rPr>
                <w:rFonts w:hint="eastAsia" w:ascii="宋体" w:hAnsi="宋体" w:cs="宋体"/>
                <w:color w:val="auto"/>
                <w:szCs w:val="21"/>
                <w:highlight w:val="none"/>
                <w:lang w:val="zh-CN"/>
              </w:rPr>
              <w:t>。</w:t>
            </w:r>
          </w:p>
        </w:tc>
      </w:tr>
      <w:tr w14:paraId="09C3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3" w:hRule="atLeast"/>
          <w:jc w:val="center"/>
        </w:trPr>
        <w:tc>
          <w:tcPr>
            <w:tcW w:w="991" w:type="dxa"/>
            <w:vAlign w:val="center"/>
          </w:tcPr>
          <w:p w14:paraId="6C47710F">
            <w:pPr>
              <w:spacing w:line="360" w:lineRule="auto"/>
              <w:jc w:val="center"/>
              <w:rPr>
                <w:rFonts w:ascii="宋体" w:cs="宋体"/>
                <w:color w:val="auto"/>
                <w:szCs w:val="21"/>
                <w:highlight w:val="none"/>
              </w:rPr>
            </w:pPr>
            <w:r>
              <w:rPr>
                <w:rFonts w:ascii="宋体" w:hAnsi="宋体"/>
                <w:color w:val="auto"/>
                <w:szCs w:val="21"/>
                <w:highlight w:val="none"/>
              </w:rPr>
              <w:t>54.2</w:t>
            </w:r>
          </w:p>
        </w:tc>
        <w:tc>
          <w:tcPr>
            <w:tcW w:w="1606" w:type="dxa"/>
            <w:vAlign w:val="center"/>
          </w:tcPr>
          <w:p w14:paraId="1D483A8E">
            <w:pPr>
              <w:autoSpaceDE w:val="0"/>
              <w:autoSpaceDN w:val="0"/>
              <w:spacing w:line="360" w:lineRule="auto"/>
              <w:jc w:val="center"/>
              <w:rPr>
                <w:rFonts w:ascii="宋体" w:cs="宋体"/>
                <w:color w:val="auto"/>
                <w:szCs w:val="21"/>
                <w:highlight w:val="none"/>
                <w:lang w:val="zh-CN"/>
              </w:rPr>
            </w:pPr>
            <w:r>
              <w:rPr>
                <w:rFonts w:hint="eastAsia" w:ascii="宋体" w:hAnsi="宋体"/>
                <w:color w:val="auto"/>
                <w:szCs w:val="21"/>
                <w:highlight w:val="none"/>
                <w:lang w:val="zh-CN"/>
              </w:rPr>
              <w:t>政采贷相关说明</w:t>
            </w:r>
          </w:p>
        </w:tc>
        <w:tc>
          <w:tcPr>
            <w:tcW w:w="7201" w:type="dxa"/>
            <w:vAlign w:val="center"/>
          </w:tcPr>
          <w:p w14:paraId="19651ADF">
            <w:pPr>
              <w:pStyle w:val="57"/>
              <w:tabs>
                <w:tab w:val="left" w:pos="0"/>
                <w:tab w:val="left" w:pos="420"/>
              </w:tabs>
              <w:autoSpaceDE w:val="0"/>
              <w:autoSpaceDN w:val="0"/>
              <w:spacing w:line="360" w:lineRule="auto"/>
              <w:ind w:firstLine="210" w:firstLineChars="100"/>
              <w:textAlignment w:val="bottom"/>
              <w:outlineLvl w:val="2"/>
              <w:rPr>
                <w:rFonts w:ascii="宋体" w:cs="宋体"/>
                <w:color w:val="auto"/>
                <w:kern w:val="0"/>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、为优化政府采购营商环境，缓解供应商资金难题，政采云平台已推广应用“政采贷”服务，中标供应商如有融资需求，可使用以下银行的政采贷服务。</w:t>
            </w:r>
          </w:p>
          <w:tbl>
            <w:tblPr>
              <w:tblStyle w:val="28"/>
              <w:tblW w:w="6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512"/>
              <w:gridCol w:w="2324"/>
            </w:tblGrid>
            <w:tr w14:paraId="229F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tcBorders>
                    <w:top w:val="single" w:color="auto" w:sz="4" w:space="0"/>
                    <w:left w:val="single" w:color="auto" w:sz="4" w:space="0"/>
                    <w:bottom w:val="single" w:color="auto" w:sz="4" w:space="0"/>
                    <w:right w:val="single" w:color="auto" w:sz="4" w:space="0"/>
                  </w:tcBorders>
                  <w:vAlign w:val="center"/>
                </w:tcPr>
                <w:p w14:paraId="08FDD554">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银行名称</w:t>
                  </w:r>
                </w:p>
              </w:tc>
              <w:tc>
                <w:tcPr>
                  <w:tcW w:w="1512" w:type="dxa"/>
                  <w:tcBorders>
                    <w:top w:val="single" w:color="auto" w:sz="4" w:space="0"/>
                    <w:left w:val="single" w:color="auto" w:sz="4" w:space="0"/>
                    <w:bottom w:val="single" w:color="auto" w:sz="4" w:space="0"/>
                    <w:right w:val="single" w:color="auto" w:sz="4" w:space="0"/>
                  </w:tcBorders>
                  <w:vAlign w:val="center"/>
                </w:tcPr>
                <w:p w14:paraId="1CB8EB09">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联系人</w:t>
                  </w:r>
                </w:p>
              </w:tc>
              <w:tc>
                <w:tcPr>
                  <w:tcW w:w="2324" w:type="dxa"/>
                  <w:tcBorders>
                    <w:top w:val="single" w:color="auto" w:sz="4" w:space="0"/>
                    <w:left w:val="single" w:color="auto" w:sz="4" w:space="0"/>
                    <w:bottom w:val="single" w:color="auto" w:sz="4" w:space="0"/>
                    <w:right w:val="single" w:color="auto" w:sz="4" w:space="0"/>
                  </w:tcBorders>
                  <w:vAlign w:val="center"/>
                </w:tcPr>
                <w:p w14:paraId="1F4B7B10">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联系方式</w:t>
                  </w:r>
                </w:p>
              </w:tc>
            </w:tr>
            <w:tr w14:paraId="3CD7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tcBorders>
                    <w:top w:val="single" w:color="auto" w:sz="4" w:space="0"/>
                    <w:left w:val="single" w:color="auto" w:sz="4" w:space="0"/>
                    <w:bottom w:val="single" w:color="auto" w:sz="4" w:space="0"/>
                    <w:right w:val="single" w:color="auto" w:sz="4" w:space="0"/>
                  </w:tcBorders>
                  <w:vAlign w:val="center"/>
                </w:tcPr>
                <w:p w14:paraId="70E6C474">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中国工商银行</w:t>
                  </w:r>
                </w:p>
              </w:tc>
              <w:tc>
                <w:tcPr>
                  <w:tcW w:w="1512" w:type="dxa"/>
                  <w:tcBorders>
                    <w:top w:val="single" w:color="auto" w:sz="4" w:space="0"/>
                    <w:left w:val="single" w:color="auto" w:sz="4" w:space="0"/>
                    <w:bottom w:val="single" w:color="auto" w:sz="4" w:space="0"/>
                    <w:right w:val="single" w:color="auto" w:sz="4" w:space="0"/>
                  </w:tcBorders>
                  <w:vAlign w:val="center"/>
                </w:tcPr>
                <w:p w14:paraId="243D1E73">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王健永</w:t>
                  </w:r>
                </w:p>
              </w:tc>
              <w:tc>
                <w:tcPr>
                  <w:tcW w:w="2324" w:type="dxa"/>
                  <w:tcBorders>
                    <w:top w:val="single" w:color="auto" w:sz="4" w:space="0"/>
                    <w:left w:val="single" w:color="auto" w:sz="4" w:space="0"/>
                    <w:bottom w:val="single" w:color="auto" w:sz="4" w:space="0"/>
                    <w:right w:val="single" w:color="auto" w:sz="4" w:space="0"/>
                  </w:tcBorders>
                  <w:vAlign w:val="center"/>
                </w:tcPr>
                <w:p w14:paraId="30CCE1E0">
                  <w:pPr>
                    <w:spacing w:line="360" w:lineRule="auto"/>
                    <w:ind w:firstLine="420"/>
                    <w:rPr>
                      <w:rFonts w:ascii="宋体" w:cs="宋体"/>
                      <w:color w:val="auto"/>
                      <w:kern w:val="0"/>
                      <w:szCs w:val="21"/>
                      <w:highlight w:val="none"/>
                    </w:rPr>
                  </w:pPr>
                  <w:r>
                    <w:rPr>
                      <w:rFonts w:ascii="宋体" w:hAnsi="宋体" w:cs="宋体"/>
                      <w:color w:val="auto"/>
                      <w:kern w:val="0"/>
                      <w:szCs w:val="21"/>
                      <w:highlight w:val="none"/>
                    </w:rPr>
                    <w:t>13967615120</w:t>
                  </w:r>
                </w:p>
              </w:tc>
            </w:tr>
            <w:tr w14:paraId="3190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tcBorders>
                    <w:top w:val="single" w:color="auto" w:sz="4" w:space="0"/>
                    <w:left w:val="single" w:color="auto" w:sz="4" w:space="0"/>
                    <w:bottom w:val="single" w:color="auto" w:sz="4" w:space="0"/>
                    <w:right w:val="single" w:color="auto" w:sz="4" w:space="0"/>
                  </w:tcBorders>
                  <w:vAlign w:val="center"/>
                </w:tcPr>
                <w:p w14:paraId="530F0733">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浙江泰隆商业银行</w:t>
                  </w:r>
                </w:p>
              </w:tc>
              <w:tc>
                <w:tcPr>
                  <w:tcW w:w="1512" w:type="dxa"/>
                  <w:tcBorders>
                    <w:top w:val="single" w:color="auto" w:sz="4" w:space="0"/>
                    <w:left w:val="single" w:color="auto" w:sz="4" w:space="0"/>
                    <w:bottom w:val="single" w:color="auto" w:sz="4" w:space="0"/>
                    <w:right w:val="single" w:color="auto" w:sz="4" w:space="0"/>
                  </w:tcBorders>
                  <w:vAlign w:val="center"/>
                </w:tcPr>
                <w:p w14:paraId="4430DDE3">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陈超</w:t>
                  </w:r>
                </w:p>
              </w:tc>
              <w:tc>
                <w:tcPr>
                  <w:tcW w:w="2324" w:type="dxa"/>
                  <w:tcBorders>
                    <w:top w:val="single" w:color="auto" w:sz="4" w:space="0"/>
                    <w:left w:val="single" w:color="auto" w:sz="4" w:space="0"/>
                    <w:bottom w:val="single" w:color="auto" w:sz="4" w:space="0"/>
                    <w:right w:val="single" w:color="auto" w:sz="4" w:space="0"/>
                  </w:tcBorders>
                  <w:vAlign w:val="center"/>
                </w:tcPr>
                <w:p w14:paraId="4968E89E">
                  <w:pPr>
                    <w:spacing w:line="360" w:lineRule="auto"/>
                    <w:ind w:firstLine="420"/>
                    <w:rPr>
                      <w:rFonts w:ascii="宋体" w:cs="宋体"/>
                      <w:color w:val="auto"/>
                      <w:kern w:val="0"/>
                      <w:szCs w:val="21"/>
                      <w:highlight w:val="none"/>
                    </w:rPr>
                  </w:pPr>
                  <w:r>
                    <w:rPr>
                      <w:rFonts w:ascii="宋体" w:hAnsi="宋体" w:cs="宋体"/>
                      <w:color w:val="auto"/>
                      <w:kern w:val="0"/>
                      <w:szCs w:val="21"/>
                      <w:highlight w:val="none"/>
                    </w:rPr>
                    <w:t>17858683697</w:t>
                  </w:r>
                </w:p>
              </w:tc>
            </w:tr>
            <w:tr w14:paraId="5D54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tcBorders>
                    <w:top w:val="single" w:color="auto" w:sz="4" w:space="0"/>
                    <w:left w:val="single" w:color="auto" w:sz="4" w:space="0"/>
                    <w:bottom w:val="single" w:color="auto" w:sz="4" w:space="0"/>
                    <w:right w:val="single" w:color="auto" w:sz="4" w:space="0"/>
                  </w:tcBorders>
                  <w:vAlign w:val="center"/>
                </w:tcPr>
                <w:p w14:paraId="643EEEF5">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浙江民泰商业银行</w:t>
                  </w:r>
                </w:p>
              </w:tc>
              <w:tc>
                <w:tcPr>
                  <w:tcW w:w="1512" w:type="dxa"/>
                  <w:tcBorders>
                    <w:top w:val="single" w:color="auto" w:sz="4" w:space="0"/>
                    <w:left w:val="single" w:color="auto" w:sz="4" w:space="0"/>
                    <w:bottom w:val="single" w:color="auto" w:sz="4" w:space="0"/>
                    <w:right w:val="single" w:color="auto" w:sz="4" w:space="0"/>
                  </w:tcBorders>
                  <w:vAlign w:val="center"/>
                </w:tcPr>
                <w:p w14:paraId="75E389C1">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朱祖优</w:t>
                  </w:r>
                </w:p>
              </w:tc>
              <w:tc>
                <w:tcPr>
                  <w:tcW w:w="2324" w:type="dxa"/>
                  <w:tcBorders>
                    <w:top w:val="single" w:color="auto" w:sz="4" w:space="0"/>
                    <w:left w:val="single" w:color="auto" w:sz="4" w:space="0"/>
                    <w:bottom w:val="single" w:color="auto" w:sz="4" w:space="0"/>
                    <w:right w:val="single" w:color="auto" w:sz="4" w:space="0"/>
                  </w:tcBorders>
                  <w:vAlign w:val="center"/>
                </w:tcPr>
                <w:p w14:paraId="28DC961E">
                  <w:pPr>
                    <w:spacing w:line="360" w:lineRule="auto"/>
                    <w:ind w:firstLine="420"/>
                    <w:rPr>
                      <w:rFonts w:ascii="宋体" w:cs="宋体"/>
                      <w:color w:val="auto"/>
                      <w:kern w:val="0"/>
                      <w:szCs w:val="21"/>
                      <w:highlight w:val="none"/>
                    </w:rPr>
                  </w:pPr>
                  <w:r>
                    <w:rPr>
                      <w:rFonts w:ascii="宋体" w:hAnsi="宋体" w:cs="宋体"/>
                      <w:color w:val="auto"/>
                      <w:kern w:val="0"/>
                      <w:szCs w:val="21"/>
                      <w:highlight w:val="none"/>
                    </w:rPr>
                    <w:t>13858602876</w:t>
                  </w:r>
                </w:p>
              </w:tc>
            </w:tr>
            <w:tr w14:paraId="6C81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tcBorders>
                    <w:top w:val="single" w:color="auto" w:sz="4" w:space="0"/>
                    <w:left w:val="single" w:color="auto" w:sz="4" w:space="0"/>
                    <w:bottom w:val="single" w:color="auto" w:sz="4" w:space="0"/>
                    <w:right w:val="single" w:color="auto" w:sz="4" w:space="0"/>
                  </w:tcBorders>
                  <w:vAlign w:val="center"/>
                </w:tcPr>
                <w:p w14:paraId="119AAF1C">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中国建设银行</w:t>
                  </w:r>
                </w:p>
              </w:tc>
              <w:tc>
                <w:tcPr>
                  <w:tcW w:w="1512" w:type="dxa"/>
                  <w:tcBorders>
                    <w:top w:val="single" w:color="auto" w:sz="4" w:space="0"/>
                    <w:left w:val="single" w:color="auto" w:sz="4" w:space="0"/>
                    <w:bottom w:val="single" w:color="auto" w:sz="4" w:space="0"/>
                    <w:right w:val="single" w:color="auto" w:sz="4" w:space="0"/>
                  </w:tcBorders>
                  <w:vAlign w:val="center"/>
                </w:tcPr>
                <w:p w14:paraId="69D49530">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徐旭霞</w:t>
                  </w:r>
                </w:p>
              </w:tc>
              <w:tc>
                <w:tcPr>
                  <w:tcW w:w="2324" w:type="dxa"/>
                  <w:tcBorders>
                    <w:top w:val="single" w:color="auto" w:sz="4" w:space="0"/>
                    <w:left w:val="single" w:color="auto" w:sz="4" w:space="0"/>
                    <w:bottom w:val="single" w:color="auto" w:sz="4" w:space="0"/>
                    <w:right w:val="single" w:color="auto" w:sz="4" w:space="0"/>
                  </w:tcBorders>
                  <w:vAlign w:val="center"/>
                </w:tcPr>
                <w:p w14:paraId="06BD5F2F">
                  <w:pPr>
                    <w:spacing w:line="360" w:lineRule="auto"/>
                    <w:ind w:firstLine="420"/>
                    <w:rPr>
                      <w:rFonts w:ascii="宋体" w:cs="宋体"/>
                      <w:color w:val="auto"/>
                      <w:kern w:val="0"/>
                      <w:szCs w:val="21"/>
                      <w:highlight w:val="none"/>
                    </w:rPr>
                  </w:pPr>
                  <w:r>
                    <w:rPr>
                      <w:rFonts w:ascii="宋体" w:hAnsi="宋体" w:cs="宋体"/>
                      <w:color w:val="auto"/>
                      <w:kern w:val="0"/>
                      <w:szCs w:val="21"/>
                      <w:highlight w:val="none"/>
                    </w:rPr>
                    <w:t>15988932355</w:t>
                  </w:r>
                </w:p>
              </w:tc>
            </w:tr>
            <w:tr w14:paraId="0857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tcBorders>
                    <w:top w:val="single" w:color="auto" w:sz="4" w:space="0"/>
                    <w:left w:val="single" w:color="auto" w:sz="4" w:space="0"/>
                    <w:bottom w:val="single" w:color="auto" w:sz="4" w:space="0"/>
                    <w:right w:val="single" w:color="auto" w:sz="4" w:space="0"/>
                  </w:tcBorders>
                  <w:vAlign w:val="center"/>
                </w:tcPr>
                <w:p w14:paraId="21765BEA">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中国邮政储蓄银行</w:t>
                  </w:r>
                </w:p>
              </w:tc>
              <w:tc>
                <w:tcPr>
                  <w:tcW w:w="1512" w:type="dxa"/>
                  <w:tcBorders>
                    <w:top w:val="single" w:color="auto" w:sz="4" w:space="0"/>
                    <w:left w:val="single" w:color="auto" w:sz="4" w:space="0"/>
                    <w:bottom w:val="single" w:color="auto" w:sz="4" w:space="0"/>
                    <w:right w:val="single" w:color="auto" w:sz="4" w:space="0"/>
                  </w:tcBorders>
                  <w:vAlign w:val="center"/>
                </w:tcPr>
                <w:p w14:paraId="66D57686">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赵红芳</w:t>
                  </w:r>
                </w:p>
              </w:tc>
              <w:tc>
                <w:tcPr>
                  <w:tcW w:w="2324" w:type="dxa"/>
                  <w:tcBorders>
                    <w:top w:val="single" w:color="auto" w:sz="4" w:space="0"/>
                    <w:left w:val="single" w:color="auto" w:sz="4" w:space="0"/>
                    <w:bottom w:val="single" w:color="auto" w:sz="4" w:space="0"/>
                    <w:right w:val="single" w:color="auto" w:sz="4" w:space="0"/>
                  </w:tcBorders>
                  <w:vAlign w:val="center"/>
                </w:tcPr>
                <w:p w14:paraId="5038BF09">
                  <w:pPr>
                    <w:spacing w:line="360" w:lineRule="auto"/>
                    <w:ind w:firstLine="420"/>
                    <w:rPr>
                      <w:rFonts w:ascii="宋体" w:cs="宋体"/>
                      <w:color w:val="auto"/>
                      <w:kern w:val="0"/>
                      <w:szCs w:val="21"/>
                      <w:highlight w:val="none"/>
                    </w:rPr>
                  </w:pPr>
                  <w:r>
                    <w:rPr>
                      <w:rFonts w:ascii="宋体" w:hAnsi="宋体" w:cs="宋体"/>
                      <w:color w:val="auto"/>
                      <w:kern w:val="0"/>
                      <w:szCs w:val="21"/>
                      <w:highlight w:val="none"/>
                    </w:rPr>
                    <w:t>18968556112</w:t>
                  </w:r>
                </w:p>
              </w:tc>
            </w:tr>
            <w:tr w14:paraId="2A4F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tcBorders>
                    <w:top w:val="single" w:color="auto" w:sz="4" w:space="0"/>
                    <w:left w:val="single" w:color="auto" w:sz="4" w:space="0"/>
                    <w:bottom w:val="single" w:color="auto" w:sz="4" w:space="0"/>
                    <w:right w:val="single" w:color="auto" w:sz="4" w:space="0"/>
                  </w:tcBorders>
                  <w:vAlign w:val="center"/>
                </w:tcPr>
                <w:p w14:paraId="25A7B350">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农村商业银行</w:t>
                  </w:r>
                </w:p>
              </w:tc>
              <w:tc>
                <w:tcPr>
                  <w:tcW w:w="1512" w:type="dxa"/>
                  <w:tcBorders>
                    <w:top w:val="single" w:color="auto" w:sz="4" w:space="0"/>
                    <w:left w:val="single" w:color="auto" w:sz="4" w:space="0"/>
                    <w:bottom w:val="single" w:color="auto" w:sz="4" w:space="0"/>
                    <w:right w:val="single" w:color="auto" w:sz="4" w:space="0"/>
                  </w:tcBorders>
                  <w:vAlign w:val="center"/>
                </w:tcPr>
                <w:p w14:paraId="2C116A2C">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叶斌昇</w:t>
                  </w:r>
                </w:p>
              </w:tc>
              <w:tc>
                <w:tcPr>
                  <w:tcW w:w="2324" w:type="dxa"/>
                  <w:tcBorders>
                    <w:top w:val="single" w:color="auto" w:sz="4" w:space="0"/>
                    <w:left w:val="single" w:color="auto" w:sz="4" w:space="0"/>
                    <w:bottom w:val="single" w:color="auto" w:sz="4" w:space="0"/>
                    <w:right w:val="single" w:color="auto" w:sz="4" w:space="0"/>
                  </w:tcBorders>
                  <w:vAlign w:val="center"/>
                </w:tcPr>
                <w:p w14:paraId="29B4E6F0">
                  <w:pPr>
                    <w:spacing w:line="360" w:lineRule="auto"/>
                    <w:ind w:firstLine="420"/>
                    <w:rPr>
                      <w:rFonts w:ascii="宋体" w:cs="宋体"/>
                      <w:color w:val="auto"/>
                      <w:kern w:val="0"/>
                      <w:szCs w:val="21"/>
                      <w:highlight w:val="none"/>
                    </w:rPr>
                  </w:pPr>
                  <w:r>
                    <w:rPr>
                      <w:rFonts w:ascii="宋体" w:hAnsi="宋体" w:cs="宋体"/>
                      <w:color w:val="auto"/>
                      <w:kern w:val="0"/>
                      <w:szCs w:val="21"/>
                      <w:highlight w:val="none"/>
                    </w:rPr>
                    <w:t>13806593583</w:t>
                  </w:r>
                </w:p>
              </w:tc>
            </w:tr>
            <w:tr w14:paraId="3DE6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tcBorders>
                    <w:top w:val="single" w:color="auto" w:sz="4" w:space="0"/>
                    <w:left w:val="single" w:color="auto" w:sz="4" w:space="0"/>
                    <w:bottom w:val="single" w:color="auto" w:sz="4" w:space="0"/>
                    <w:right w:val="single" w:color="auto" w:sz="4" w:space="0"/>
                  </w:tcBorders>
                  <w:vAlign w:val="center"/>
                </w:tcPr>
                <w:p w14:paraId="2B361025">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中国农业银行</w:t>
                  </w:r>
                </w:p>
              </w:tc>
              <w:tc>
                <w:tcPr>
                  <w:tcW w:w="1512" w:type="dxa"/>
                  <w:tcBorders>
                    <w:top w:val="single" w:color="auto" w:sz="4" w:space="0"/>
                    <w:left w:val="single" w:color="auto" w:sz="4" w:space="0"/>
                    <w:bottom w:val="single" w:color="auto" w:sz="4" w:space="0"/>
                    <w:right w:val="single" w:color="auto" w:sz="4" w:space="0"/>
                  </w:tcBorders>
                  <w:vAlign w:val="center"/>
                </w:tcPr>
                <w:p w14:paraId="70E8AFA3">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娄志伟</w:t>
                  </w:r>
                </w:p>
              </w:tc>
              <w:tc>
                <w:tcPr>
                  <w:tcW w:w="2324" w:type="dxa"/>
                  <w:tcBorders>
                    <w:top w:val="single" w:color="auto" w:sz="4" w:space="0"/>
                    <w:left w:val="single" w:color="auto" w:sz="4" w:space="0"/>
                    <w:bottom w:val="single" w:color="auto" w:sz="4" w:space="0"/>
                    <w:right w:val="single" w:color="auto" w:sz="4" w:space="0"/>
                  </w:tcBorders>
                  <w:vAlign w:val="center"/>
                </w:tcPr>
                <w:p w14:paraId="1259B8A4">
                  <w:pPr>
                    <w:spacing w:line="360" w:lineRule="auto"/>
                    <w:ind w:firstLine="420"/>
                    <w:rPr>
                      <w:rFonts w:ascii="宋体" w:cs="宋体"/>
                      <w:color w:val="auto"/>
                      <w:kern w:val="0"/>
                      <w:szCs w:val="21"/>
                      <w:highlight w:val="none"/>
                    </w:rPr>
                  </w:pPr>
                  <w:r>
                    <w:rPr>
                      <w:rFonts w:ascii="宋体" w:hAnsi="宋体" w:cs="宋体"/>
                      <w:color w:val="auto"/>
                      <w:kern w:val="0"/>
                      <w:szCs w:val="21"/>
                      <w:highlight w:val="none"/>
                    </w:rPr>
                    <w:t>13958514828</w:t>
                  </w:r>
                </w:p>
              </w:tc>
            </w:tr>
            <w:tr w14:paraId="396B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2" w:type="dxa"/>
                  <w:tcBorders>
                    <w:top w:val="single" w:color="auto" w:sz="4" w:space="0"/>
                    <w:left w:val="single" w:color="auto" w:sz="4" w:space="0"/>
                    <w:bottom w:val="single" w:color="auto" w:sz="4" w:space="0"/>
                    <w:right w:val="single" w:color="auto" w:sz="4" w:space="0"/>
                  </w:tcBorders>
                  <w:vAlign w:val="center"/>
                </w:tcPr>
                <w:p w14:paraId="0B306B7D">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台州银行</w:t>
                  </w:r>
                </w:p>
              </w:tc>
              <w:tc>
                <w:tcPr>
                  <w:tcW w:w="1512" w:type="dxa"/>
                  <w:tcBorders>
                    <w:top w:val="single" w:color="auto" w:sz="4" w:space="0"/>
                    <w:left w:val="single" w:color="auto" w:sz="4" w:space="0"/>
                    <w:bottom w:val="single" w:color="auto" w:sz="4" w:space="0"/>
                    <w:right w:val="single" w:color="auto" w:sz="4" w:space="0"/>
                  </w:tcBorders>
                  <w:vAlign w:val="center"/>
                </w:tcPr>
                <w:p w14:paraId="527248FC">
                  <w:pPr>
                    <w:spacing w:line="360" w:lineRule="auto"/>
                    <w:ind w:firstLine="420"/>
                    <w:rPr>
                      <w:rFonts w:ascii="宋体" w:cs="宋体"/>
                      <w:color w:val="auto"/>
                      <w:kern w:val="0"/>
                      <w:szCs w:val="21"/>
                      <w:highlight w:val="none"/>
                    </w:rPr>
                  </w:pPr>
                  <w:r>
                    <w:rPr>
                      <w:rFonts w:hint="eastAsia" w:ascii="宋体" w:hAnsi="宋体" w:cs="宋体"/>
                      <w:color w:val="auto"/>
                      <w:kern w:val="0"/>
                      <w:szCs w:val="21"/>
                      <w:highlight w:val="none"/>
                    </w:rPr>
                    <w:t>朱翔</w:t>
                  </w:r>
                </w:p>
              </w:tc>
              <w:tc>
                <w:tcPr>
                  <w:tcW w:w="2324" w:type="dxa"/>
                  <w:tcBorders>
                    <w:top w:val="single" w:color="auto" w:sz="4" w:space="0"/>
                    <w:left w:val="single" w:color="auto" w:sz="4" w:space="0"/>
                    <w:bottom w:val="single" w:color="auto" w:sz="4" w:space="0"/>
                    <w:right w:val="single" w:color="auto" w:sz="4" w:space="0"/>
                  </w:tcBorders>
                  <w:vAlign w:val="center"/>
                </w:tcPr>
                <w:p w14:paraId="0391CBB5">
                  <w:pPr>
                    <w:spacing w:line="360" w:lineRule="auto"/>
                    <w:ind w:firstLine="420"/>
                    <w:rPr>
                      <w:rFonts w:ascii="宋体" w:cs="宋体"/>
                      <w:color w:val="auto"/>
                      <w:kern w:val="0"/>
                      <w:szCs w:val="21"/>
                      <w:highlight w:val="none"/>
                    </w:rPr>
                  </w:pPr>
                  <w:r>
                    <w:rPr>
                      <w:rFonts w:ascii="宋体" w:hAnsi="宋体" w:cs="宋体"/>
                      <w:color w:val="auto"/>
                      <w:kern w:val="0"/>
                      <w:szCs w:val="21"/>
                      <w:highlight w:val="none"/>
                    </w:rPr>
                    <w:t>13819660917</w:t>
                  </w:r>
                </w:p>
              </w:tc>
            </w:tr>
          </w:tbl>
          <w:p w14:paraId="3D0F9BE4">
            <w:pPr>
              <w:pStyle w:val="57"/>
              <w:tabs>
                <w:tab w:val="left" w:pos="0"/>
                <w:tab w:val="left" w:pos="420"/>
              </w:tabs>
              <w:autoSpaceDE w:val="0"/>
              <w:autoSpaceDN w:val="0"/>
              <w:spacing w:line="360" w:lineRule="auto"/>
              <w:ind w:firstLine="210" w:firstLineChars="100"/>
              <w:textAlignment w:val="bottom"/>
              <w:outlineLvl w:val="2"/>
              <w:rPr>
                <w:rFonts w:ascii="宋体" w:cs="宋体"/>
                <w:color w:val="auto"/>
                <w:kern w:val="0"/>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、履约保函、预付款保函相关说明，详见前附表（续）。</w:t>
            </w:r>
          </w:p>
        </w:tc>
      </w:tr>
    </w:tbl>
    <w:p w14:paraId="2C1F5D9E">
      <w:pPr>
        <w:spacing w:line="360" w:lineRule="auto"/>
        <w:jc w:val="left"/>
        <w:rPr>
          <w:rFonts w:ascii="宋体" w:cs="宋体"/>
          <w:color w:val="auto"/>
          <w:szCs w:val="21"/>
          <w:highlight w:val="none"/>
        </w:rPr>
      </w:pPr>
      <w:r>
        <w:rPr>
          <w:rFonts w:hint="eastAsia" w:ascii="宋体" w:hAnsi="宋体" w:cs="宋体"/>
          <w:color w:val="auto"/>
          <w:szCs w:val="21"/>
          <w:highlight w:val="none"/>
        </w:rPr>
        <w:t>【注：下文如有与本附表不一致处以本表为准。】</w:t>
      </w:r>
    </w:p>
    <w:p w14:paraId="07164219">
      <w:pPr>
        <w:rPr>
          <w:rFonts w:ascii="宋体" w:cs="宋体"/>
          <w:b/>
          <w:bCs/>
          <w:color w:val="auto"/>
          <w:sz w:val="24"/>
          <w:highlight w:val="none"/>
        </w:rPr>
      </w:pPr>
      <w:bookmarkStart w:id="25" w:name="_Toc3031"/>
      <w:r>
        <w:rPr>
          <w:rFonts w:ascii="宋体" w:cs="宋体"/>
          <w:b/>
          <w:bCs/>
          <w:color w:val="auto"/>
          <w:sz w:val="24"/>
          <w:highlight w:val="none"/>
        </w:rPr>
        <w:br w:type="page"/>
      </w:r>
    </w:p>
    <w:p w14:paraId="61E110D5">
      <w:pPr>
        <w:pStyle w:val="2"/>
        <w:rPr>
          <w:rFonts w:ascii="宋体" w:cs="宋体"/>
          <w:color w:val="auto"/>
          <w:szCs w:val="24"/>
          <w:highlight w:val="none"/>
        </w:rPr>
      </w:pPr>
      <w:r>
        <w:rPr>
          <w:rFonts w:hint="eastAsia" w:ascii="宋体" w:hAnsi="宋体" w:cs="宋体"/>
          <w:color w:val="auto"/>
          <w:szCs w:val="24"/>
          <w:highlight w:val="none"/>
        </w:rPr>
        <w:t>前</w:t>
      </w:r>
      <w:r>
        <w:rPr>
          <w:rFonts w:ascii="宋体" w:hAnsi="宋体" w:cs="宋体"/>
          <w:color w:val="auto"/>
          <w:szCs w:val="24"/>
          <w:highlight w:val="none"/>
        </w:rPr>
        <w:t xml:space="preserve"> </w:t>
      </w:r>
      <w:r>
        <w:rPr>
          <w:rFonts w:hint="eastAsia" w:ascii="宋体" w:hAnsi="宋体" w:cs="宋体"/>
          <w:color w:val="auto"/>
          <w:szCs w:val="24"/>
          <w:highlight w:val="none"/>
        </w:rPr>
        <w:t>附</w:t>
      </w:r>
      <w:r>
        <w:rPr>
          <w:rFonts w:ascii="宋体" w:hAnsi="宋体" w:cs="宋体"/>
          <w:color w:val="auto"/>
          <w:szCs w:val="24"/>
          <w:highlight w:val="none"/>
        </w:rPr>
        <w:t xml:space="preserve"> </w:t>
      </w:r>
      <w:r>
        <w:rPr>
          <w:rFonts w:hint="eastAsia" w:ascii="宋体" w:hAnsi="宋体" w:cs="宋体"/>
          <w:color w:val="auto"/>
          <w:szCs w:val="24"/>
          <w:highlight w:val="none"/>
        </w:rPr>
        <w:t>表（续）</w:t>
      </w:r>
    </w:p>
    <w:tbl>
      <w:tblPr>
        <w:tblStyle w:val="28"/>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753"/>
        <w:gridCol w:w="4568"/>
        <w:gridCol w:w="1728"/>
      </w:tblGrid>
      <w:tr w14:paraId="4259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30" w:type="dxa"/>
            <w:vAlign w:val="center"/>
          </w:tcPr>
          <w:p w14:paraId="6DB70E13">
            <w:pPr>
              <w:spacing w:line="312" w:lineRule="auto"/>
              <w:jc w:val="center"/>
              <w:rPr>
                <w:rFonts w:ascii="宋体" w:cs="宋体"/>
                <w:b/>
                <w:bCs/>
                <w:color w:val="auto"/>
                <w:szCs w:val="21"/>
                <w:highlight w:val="none"/>
              </w:rPr>
            </w:pPr>
            <w:r>
              <w:rPr>
                <w:rFonts w:hint="eastAsia" w:ascii="宋体" w:hAnsi="宋体" w:cs="宋体"/>
                <w:b/>
                <w:bCs/>
                <w:color w:val="auto"/>
                <w:szCs w:val="21"/>
                <w:highlight w:val="none"/>
              </w:rPr>
              <w:t>序号</w:t>
            </w:r>
          </w:p>
        </w:tc>
        <w:tc>
          <w:tcPr>
            <w:tcW w:w="2753" w:type="dxa"/>
            <w:vAlign w:val="center"/>
          </w:tcPr>
          <w:p w14:paraId="09EA9E9A">
            <w:pPr>
              <w:spacing w:line="312" w:lineRule="auto"/>
              <w:jc w:val="center"/>
              <w:rPr>
                <w:rFonts w:ascii="宋体" w:cs="宋体"/>
                <w:color w:val="auto"/>
                <w:szCs w:val="21"/>
                <w:highlight w:val="none"/>
              </w:rPr>
            </w:pPr>
            <w:r>
              <w:rPr>
                <w:rFonts w:hint="eastAsia" w:ascii="宋体" w:hAnsi="宋体" w:cs="宋体"/>
                <w:b/>
                <w:bCs/>
                <w:color w:val="auto"/>
                <w:szCs w:val="21"/>
                <w:highlight w:val="none"/>
              </w:rPr>
              <w:t>金融机构名称及意愿承担保函（保单）种类</w:t>
            </w:r>
          </w:p>
        </w:tc>
        <w:tc>
          <w:tcPr>
            <w:tcW w:w="4568" w:type="dxa"/>
            <w:vAlign w:val="center"/>
          </w:tcPr>
          <w:p w14:paraId="06DFC46C">
            <w:pPr>
              <w:spacing w:line="312" w:lineRule="auto"/>
              <w:jc w:val="center"/>
              <w:rPr>
                <w:rFonts w:ascii="宋体" w:cs="宋体"/>
                <w:color w:val="auto"/>
                <w:szCs w:val="21"/>
                <w:highlight w:val="none"/>
              </w:rPr>
            </w:pPr>
            <w:r>
              <w:rPr>
                <w:rFonts w:hint="eastAsia" w:ascii="宋体" w:hAnsi="宋体" w:cs="宋体"/>
                <w:b/>
                <w:bCs/>
                <w:color w:val="auto"/>
                <w:szCs w:val="21"/>
                <w:highlight w:val="none"/>
              </w:rPr>
              <w:t>保函（保单）收费情况</w:t>
            </w:r>
          </w:p>
        </w:tc>
        <w:tc>
          <w:tcPr>
            <w:tcW w:w="1728" w:type="dxa"/>
            <w:vAlign w:val="center"/>
          </w:tcPr>
          <w:p w14:paraId="30A43CD8">
            <w:pPr>
              <w:spacing w:line="312" w:lineRule="auto"/>
              <w:jc w:val="center"/>
              <w:rPr>
                <w:rFonts w:ascii="宋体" w:cs="宋体"/>
                <w:b/>
                <w:bCs/>
                <w:color w:val="auto"/>
                <w:szCs w:val="21"/>
                <w:highlight w:val="none"/>
              </w:rPr>
            </w:pPr>
            <w:r>
              <w:rPr>
                <w:rFonts w:hint="eastAsia" w:ascii="宋体" w:hAnsi="宋体" w:cs="宋体"/>
                <w:b/>
                <w:bCs/>
                <w:color w:val="auto"/>
                <w:szCs w:val="21"/>
                <w:highlight w:val="none"/>
              </w:rPr>
              <w:t>联系人及</w:t>
            </w:r>
          </w:p>
          <w:p w14:paraId="39E5CF13">
            <w:pPr>
              <w:spacing w:line="312" w:lineRule="auto"/>
              <w:jc w:val="center"/>
              <w:rPr>
                <w:rFonts w:ascii="宋体" w:cs="宋体"/>
                <w:color w:val="auto"/>
                <w:szCs w:val="21"/>
                <w:highlight w:val="none"/>
              </w:rPr>
            </w:pPr>
            <w:r>
              <w:rPr>
                <w:rFonts w:hint="eastAsia" w:ascii="宋体" w:hAnsi="宋体" w:cs="宋体"/>
                <w:b/>
                <w:bCs/>
                <w:color w:val="auto"/>
                <w:szCs w:val="21"/>
                <w:highlight w:val="none"/>
              </w:rPr>
              <w:t>联系方式</w:t>
            </w:r>
          </w:p>
        </w:tc>
      </w:tr>
      <w:tr w14:paraId="239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6AE8DC2B">
            <w:pPr>
              <w:spacing w:line="312" w:lineRule="auto"/>
              <w:jc w:val="center"/>
              <w:rPr>
                <w:rFonts w:ascii="宋体" w:cs="宋体"/>
                <w:color w:val="auto"/>
                <w:szCs w:val="21"/>
                <w:highlight w:val="none"/>
              </w:rPr>
            </w:pPr>
            <w:r>
              <w:rPr>
                <w:rFonts w:ascii="宋体" w:hAnsi="宋体" w:cs="宋体"/>
                <w:color w:val="auto"/>
                <w:szCs w:val="21"/>
                <w:highlight w:val="none"/>
              </w:rPr>
              <w:t>1</w:t>
            </w:r>
          </w:p>
        </w:tc>
        <w:tc>
          <w:tcPr>
            <w:tcW w:w="2753" w:type="dxa"/>
            <w:vAlign w:val="center"/>
          </w:tcPr>
          <w:p w14:paraId="75426731">
            <w:pPr>
              <w:spacing w:line="312" w:lineRule="auto"/>
              <w:rPr>
                <w:rFonts w:ascii="宋体" w:cs="宋体"/>
                <w:color w:val="auto"/>
                <w:szCs w:val="21"/>
                <w:highlight w:val="none"/>
              </w:rPr>
            </w:pPr>
            <w:r>
              <w:rPr>
                <w:rFonts w:hint="eastAsia" w:ascii="宋体" w:hAnsi="宋体" w:cs="宋体"/>
                <w:color w:val="auto"/>
                <w:szCs w:val="21"/>
                <w:highlight w:val="none"/>
              </w:rPr>
              <w:t>机构名称：中国工商银行股份有限公司仙居支行</w:t>
            </w:r>
          </w:p>
          <w:p w14:paraId="40499A1B">
            <w:pPr>
              <w:spacing w:line="312" w:lineRule="auto"/>
              <w:rPr>
                <w:rFonts w:ascii="宋体" w:cs="宋体"/>
                <w:color w:val="auto"/>
                <w:szCs w:val="21"/>
                <w:highlight w:val="none"/>
              </w:rPr>
            </w:pPr>
            <w:r>
              <w:rPr>
                <w:rFonts w:hint="eastAsia" w:ascii="宋体" w:hAnsi="宋体" w:cs="宋体"/>
                <w:color w:val="auto"/>
                <w:szCs w:val="21"/>
                <w:highlight w:val="none"/>
              </w:rPr>
              <w:t>履约保函：</w:t>
            </w:r>
            <w:r>
              <w:rPr>
                <w:rFonts w:ascii="宋体" w:hAnsi="宋体" w:cs="宋体"/>
                <w:color w:val="auto"/>
                <w:szCs w:val="21"/>
                <w:highlight w:val="none"/>
              </w:rPr>
              <w:t xml:space="preserve"> </w:t>
            </w:r>
            <w:r>
              <w:rPr>
                <w:rFonts w:hint="eastAsia" w:ascii="宋体" w:hAnsi="宋体" w:cs="宋体"/>
                <w:color w:val="auto"/>
                <w:szCs w:val="21"/>
                <w:highlight w:val="none"/>
              </w:rPr>
              <w:t>是</w:t>
            </w:r>
          </w:p>
          <w:p w14:paraId="4B8629A3">
            <w:pPr>
              <w:spacing w:line="312" w:lineRule="auto"/>
              <w:rPr>
                <w:rFonts w:ascii="宋体" w:cs="宋体"/>
                <w:color w:val="auto"/>
                <w:szCs w:val="21"/>
                <w:highlight w:val="none"/>
              </w:rPr>
            </w:pPr>
            <w:r>
              <w:rPr>
                <w:rFonts w:hint="eastAsia" w:ascii="宋体" w:hAnsi="宋体" w:cs="宋体"/>
                <w:color w:val="auto"/>
                <w:szCs w:val="21"/>
                <w:highlight w:val="none"/>
              </w:rPr>
              <w:t>预付款保函：</w:t>
            </w:r>
            <w:r>
              <w:rPr>
                <w:rFonts w:ascii="宋体" w:hAnsi="宋体" w:cs="宋体"/>
                <w:color w:val="auto"/>
                <w:szCs w:val="21"/>
                <w:highlight w:val="none"/>
              </w:rPr>
              <w:t xml:space="preserve"> </w:t>
            </w:r>
            <w:r>
              <w:rPr>
                <w:rFonts w:hint="eastAsia" w:ascii="宋体" w:hAnsi="宋体" w:cs="宋体"/>
                <w:color w:val="auto"/>
                <w:szCs w:val="21"/>
                <w:highlight w:val="none"/>
              </w:rPr>
              <w:t>是</w:t>
            </w:r>
          </w:p>
          <w:p w14:paraId="7392355D">
            <w:pPr>
              <w:spacing w:line="312" w:lineRule="auto"/>
              <w:rPr>
                <w:rFonts w:ascii="宋体" w:cs="宋体"/>
                <w:color w:val="auto"/>
                <w:szCs w:val="21"/>
                <w:highlight w:val="none"/>
              </w:rPr>
            </w:pPr>
          </w:p>
        </w:tc>
        <w:tc>
          <w:tcPr>
            <w:tcW w:w="4568" w:type="dxa"/>
            <w:vAlign w:val="center"/>
          </w:tcPr>
          <w:p w14:paraId="3F97FCC4">
            <w:pPr>
              <w:spacing w:line="312" w:lineRule="auto"/>
              <w:jc w:val="left"/>
              <w:rPr>
                <w:rFonts w:ascii="宋体" w:cs="宋体"/>
                <w:color w:val="auto"/>
                <w:szCs w:val="21"/>
                <w:highlight w:val="none"/>
              </w:rPr>
            </w:pPr>
            <w:r>
              <w:rPr>
                <w:rFonts w:hint="eastAsia" w:ascii="宋体" w:hAnsi="宋体" w:cs="宋体"/>
                <w:color w:val="auto"/>
                <w:szCs w:val="21"/>
                <w:highlight w:val="none"/>
              </w:rPr>
              <w:t>对外保函服务</w:t>
            </w:r>
          </w:p>
          <w:p w14:paraId="5FD52301">
            <w:pPr>
              <w:spacing w:line="312" w:lineRule="auto"/>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开立及展期费担保费率：</w:t>
            </w:r>
          </w:p>
          <w:p w14:paraId="43ED8D09">
            <w:pPr>
              <w:spacing w:line="312" w:lineRule="auto"/>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融资性保函：期限在一年（含）以内，客户按担保额度</w:t>
            </w:r>
            <w:r>
              <w:rPr>
                <w:rFonts w:ascii="宋体" w:hAnsi="宋体" w:cs="宋体"/>
                <w:color w:val="auto"/>
                <w:szCs w:val="21"/>
                <w:highlight w:val="none"/>
              </w:rPr>
              <w:t>0.05-0.25%/</w:t>
            </w:r>
            <w:r>
              <w:rPr>
                <w:rFonts w:hint="eastAsia" w:ascii="宋体" w:hAnsi="宋体" w:cs="宋体"/>
                <w:color w:val="auto"/>
                <w:szCs w:val="21"/>
                <w:highlight w:val="none"/>
              </w:rPr>
              <w:t>月计收。最小计费周期为实际月（按实际发生天数，从保函生效之日至失效日计算，</w:t>
            </w:r>
            <w:r>
              <w:rPr>
                <w:rFonts w:ascii="宋体" w:hAnsi="宋体" w:cs="宋体"/>
                <w:color w:val="auto"/>
                <w:szCs w:val="21"/>
                <w:highlight w:val="none"/>
              </w:rPr>
              <w:t>30</w:t>
            </w:r>
            <w:r>
              <w:rPr>
                <w:rFonts w:hint="eastAsia" w:ascii="宋体" w:hAnsi="宋体" w:cs="宋体"/>
                <w:color w:val="auto"/>
                <w:szCs w:val="21"/>
                <w:highlight w:val="none"/>
              </w:rPr>
              <w:t>天为</w:t>
            </w:r>
            <w:r>
              <w:rPr>
                <w:rFonts w:ascii="宋体" w:hAnsi="宋体" w:cs="宋体"/>
                <w:color w:val="auto"/>
                <w:szCs w:val="21"/>
                <w:highlight w:val="none"/>
              </w:rPr>
              <w:t>1</w:t>
            </w:r>
            <w:r>
              <w:rPr>
                <w:rFonts w:hint="eastAsia" w:ascii="宋体" w:hAnsi="宋体" w:cs="宋体"/>
                <w:color w:val="auto"/>
                <w:szCs w:val="21"/>
                <w:highlight w:val="none"/>
              </w:rPr>
              <w:t>月），期限不足</w:t>
            </w:r>
            <w:r>
              <w:rPr>
                <w:rFonts w:ascii="宋体" w:hAnsi="宋体" w:cs="宋体"/>
                <w:color w:val="auto"/>
                <w:szCs w:val="21"/>
                <w:highlight w:val="none"/>
              </w:rPr>
              <w:t>1</w:t>
            </w:r>
            <w:r>
              <w:rPr>
                <w:rFonts w:hint="eastAsia" w:ascii="宋体" w:hAnsi="宋体" w:cs="宋体"/>
                <w:color w:val="auto"/>
                <w:szCs w:val="21"/>
                <w:highlight w:val="none"/>
              </w:rPr>
              <w:t>月的按</w:t>
            </w:r>
            <w:r>
              <w:rPr>
                <w:rFonts w:ascii="宋体" w:hAnsi="宋体" w:cs="宋体"/>
                <w:color w:val="auto"/>
                <w:szCs w:val="21"/>
                <w:highlight w:val="none"/>
              </w:rPr>
              <w:t>1</w:t>
            </w:r>
            <w:r>
              <w:rPr>
                <w:rFonts w:hint="eastAsia" w:ascii="宋体" w:hAnsi="宋体" w:cs="宋体"/>
                <w:color w:val="auto"/>
                <w:szCs w:val="21"/>
                <w:highlight w:val="none"/>
              </w:rPr>
              <w:t>个月计收。最低</w:t>
            </w:r>
            <w:r>
              <w:rPr>
                <w:rFonts w:ascii="宋体" w:hAnsi="宋体" w:cs="宋体"/>
                <w:color w:val="auto"/>
                <w:szCs w:val="21"/>
                <w:highlight w:val="none"/>
              </w:rPr>
              <w:t>500</w:t>
            </w:r>
            <w:r>
              <w:rPr>
                <w:rFonts w:hint="eastAsia" w:ascii="宋体" w:hAnsi="宋体" w:cs="宋体"/>
                <w:color w:val="auto"/>
                <w:szCs w:val="21"/>
                <w:highlight w:val="none"/>
              </w:rPr>
              <w:t>元／季。</w:t>
            </w:r>
          </w:p>
          <w:p w14:paraId="0AAAAA84">
            <w:pPr>
              <w:spacing w:line="312" w:lineRule="auto"/>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非融资性保函：期限在一年（含）以内，客户按</w:t>
            </w:r>
            <w:r>
              <w:rPr>
                <w:rFonts w:ascii="宋体" w:hAnsi="宋体" w:cs="宋体"/>
                <w:color w:val="auto"/>
                <w:szCs w:val="21"/>
                <w:highlight w:val="none"/>
              </w:rPr>
              <w:t>0.027-0.167%/</w:t>
            </w:r>
            <w:r>
              <w:rPr>
                <w:rFonts w:hint="eastAsia" w:ascii="宋体" w:hAnsi="宋体" w:cs="宋体"/>
                <w:color w:val="auto"/>
                <w:szCs w:val="21"/>
                <w:highlight w:val="none"/>
              </w:rPr>
              <w:t>月计收。最小计费周期为实际月（按实际发生天数，从保函生效之日至失效日计算，</w:t>
            </w:r>
            <w:r>
              <w:rPr>
                <w:rFonts w:ascii="宋体" w:hAnsi="宋体" w:cs="宋体"/>
                <w:color w:val="auto"/>
                <w:szCs w:val="21"/>
                <w:highlight w:val="none"/>
              </w:rPr>
              <w:t>30</w:t>
            </w:r>
            <w:r>
              <w:rPr>
                <w:rFonts w:hint="eastAsia" w:ascii="宋体" w:hAnsi="宋体" w:cs="宋体"/>
                <w:color w:val="auto"/>
                <w:szCs w:val="21"/>
                <w:highlight w:val="none"/>
              </w:rPr>
              <w:t>天为</w:t>
            </w:r>
            <w:r>
              <w:rPr>
                <w:rFonts w:ascii="宋体" w:hAnsi="宋体" w:cs="宋体"/>
                <w:color w:val="auto"/>
                <w:szCs w:val="21"/>
                <w:highlight w:val="none"/>
              </w:rPr>
              <w:t>1</w:t>
            </w:r>
            <w:r>
              <w:rPr>
                <w:rFonts w:hint="eastAsia" w:ascii="宋体" w:hAnsi="宋体" w:cs="宋体"/>
                <w:color w:val="auto"/>
                <w:szCs w:val="21"/>
                <w:highlight w:val="none"/>
              </w:rPr>
              <w:t>月），期限不足</w:t>
            </w:r>
            <w:r>
              <w:rPr>
                <w:rFonts w:ascii="宋体" w:hAnsi="宋体" w:cs="宋体"/>
                <w:color w:val="auto"/>
                <w:szCs w:val="21"/>
                <w:highlight w:val="none"/>
              </w:rPr>
              <w:t>1</w:t>
            </w:r>
            <w:r>
              <w:rPr>
                <w:rFonts w:hint="eastAsia" w:ascii="宋体" w:hAnsi="宋体" w:cs="宋体"/>
                <w:color w:val="auto"/>
                <w:szCs w:val="21"/>
                <w:highlight w:val="none"/>
              </w:rPr>
              <w:t>月的按</w:t>
            </w:r>
            <w:r>
              <w:rPr>
                <w:rFonts w:ascii="宋体" w:hAnsi="宋体" w:cs="宋体"/>
                <w:color w:val="auto"/>
                <w:szCs w:val="21"/>
                <w:highlight w:val="none"/>
              </w:rPr>
              <w:t>1</w:t>
            </w:r>
            <w:r>
              <w:rPr>
                <w:rFonts w:hint="eastAsia" w:ascii="宋体" w:hAnsi="宋体" w:cs="宋体"/>
                <w:color w:val="auto"/>
                <w:szCs w:val="21"/>
                <w:highlight w:val="none"/>
              </w:rPr>
              <w:t>个月计收。最低</w:t>
            </w:r>
            <w:r>
              <w:rPr>
                <w:rFonts w:ascii="宋体" w:hAnsi="宋体" w:cs="宋体"/>
                <w:color w:val="auto"/>
                <w:szCs w:val="21"/>
                <w:highlight w:val="none"/>
              </w:rPr>
              <w:t>500</w:t>
            </w:r>
            <w:r>
              <w:rPr>
                <w:rFonts w:hint="eastAsia" w:ascii="宋体" w:hAnsi="宋体" w:cs="宋体"/>
                <w:color w:val="auto"/>
                <w:szCs w:val="21"/>
                <w:highlight w:val="none"/>
              </w:rPr>
              <w:t>元／季。</w:t>
            </w:r>
          </w:p>
          <w:p w14:paraId="7E341DC0">
            <w:pPr>
              <w:spacing w:line="312" w:lineRule="auto"/>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担保期限超过一年的，每增加一年整体费率提高</w:t>
            </w:r>
            <w:r>
              <w:rPr>
                <w:rFonts w:ascii="宋体" w:hAnsi="宋体" w:cs="宋体"/>
                <w:color w:val="auto"/>
                <w:szCs w:val="21"/>
                <w:highlight w:val="none"/>
              </w:rPr>
              <w:t>10%</w:t>
            </w:r>
            <w:r>
              <w:rPr>
                <w:rFonts w:hint="eastAsia" w:ascii="宋体" w:hAnsi="宋体" w:cs="宋体"/>
                <w:color w:val="auto"/>
                <w:szCs w:val="21"/>
                <w:highlight w:val="none"/>
              </w:rPr>
              <w:t>（单利）。若担保文本未明确确定的到期日或含有自动延展性质条款的，我行可按根据基础合同和担保文本的有关约定推算出的担保最长有效期调整对应的费率。</w:t>
            </w:r>
          </w:p>
          <w:p w14:paraId="55DC4CDD">
            <w:pPr>
              <w:spacing w:line="312" w:lineRule="auto"/>
              <w:rPr>
                <w:rFonts w:ascii="宋体" w:cs="宋体"/>
                <w:color w:val="auto"/>
                <w:szCs w:val="21"/>
                <w:highlight w:val="none"/>
              </w:rPr>
            </w:pPr>
            <w:r>
              <w:rPr>
                <w:rFonts w:hint="eastAsia" w:ascii="宋体" w:hAnsi="宋体" w:cs="宋体"/>
                <w:color w:val="auto"/>
                <w:szCs w:val="21"/>
                <w:highlight w:val="none"/>
              </w:rPr>
              <w:t>如企业划型为小微企业的，以上手续费全免。</w:t>
            </w:r>
          </w:p>
        </w:tc>
        <w:tc>
          <w:tcPr>
            <w:tcW w:w="1728" w:type="dxa"/>
            <w:vAlign w:val="center"/>
          </w:tcPr>
          <w:p w14:paraId="0839EDAC">
            <w:pPr>
              <w:spacing w:line="312" w:lineRule="auto"/>
              <w:jc w:val="left"/>
              <w:rPr>
                <w:rFonts w:ascii="宋体" w:cs="宋体"/>
                <w:color w:val="auto"/>
                <w:szCs w:val="21"/>
                <w:highlight w:val="none"/>
              </w:rPr>
            </w:pPr>
            <w:r>
              <w:rPr>
                <w:rFonts w:hint="eastAsia" w:ascii="宋体" w:hAnsi="宋体" w:cs="宋体"/>
                <w:color w:val="auto"/>
                <w:szCs w:val="21"/>
                <w:highlight w:val="none"/>
              </w:rPr>
              <w:t>王健永</w:t>
            </w:r>
            <w:r>
              <w:rPr>
                <w:rFonts w:ascii="宋体" w:hAnsi="宋体" w:cs="宋体"/>
                <w:color w:val="auto"/>
                <w:szCs w:val="21"/>
                <w:highlight w:val="none"/>
              </w:rPr>
              <w:t>13967615120</w:t>
            </w:r>
          </w:p>
        </w:tc>
      </w:tr>
      <w:tr w14:paraId="7A1E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0" w:type="dxa"/>
            <w:vAlign w:val="center"/>
          </w:tcPr>
          <w:p w14:paraId="470455B2">
            <w:pPr>
              <w:spacing w:line="312" w:lineRule="auto"/>
              <w:jc w:val="center"/>
              <w:rPr>
                <w:rFonts w:ascii="宋体" w:cs="宋体"/>
                <w:color w:val="auto"/>
                <w:szCs w:val="21"/>
                <w:highlight w:val="none"/>
              </w:rPr>
            </w:pPr>
            <w:r>
              <w:rPr>
                <w:rFonts w:ascii="宋体" w:hAnsi="宋体" w:cs="宋体"/>
                <w:color w:val="auto"/>
                <w:szCs w:val="21"/>
                <w:highlight w:val="none"/>
              </w:rPr>
              <w:t>2</w:t>
            </w:r>
          </w:p>
        </w:tc>
        <w:tc>
          <w:tcPr>
            <w:tcW w:w="2753" w:type="dxa"/>
            <w:vAlign w:val="center"/>
          </w:tcPr>
          <w:p w14:paraId="579DE743">
            <w:pPr>
              <w:spacing w:line="312" w:lineRule="auto"/>
              <w:rPr>
                <w:rFonts w:ascii="宋体" w:cs="宋体"/>
                <w:color w:val="auto"/>
                <w:szCs w:val="21"/>
                <w:highlight w:val="none"/>
              </w:rPr>
            </w:pPr>
            <w:r>
              <w:rPr>
                <w:rFonts w:hint="eastAsia" w:ascii="宋体" w:hAnsi="宋体" w:cs="宋体"/>
                <w:color w:val="auto"/>
                <w:szCs w:val="21"/>
                <w:highlight w:val="none"/>
              </w:rPr>
              <w:t>机构名称：浙江泰隆商业银行台州仙居支行</w:t>
            </w:r>
          </w:p>
          <w:p w14:paraId="13DC78A0">
            <w:pPr>
              <w:spacing w:line="312" w:lineRule="auto"/>
              <w:rPr>
                <w:rFonts w:ascii="宋体" w:cs="宋体"/>
                <w:color w:val="auto"/>
                <w:szCs w:val="21"/>
                <w:highlight w:val="none"/>
              </w:rPr>
            </w:pPr>
            <w:r>
              <w:rPr>
                <w:rFonts w:hint="eastAsia" w:ascii="宋体" w:hAnsi="宋体" w:cs="宋体"/>
                <w:color w:val="auto"/>
                <w:szCs w:val="21"/>
                <w:highlight w:val="none"/>
              </w:rPr>
              <w:t>履约保函：是</w:t>
            </w:r>
          </w:p>
          <w:p w14:paraId="25DC20A8">
            <w:pPr>
              <w:spacing w:line="312" w:lineRule="auto"/>
              <w:rPr>
                <w:rFonts w:ascii="宋体" w:cs="宋体"/>
                <w:color w:val="auto"/>
                <w:szCs w:val="21"/>
                <w:highlight w:val="none"/>
              </w:rPr>
            </w:pPr>
            <w:r>
              <w:rPr>
                <w:rFonts w:hint="eastAsia" w:ascii="宋体" w:hAnsi="宋体" w:cs="宋体"/>
                <w:color w:val="auto"/>
                <w:szCs w:val="21"/>
                <w:highlight w:val="none"/>
              </w:rPr>
              <w:t>预付款保函：是</w:t>
            </w:r>
          </w:p>
          <w:p w14:paraId="655E66B7">
            <w:pPr>
              <w:spacing w:line="312" w:lineRule="auto"/>
              <w:rPr>
                <w:rFonts w:ascii="宋体" w:cs="宋体"/>
                <w:color w:val="auto"/>
                <w:szCs w:val="21"/>
                <w:highlight w:val="none"/>
              </w:rPr>
            </w:pPr>
            <w:r>
              <w:rPr>
                <w:rFonts w:hint="eastAsia" w:ascii="宋体" w:hAnsi="宋体" w:cs="宋体"/>
                <w:color w:val="auto"/>
                <w:szCs w:val="21"/>
                <w:highlight w:val="none"/>
              </w:rPr>
              <w:t>备注：我行目前只有线下模式</w:t>
            </w:r>
          </w:p>
        </w:tc>
        <w:tc>
          <w:tcPr>
            <w:tcW w:w="4568" w:type="dxa"/>
            <w:vAlign w:val="center"/>
          </w:tcPr>
          <w:p w14:paraId="5858DB9B">
            <w:pPr>
              <w:spacing w:line="312" w:lineRule="auto"/>
              <w:rPr>
                <w:rFonts w:ascii="宋体" w:cs="宋体"/>
                <w:color w:val="auto"/>
                <w:szCs w:val="21"/>
                <w:highlight w:val="none"/>
              </w:rPr>
            </w:pPr>
            <w:r>
              <w:rPr>
                <w:rFonts w:hint="eastAsia" w:ascii="宋体" w:hAnsi="宋体" w:cs="宋体"/>
                <w:color w:val="auto"/>
                <w:szCs w:val="21"/>
                <w:highlight w:val="none"/>
              </w:rPr>
              <w:t>根据保证金比例不同，参照下述费率计收：</w:t>
            </w:r>
          </w:p>
          <w:p w14:paraId="2E096F42">
            <w:pPr>
              <w:spacing w:line="312" w:lineRule="auto"/>
              <w:rPr>
                <w:rFonts w:ascii="宋体" w:cs="宋体"/>
                <w:color w:val="auto"/>
                <w:szCs w:val="21"/>
                <w:highlight w:val="none"/>
              </w:rPr>
            </w:pPr>
            <w:r>
              <w:rPr>
                <w:rFonts w:hint="eastAsia" w:ascii="宋体" w:hAnsi="宋体" w:cs="宋体"/>
                <w:color w:val="auto"/>
                <w:szCs w:val="21"/>
                <w:highlight w:val="none"/>
              </w:rPr>
              <w:t>全额保证金，</w:t>
            </w:r>
            <w:r>
              <w:rPr>
                <w:rFonts w:ascii="宋体" w:hAnsi="宋体" w:cs="宋体"/>
                <w:color w:val="auto"/>
                <w:szCs w:val="21"/>
                <w:highlight w:val="none"/>
              </w:rPr>
              <w:t>500</w:t>
            </w:r>
            <w:r>
              <w:rPr>
                <w:rFonts w:hint="eastAsia" w:ascii="宋体" w:hAnsi="宋体" w:cs="宋体"/>
                <w:color w:val="auto"/>
                <w:szCs w:val="21"/>
                <w:highlight w:val="none"/>
              </w:rPr>
              <w:t>一年；</w:t>
            </w:r>
          </w:p>
          <w:p w14:paraId="6F431D25">
            <w:pPr>
              <w:spacing w:line="312" w:lineRule="auto"/>
              <w:rPr>
                <w:rFonts w:ascii="宋体" w:cs="宋体"/>
                <w:color w:val="auto"/>
                <w:szCs w:val="21"/>
                <w:highlight w:val="none"/>
              </w:rPr>
            </w:pPr>
            <w:r>
              <w:rPr>
                <w:rFonts w:hint="eastAsia" w:ascii="宋体" w:hAnsi="宋体" w:cs="宋体"/>
                <w:color w:val="auto"/>
                <w:szCs w:val="21"/>
                <w:highlight w:val="none"/>
              </w:rPr>
              <w:t>保证金比例</w:t>
            </w:r>
            <w:r>
              <w:rPr>
                <w:rFonts w:ascii="宋体" w:hAnsi="宋体" w:cs="宋体"/>
                <w:color w:val="auto"/>
                <w:szCs w:val="21"/>
                <w:highlight w:val="none"/>
              </w:rPr>
              <w:t>50%</w:t>
            </w:r>
            <w:r>
              <w:rPr>
                <w:rFonts w:hint="eastAsia" w:ascii="宋体" w:hAnsi="宋体" w:cs="宋体"/>
                <w:color w:val="auto"/>
                <w:szCs w:val="21"/>
                <w:highlight w:val="none"/>
              </w:rPr>
              <w:t>以下，保函敞口金额的</w:t>
            </w:r>
            <w:r>
              <w:rPr>
                <w:rFonts w:ascii="宋体" w:hAnsi="宋体" w:cs="宋体"/>
                <w:color w:val="auto"/>
                <w:szCs w:val="21"/>
                <w:highlight w:val="none"/>
              </w:rPr>
              <w:t>1.25</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季，最低</w:t>
            </w:r>
            <w:r>
              <w:rPr>
                <w:rFonts w:ascii="宋体" w:hAnsi="宋体" w:cs="宋体"/>
                <w:color w:val="auto"/>
                <w:szCs w:val="21"/>
                <w:highlight w:val="none"/>
              </w:rPr>
              <w:t>500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季；</w:t>
            </w:r>
          </w:p>
          <w:p w14:paraId="4942AFD5">
            <w:pPr>
              <w:spacing w:line="312" w:lineRule="auto"/>
              <w:rPr>
                <w:rFonts w:ascii="宋体" w:cs="宋体"/>
                <w:color w:val="auto"/>
                <w:szCs w:val="21"/>
                <w:highlight w:val="none"/>
              </w:rPr>
            </w:pPr>
            <w:r>
              <w:rPr>
                <w:rFonts w:hint="eastAsia" w:ascii="宋体" w:hAnsi="宋体" w:cs="宋体"/>
                <w:color w:val="auto"/>
                <w:szCs w:val="21"/>
                <w:highlight w:val="none"/>
              </w:rPr>
              <w:t>保证金比例</w:t>
            </w:r>
            <w:r>
              <w:rPr>
                <w:rFonts w:ascii="宋体" w:hAnsi="宋体" w:cs="宋体"/>
                <w:color w:val="auto"/>
                <w:szCs w:val="21"/>
                <w:highlight w:val="none"/>
              </w:rPr>
              <w:t>50%</w:t>
            </w:r>
            <w:r>
              <w:rPr>
                <w:rFonts w:hint="eastAsia" w:ascii="宋体" w:hAnsi="宋体" w:cs="宋体"/>
                <w:color w:val="auto"/>
                <w:szCs w:val="21"/>
                <w:highlight w:val="none"/>
              </w:rPr>
              <w:t>（含）以上，保函敞口金额的</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季，最低</w:t>
            </w:r>
            <w:r>
              <w:rPr>
                <w:rFonts w:ascii="宋体" w:hAnsi="宋体" w:cs="宋体"/>
                <w:color w:val="auto"/>
                <w:szCs w:val="21"/>
                <w:highlight w:val="none"/>
              </w:rPr>
              <w:t>500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季。</w:t>
            </w:r>
          </w:p>
          <w:p w14:paraId="703A8FEA">
            <w:pPr>
              <w:spacing w:line="312" w:lineRule="auto"/>
              <w:rPr>
                <w:rFonts w:ascii="宋体" w:cs="宋体"/>
                <w:color w:val="auto"/>
                <w:szCs w:val="21"/>
                <w:highlight w:val="none"/>
              </w:rPr>
            </w:pPr>
            <w:r>
              <w:rPr>
                <w:rFonts w:hint="eastAsia" w:ascii="宋体" w:hAnsi="宋体" w:cs="宋体"/>
                <w:color w:val="auto"/>
                <w:szCs w:val="21"/>
                <w:highlight w:val="none"/>
              </w:rPr>
              <w:t>涉及保函增额，增额部分参照开立保函收费标准另行收费，延期修改按照</w:t>
            </w:r>
            <w:r>
              <w:rPr>
                <w:rFonts w:ascii="宋体" w:hAnsi="宋体" w:cs="宋体"/>
                <w:color w:val="auto"/>
                <w:szCs w:val="21"/>
                <w:highlight w:val="none"/>
              </w:rPr>
              <w:t>300/</w:t>
            </w:r>
            <w:r>
              <w:rPr>
                <w:rFonts w:hint="eastAsia" w:ascii="宋体" w:hAnsi="宋体" w:cs="宋体"/>
                <w:color w:val="auto"/>
                <w:szCs w:val="21"/>
                <w:highlight w:val="none"/>
              </w:rPr>
              <w:t>次的标准另行收费；</w:t>
            </w:r>
          </w:p>
          <w:p w14:paraId="138C7811">
            <w:pPr>
              <w:spacing w:line="312" w:lineRule="auto"/>
              <w:rPr>
                <w:rFonts w:ascii="宋体" w:cs="宋体"/>
                <w:color w:val="auto"/>
                <w:szCs w:val="21"/>
                <w:highlight w:val="none"/>
              </w:rPr>
            </w:pPr>
            <w:r>
              <w:rPr>
                <w:rFonts w:hint="eastAsia" w:ascii="宋体" w:hAnsi="宋体" w:cs="宋体"/>
                <w:color w:val="auto"/>
                <w:szCs w:val="21"/>
                <w:highlight w:val="none"/>
              </w:rPr>
              <w:t>按年收费项目不足一年按一年计收，超过一年三十天按照两年计收（从保函开立之日起</w:t>
            </w:r>
            <w:r>
              <w:rPr>
                <w:rFonts w:ascii="宋体" w:hAnsi="宋体" w:cs="宋体"/>
                <w:color w:val="auto"/>
                <w:szCs w:val="21"/>
                <w:highlight w:val="none"/>
              </w:rPr>
              <w:t>390</w:t>
            </w:r>
            <w:r>
              <w:rPr>
                <w:rFonts w:hint="eastAsia" w:ascii="宋体" w:hAnsi="宋体" w:cs="宋体"/>
                <w:color w:val="auto"/>
                <w:szCs w:val="21"/>
                <w:highlight w:val="none"/>
              </w:rPr>
              <w:t>天（含）为一个年度三十天）</w:t>
            </w:r>
          </w:p>
          <w:p w14:paraId="63220BCD">
            <w:pPr>
              <w:spacing w:line="312" w:lineRule="auto"/>
              <w:rPr>
                <w:rFonts w:ascii="宋体" w:cs="宋体"/>
                <w:color w:val="auto"/>
                <w:szCs w:val="21"/>
                <w:highlight w:val="none"/>
              </w:rPr>
            </w:pPr>
            <w:r>
              <w:rPr>
                <w:rFonts w:hint="eastAsia" w:ascii="宋体" w:hAnsi="宋体" w:cs="宋体"/>
                <w:color w:val="auto"/>
                <w:szCs w:val="21"/>
                <w:highlight w:val="none"/>
              </w:rPr>
              <w:t>按季收费项目不足一季按一季度计收，超过一季度十天的按两季度计收（从保函开立之日起</w:t>
            </w:r>
            <w:r>
              <w:rPr>
                <w:rFonts w:ascii="宋体" w:hAnsi="宋体" w:cs="宋体"/>
                <w:color w:val="auto"/>
                <w:szCs w:val="21"/>
                <w:highlight w:val="none"/>
              </w:rPr>
              <w:t>100</w:t>
            </w:r>
            <w:r>
              <w:rPr>
                <w:rFonts w:hint="eastAsia" w:ascii="宋体" w:hAnsi="宋体" w:cs="宋体"/>
                <w:color w:val="auto"/>
                <w:szCs w:val="21"/>
                <w:highlight w:val="none"/>
              </w:rPr>
              <w:t>天（含）为一个季度十天）</w:t>
            </w:r>
          </w:p>
        </w:tc>
        <w:tc>
          <w:tcPr>
            <w:tcW w:w="1728" w:type="dxa"/>
            <w:vAlign w:val="center"/>
          </w:tcPr>
          <w:p w14:paraId="59247379">
            <w:pPr>
              <w:spacing w:line="312" w:lineRule="auto"/>
              <w:jc w:val="left"/>
              <w:rPr>
                <w:rFonts w:ascii="宋体" w:cs="宋体"/>
                <w:color w:val="auto"/>
                <w:szCs w:val="21"/>
                <w:highlight w:val="none"/>
              </w:rPr>
            </w:pPr>
          </w:p>
          <w:p w14:paraId="6F7BCBEF">
            <w:pPr>
              <w:spacing w:line="312" w:lineRule="auto"/>
              <w:jc w:val="left"/>
              <w:rPr>
                <w:rFonts w:ascii="宋体" w:cs="宋体"/>
                <w:color w:val="auto"/>
                <w:szCs w:val="21"/>
                <w:highlight w:val="none"/>
              </w:rPr>
            </w:pPr>
          </w:p>
          <w:p w14:paraId="1B2D21A7">
            <w:pPr>
              <w:spacing w:line="312" w:lineRule="auto"/>
              <w:jc w:val="left"/>
              <w:rPr>
                <w:rFonts w:ascii="宋体" w:cs="宋体"/>
                <w:color w:val="auto"/>
                <w:szCs w:val="21"/>
                <w:highlight w:val="none"/>
              </w:rPr>
            </w:pPr>
            <w:r>
              <w:rPr>
                <w:rFonts w:hint="eastAsia" w:ascii="宋体" w:hAnsi="宋体" w:cs="宋体"/>
                <w:color w:val="auto"/>
                <w:szCs w:val="21"/>
                <w:highlight w:val="none"/>
              </w:rPr>
              <w:t>银行联系人：陈超</w:t>
            </w:r>
            <w:r>
              <w:rPr>
                <w:rFonts w:ascii="宋体" w:hAnsi="宋体" w:cs="宋体"/>
                <w:color w:val="auto"/>
                <w:szCs w:val="21"/>
                <w:highlight w:val="none"/>
              </w:rPr>
              <w:t>17858683697</w:t>
            </w:r>
          </w:p>
          <w:p w14:paraId="1D4047E7">
            <w:pPr>
              <w:spacing w:line="312" w:lineRule="auto"/>
              <w:jc w:val="left"/>
              <w:rPr>
                <w:rFonts w:ascii="宋体" w:cs="宋体"/>
                <w:color w:val="auto"/>
                <w:szCs w:val="21"/>
                <w:highlight w:val="none"/>
              </w:rPr>
            </w:pPr>
            <w:r>
              <w:rPr>
                <w:rFonts w:hint="eastAsia" w:ascii="宋体" w:hAnsi="宋体" w:cs="宋体"/>
                <w:color w:val="auto"/>
                <w:szCs w:val="21"/>
                <w:highlight w:val="none"/>
              </w:rPr>
              <w:t>具体保函业务办理客户经理：王英</w:t>
            </w:r>
            <w:r>
              <w:rPr>
                <w:rFonts w:ascii="宋体" w:hAnsi="宋体" w:cs="宋体"/>
                <w:color w:val="auto"/>
                <w:szCs w:val="21"/>
                <w:highlight w:val="none"/>
              </w:rPr>
              <w:t>15868677616</w:t>
            </w:r>
          </w:p>
        </w:tc>
      </w:tr>
      <w:tr w14:paraId="30D9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30" w:type="dxa"/>
            <w:vAlign w:val="center"/>
          </w:tcPr>
          <w:p w14:paraId="27D56D91">
            <w:pPr>
              <w:spacing w:line="312" w:lineRule="auto"/>
              <w:jc w:val="center"/>
              <w:rPr>
                <w:rFonts w:ascii="宋体" w:cs="宋体"/>
                <w:color w:val="auto"/>
                <w:szCs w:val="21"/>
                <w:highlight w:val="none"/>
              </w:rPr>
            </w:pPr>
            <w:r>
              <w:rPr>
                <w:rFonts w:ascii="宋体" w:hAnsi="宋体" w:cs="宋体"/>
                <w:color w:val="auto"/>
                <w:szCs w:val="21"/>
                <w:highlight w:val="none"/>
              </w:rPr>
              <w:t>3</w:t>
            </w:r>
          </w:p>
        </w:tc>
        <w:tc>
          <w:tcPr>
            <w:tcW w:w="2753" w:type="dxa"/>
            <w:vAlign w:val="center"/>
          </w:tcPr>
          <w:p w14:paraId="4A5CD4ED">
            <w:pPr>
              <w:spacing w:line="312" w:lineRule="auto"/>
              <w:rPr>
                <w:rFonts w:ascii="宋体" w:cs="宋体"/>
                <w:color w:val="auto"/>
                <w:szCs w:val="21"/>
                <w:highlight w:val="none"/>
              </w:rPr>
            </w:pPr>
            <w:r>
              <w:rPr>
                <w:rFonts w:hint="eastAsia" w:ascii="宋体" w:hAnsi="宋体" w:cs="宋体"/>
                <w:color w:val="auto"/>
                <w:szCs w:val="21"/>
                <w:highlight w:val="none"/>
              </w:rPr>
              <w:t>机构名称：仙居农商银行</w:t>
            </w:r>
          </w:p>
          <w:p w14:paraId="302F1F76">
            <w:pPr>
              <w:spacing w:line="312" w:lineRule="auto"/>
              <w:rPr>
                <w:rFonts w:ascii="宋体" w:cs="宋体"/>
                <w:color w:val="auto"/>
                <w:szCs w:val="21"/>
                <w:highlight w:val="none"/>
              </w:rPr>
            </w:pPr>
            <w:r>
              <w:rPr>
                <w:rFonts w:hint="eastAsia" w:ascii="宋体" w:hAnsi="宋体" w:cs="宋体"/>
                <w:color w:val="auto"/>
                <w:szCs w:val="21"/>
                <w:highlight w:val="none"/>
              </w:rPr>
              <w:t>履约保函：是</w:t>
            </w:r>
          </w:p>
          <w:p w14:paraId="4808C857">
            <w:pPr>
              <w:spacing w:line="312" w:lineRule="auto"/>
              <w:rPr>
                <w:rFonts w:ascii="宋体" w:cs="宋体"/>
                <w:color w:val="auto"/>
                <w:szCs w:val="21"/>
                <w:highlight w:val="none"/>
              </w:rPr>
            </w:pPr>
            <w:r>
              <w:rPr>
                <w:rFonts w:hint="eastAsia" w:ascii="宋体" w:hAnsi="宋体" w:cs="宋体"/>
                <w:color w:val="auto"/>
                <w:szCs w:val="21"/>
                <w:highlight w:val="none"/>
              </w:rPr>
              <w:t>预付款保函：是</w:t>
            </w:r>
          </w:p>
        </w:tc>
        <w:tc>
          <w:tcPr>
            <w:tcW w:w="4568" w:type="dxa"/>
            <w:vAlign w:val="center"/>
          </w:tcPr>
          <w:p w14:paraId="141F4729">
            <w:pPr>
              <w:spacing w:line="312" w:lineRule="auto"/>
              <w:rPr>
                <w:rFonts w:ascii="宋体" w:cs="宋体"/>
                <w:color w:val="auto"/>
                <w:szCs w:val="21"/>
                <w:highlight w:val="none"/>
              </w:rPr>
            </w:pPr>
            <w:r>
              <w:rPr>
                <w:rFonts w:hint="eastAsia" w:ascii="宋体" w:hAnsi="宋体" w:cs="宋体"/>
                <w:color w:val="auto"/>
                <w:szCs w:val="21"/>
                <w:highlight w:val="none"/>
              </w:rPr>
              <w:t>合同（质量）履约按履约保证金年费率万分之五，在出具保函前一次性收取。</w:t>
            </w:r>
          </w:p>
        </w:tc>
        <w:tc>
          <w:tcPr>
            <w:tcW w:w="1728" w:type="dxa"/>
            <w:vAlign w:val="center"/>
          </w:tcPr>
          <w:p w14:paraId="6EEB0B8C">
            <w:pPr>
              <w:spacing w:line="312" w:lineRule="auto"/>
              <w:jc w:val="left"/>
              <w:rPr>
                <w:rFonts w:ascii="宋体" w:cs="宋体"/>
                <w:color w:val="auto"/>
                <w:szCs w:val="21"/>
                <w:highlight w:val="none"/>
              </w:rPr>
            </w:pPr>
            <w:r>
              <w:rPr>
                <w:rFonts w:hint="eastAsia" w:ascii="宋体" w:hAnsi="宋体" w:cs="宋体"/>
                <w:color w:val="auto"/>
                <w:szCs w:val="21"/>
                <w:highlight w:val="none"/>
              </w:rPr>
              <w:t>李杭</w:t>
            </w:r>
            <w:r>
              <w:rPr>
                <w:rFonts w:ascii="宋体" w:hAnsi="宋体" w:cs="宋体"/>
                <w:color w:val="auto"/>
                <w:szCs w:val="21"/>
                <w:highlight w:val="none"/>
              </w:rPr>
              <w:t>13586233529</w:t>
            </w:r>
          </w:p>
        </w:tc>
      </w:tr>
      <w:tr w14:paraId="1278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30" w:type="dxa"/>
            <w:vAlign w:val="center"/>
          </w:tcPr>
          <w:p w14:paraId="4173F1A4">
            <w:pPr>
              <w:spacing w:line="312" w:lineRule="auto"/>
              <w:jc w:val="center"/>
              <w:rPr>
                <w:rFonts w:ascii="宋体" w:cs="宋体"/>
                <w:color w:val="auto"/>
                <w:szCs w:val="21"/>
                <w:highlight w:val="none"/>
              </w:rPr>
            </w:pPr>
            <w:r>
              <w:rPr>
                <w:rFonts w:ascii="宋体" w:hAnsi="宋体" w:cs="宋体"/>
                <w:color w:val="auto"/>
                <w:szCs w:val="21"/>
                <w:highlight w:val="none"/>
              </w:rPr>
              <w:t>4</w:t>
            </w:r>
          </w:p>
        </w:tc>
        <w:tc>
          <w:tcPr>
            <w:tcW w:w="2753" w:type="dxa"/>
            <w:vAlign w:val="center"/>
          </w:tcPr>
          <w:p w14:paraId="573AA5AE">
            <w:pPr>
              <w:spacing w:line="312" w:lineRule="auto"/>
              <w:rPr>
                <w:rFonts w:ascii="宋体" w:cs="宋体"/>
                <w:color w:val="auto"/>
                <w:szCs w:val="21"/>
                <w:highlight w:val="none"/>
              </w:rPr>
            </w:pPr>
            <w:r>
              <w:rPr>
                <w:rFonts w:hint="eastAsia" w:ascii="宋体" w:hAnsi="宋体" w:cs="宋体"/>
                <w:color w:val="auto"/>
                <w:szCs w:val="21"/>
                <w:highlight w:val="none"/>
              </w:rPr>
              <w:t>机构名称：仙居中国银行</w:t>
            </w:r>
          </w:p>
          <w:p w14:paraId="53D8A01E">
            <w:pPr>
              <w:spacing w:line="312" w:lineRule="auto"/>
              <w:rPr>
                <w:rFonts w:ascii="宋体" w:cs="宋体"/>
                <w:color w:val="auto"/>
                <w:szCs w:val="21"/>
                <w:highlight w:val="none"/>
              </w:rPr>
            </w:pPr>
            <w:r>
              <w:rPr>
                <w:rFonts w:hint="eastAsia" w:ascii="宋体" w:hAnsi="宋体" w:cs="宋体"/>
                <w:color w:val="auto"/>
                <w:szCs w:val="21"/>
                <w:highlight w:val="none"/>
              </w:rPr>
              <w:t>履约保函：是</w:t>
            </w:r>
          </w:p>
          <w:p w14:paraId="7AC14C8E">
            <w:pPr>
              <w:spacing w:line="312" w:lineRule="auto"/>
              <w:rPr>
                <w:rFonts w:ascii="宋体" w:cs="宋体"/>
                <w:color w:val="auto"/>
                <w:szCs w:val="21"/>
                <w:highlight w:val="none"/>
              </w:rPr>
            </w:pPr>
            <w:r>
              <w:rPr>
                <w:rFonts w:hint="eastAsia" w:ascii="宋体" w:hAnsi="宋体" w:cs="宋体"/>
                <w:color w:val="auto"/>
                <w:szCs w:val="21"/>
                <w:highlight w:val="none"/>
              </w:rPr>
              <w:t>预付款保函：是</w:t>
            </w:r>
          </w:p>
        </w:tc>
        <w:tc>
          <w:tcPr>
            <w:tcW w:w="4568" w:type="dxa"/>
            <w:vAlign w:val="center"/>
          </w:tcPr>
          <w:p w14:paraId="49B4CA76">
            <w:pPr>
              <w:spacing w:line="312" w:lineRule="auto"/>
              <w:rPr>
                <w:rFonts w:ascii="宋体" w:cs="宋体"/>
                <w:color w:val="auto"/>
                <w:szCs w:val="21"/>
                <w:highlight w:val="none"/>
              </w:rPr>
            </w:pPr>
            <w:r>
              <w:rPr>
                <w:rFonts w:hint="eastAsia" w:ascii="宋体" w:hAnsi="宋体" w:cs="宋体"/>
                <w:color w:val="auto"/>
                <w:szCs w:val="21"/>
                <w:highlight w:val="none"/>
              </w:rPr>
              <w:t>合同（质量）履约按履约保证金年费率</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1.5%</w:t>
            </w:r>
            <w:r>
              <w:rPr>
                <w:rFonts w:hint="eastAsia" w:ascii="宋体" w:hAnsi="宋体" w:cs="宋体"/>
                <w:color w:val="auto"/>
                <w:szCs w:val="21"/>
                <w:highlight w:val="none"/>
              </w:rPr>
              <w:t>），每单保函最低保险费为</w:t>
            </w:r>
            <w:r>
              <w:rPr>
                <w:rFonts w:ascii="宋体" w:hAnsi="宋体" w:cs="宋体"/>
                <w:color w:val="auto"/>
                <w:szCs w:val="21"/>
                <w:highlight w:val="none"/>
              </w:rPr>
              <w:t>500</w:t>
            </w:r>
            <w:r>
              <w:rPr>
                <w:rFonts w:hint="eastAsia" w:ascii="宋体" w:hAnsi="宋体" w:cs="宋体"/>
                <w:color w:val="auto"/>
                <w:szCs w:val="21"/>
                <w:highlight w:val="none"/>
              </w:rPr>
              <w:t>元。</w:t>
            </w:r>
          </w:p>
        </w:tc>
        <w:tc>
          <w:tcPr>
            <w:tcW w:w="1728" w:type="dxa"/>
            <w:vAlign w:val="center"/>
          </w:tcPr>
          <w:p w14:paraId="469BFABB">
            <w:pPr>
              <w:spacing w:line="312" w:lineRule="auto"/>
              <w:jc w:val="left"/>
              <w:rPr>
                <w:rFonts w:ascii="宋体" w:cs="宋体"/>
                <w:color w:val="auto"/>
                <w:szCs w:val="21"/>
                <w:highlight w:val="none"/>
              </w:rPr>
            </w:pPr>
            <w:r>
              <w:rPr>
                <w:rFonts w:hint="eastAsia" w:ascii="宋体" w:hAnsi="宋体" w:cs="宋体"/>
                <w:color w:val="auto"/>
                <w:szCs w:val="21"/>
                <w:highlight w:val="none"/>
              </w:rPr>
              <w:t>张弥</w:t>
            </w:r>
            <w:r>
              <w:rPr>
                <w:rFonts w:ascii="宋体" w:hAnsi="宋体" w:cs="宋体"/>
                <w:color w:val="auto"/>
                <w:szCs w:val="21"/>
                <w:highlight w:val="none"/>
              </w:rPr>
              <w:t>0576-87796908</w:t>
            </w:r>
          </w:p>
        </w:tc>
      </w:tr>
      <w:tr w14:paraId="3112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730" w:type="dxa"/>
            <w:vAlign w:val="center"/>
          </w:tcPr>
          <w:p w14:paraId="374919CD">
            <w:pPr>
              <w:spacing w:line="312" w:lineRule="auto"/>
              <w:jc w:val="center"/>
              <w:rPr>
                <w:rFonts w:ascii="宋体" w:cs="宋体"/>
                <w:color w:val="auto"/>
                <w:szCs w:val="21"/>
                <w:highlight w:val="none"/>
              </w:rPr>
            </w:pPr>
            <w:r>
              <w:rPr>
                <w:rFonts w:ascii="宋体" w:hAnsi="宋体" w:cs="宋体"/>
                <w:color w:val="auto"/>
                <w:szCs w:val="21"/>
                <w:highlight w:val="none"/>
              </w:rPr>
              <w:t>5</w:t>
            </w:r>
          </w:p>
        </w:tc>
        <w:tc>
          <w:tcPr>
            <w:tcW w:w="2753" w:type="dxa"/>
            <w:vAlign w:val="center"/>
          </w:tcPr>
          <w:p w14:paraId="78BC43D0">
            <w:pPr>
              <w:spacing w:line="312" w:lineRule="auto"/>
              <w:rPr>
                <w:rFonts w:ascii="宋体" w:cs="宋体"/>
                <w:color w:val="auto"/>
                <w:szCs w:val="21"/>
                <w:highlight w:val="none"/>
              </w:rPr>
            </w:pPr>
            <w:r>
              <w:rPr>
                <w:rFonts w:hint="eastAsia" w:ascii="宋体" w:hAnsi="宋体" w:cs="宋体"/>
                <w:color w:val="auto"/>
                <w:szCs w:val="21"/>
                <w:highlight w:val="none"/>
              </w:rPr>
              <w:t>机构名称：中国人民财产保险股份有限公司仙居支公司</w:t>
            </w:r>
          </w:p>
          <w:p w14:paraId="1AE82F23">
            <w:pPr>
              <w:spacing w:line="312" w:lineRule="auto"/>
              <w:rPr>
                <w:rFonts w:ascii="宋体" w:cs="宋体"/>
                <w:color w:val="auto"/>
                <w:szCs w:val="21"/>
                <w:highlight w:val="none"/>
              </w:rPr>
            </w:pPr>
            <w:r>
              <w:rPr>
                <w:rFonts w:hint="eastAsia" w:ascii="宋体" w:hAnsi="宋体" w:cs="宋体"/>
                <w:color w:val="auto"/>
                <w:szCs w:val="21"/>
                <w:highlight w:val="none"/>
              </w:rPr>
              <w:t>履约保险：是</w:t>
            </w:r>
          </w:p>
          <w:p w14:paraId="19177304">
            <w:pPr>
              <w:spacing w:line="312" w:lineRule="auto"/>
              <w:rPr>
                <w:rFonts w:ascii="宋体" w:cs="宋体"/>
                <w:color w:val="auto"/>
                <w:szCs w:val="21"/>
                <w:highlight w:val="none"/>
              </w:rPr>
            </w:pPr>
            <w:r>
              <w:rPr>
                <w:rFonts w:hint="eastAsia" w:ascii="宋体" w:hAnsi="宋体" w:cs="宋体"/>
                <w:color w:val="auto"/>
                <w:szCs w:val="21"/>
                <w:highlight w:val="none"/>
              </w:rPr>
              <w:t>预付款保函：是</w:t>
            </w:r>
          </w:p>
        </w:tc>
        <w:tc>
          <w:tcPr>
            <w:tcW w:w="4568" w:type="dxa"/>
            <w:vAlign w:val="center"/>
          </w:tcPr>
          <w:p w14:paraId="696A369B">
            <w:pPr>
              <w:spacing w:line="312" w:lineRule="auto"/>
              <w:rPr>
                <w:rFonts w:ascii="宋体" w:cs="宋体"/>
                <w:color w:val="auto"/>
                <w:szCs w:val="21"/>
                <w:highlight w:val="none"/>
              </w:rPr>
            </w:pPr>
            <w:r>
              <w:rPr>
                <w:rFonts w:hint="eastAsia" w:ascii="宋体" w:hAnsi="宋体" w:cs="宋体"/>
                <w:color w:val="auto"/>
                <w:szCs w:val="21"/>
                <w:highlight w:val="none"/>
              </w:rPr>
              <w:t>建设工程合同款支付保证保险，年费率</w:t>
            </w:r>
            <w:r>
              <w:rPr>
                <w:rFonts w:ascii="宋体" w:hAnsi="宋体" w:cs="宋体"/>
                <w:color w:val="auto"/>
                <w:szCs w:val="21"/>
                <w:highlight w:val="none"/>
              </w:rPr>
              <w:t>1.2%</w:t>
            </w:r>
            <w:r>
              <w:rPr>
                <w:rFonts w:hint="eastAsia" w:ascii="宋体" w:hAnsi="宋体" w:cs="宋体"/>
                <w:color w:val="auto"/>
                <w:szCs w:val="21"/>
                <w:highlight w:val="none"/>
              </w:rPr>
              <w:t>，每单最低保险费为</w:t>
            </w:r>
            <w:r>
              <w:rPr>
                <w:rFonts w:ascii="宋体" w:hAnsi="宋体" w:cs="宋体"/>
                <w:color w:val="auto"/>
                <w:szCs w:val="21"/>
                <w:highlight w:val="none"/>
              </w:rPr>
              <w:t>1000</w:t>
            </w:r>
            <w:r>
              <w:rPr>
                <w:rFonts w:hint="eastAsia" w:ascii="宋体" w:hAnsi="宋体" w:cs="宋体"/>
                <w:color w:val="auto"/>
                <w:szCs w:val="21"/>
                <w:highlight w:val="none"/>
              </w:rPr>
              <w:t>元。</w:t>
            </w:r>
          </w:p>
          <w:p w14:paraId="1A228A70">
            <w:pPr>
              <w:spacing w:line="312" w:lineRule="auto"/>
              <w:rPr>
                <w:rFonts w:ascii="宋体" w:cs="宋体"/>
                <w:color w:val="auto"/>
                <w:szCs w:val="21"/>
                <w:highlight w:val="none"/>
              </w:rPr>
            </w:pPr>
            <w:r>
              <w:rPr>
                <w:rFonts w:hint="eastAsia" w:ascii="宋体" w:hAnsi="宋体" w:cs="宋体"/>
                <w:color w:val="auto"/>
                <w:szCs w:val="21"/>
                <w:highlight w:val="none"/>
              </w:rPr>
              <w:t>建设工程预付款保证保险，年费率</w:t>
            </w:r>
            <w:r>
              <w:rPr>
                <w:rFonts w:ascii="宋体" w:hAnsi="宋体" w:cs="宋体"/>
                <w:color w:val="auto"/>
                <w:szCs w:val="21"/>
                <w:highlight w:val="none"/>
              </w:rPr>
              <w:t>0.6%</w:t>
            </w:r>
            <w:r>
              <w:rPr>
                <w:rFonts w:hint="eastAsia" w:ascii="宋体" w:hAnsi="宋体" w:cs="宋体"/>
                <w:color w:val="auto"/>
                <w:szCs w:val="21"/>
                <w:highlight w:val="none"/>
              </w:rPr>
              <w:t>，每单最低保险费为</w:t>
            </w:r>
            <w:r>
              <w:rPr>
                <w:rFonts w:ascii="宋体" w:hAnsi="宋体" w:cs="宋体"/>
                <w:color w:val="auto"/>
                <w:szCs w:val="21"/>
                <w:highlight w:val="none"/>
              </w:rPr>
              <w:t>1000</w:t>
            </w:r>
            <w:r>
              <w:rPr>
                <w:rFonts w:hint="eastAsia" w:ascii="宋体" w:hAnsi="宋体" w:cs="宋体"/>
                <w:color w:val="auto"/>
                <w:szCs w:val="21"/>
                <w:highlight w:val="none"/>
              </w:rPr>
              <w:t>元。</w:t>
            </w:r>
          </w:p>
        </w:tc>
        <w:tc>
          <w:tcPr>
            <w:tcW w:w="1728" w:type="dxa"/>
            <w:vAlign w:val="center"/>
          </w:tcPr>
          <w:p w14:paraId="5853BCCE">
            <w:pPr>
              <w:spacing w:line="312" w:lineRule="auto"/>
              <w:jc w:val="left"/>
              <w:rPr>
                <w:rFonts w:ascii="宋体" w:cs="宋体"/>
                <w:color w:val="auto"/>
                <w:szCs w:val="21"/>
                <w:highlight w:val="none"/>
              </w:rPr>
            </w:pPr>
          </w:p>
          <w:p w14:paraId="3694D13B">
            <w:pPr>
              <w:spacing w:line="312" w:lineRule="auto"/>
              <w:jc w:val="left"/>
              <w:rPr>
                <w:rFonts w:ascii="宋体" w:cs="宋体"/>
                <w:color w:val="auto"/>
                <w:szCs w:val="21"/>
                <w:highlight w:val="none"/>
              </w:rPr>
            </w:pPr>
          </w:p>
          <w:p w14:paraId="385C9621">
            <w:pPr>
              <w:spacing w:line="312" w:lineRule="auto"/>
              <w:jc w:val="left"/>
              <w:rPr>
                <w:rFonts w:ascii="宋体" w:cs="宋体"/>
                <w:color w:val="auto"/>
                <w:szCs w:val="21"/>
                <w:highlight w:val="none"/>
              </w:rPr>
            </w:pPr>
            <w:r>
              <w:rPr>
                <w:rFonts w:hint="eastAsia" w:ascii="宋体" w:hAnsi="宋体" w:cs="宋体"/>
                <w:color w:val="auto"/>
                <w:szCs w:val="21"/>
                <w:highlight w:val="none"/>
              </w:rPr>
              <w:t>王巧红</w:t>
            </w:r>
            <w:r>
              <w:rPr>
                <w:rFonts w:ascii="宋体" w:hAnsi="宋体" w:cs="宋体"/>
                <w:color w:val="auto"/>
                <w:szCs w:val="21"/>
                <w:highlight w:val="none"/>
              </w:rPr>
              <w:t>13968483573</w:t>
            </w:r>
          </w:p>
        </w:tc>
      </w:tr>
      <w:tr w14:paraId="25A5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730" w:type="dxa"/>
            <w:vAlign w:val="center"/>
          </w:tcPr>
          <w:p w14:paraId="25FF6BD3">
            <w:pPr>
              <w:spacing w:line="312" w:lineRule="auto"/>
              <w:jc w:val="center"/>
              <w:rPr>
                <w:rFonts w:ascii="宋体" w:cs="宋体"/>
                <w:color w:val="auto"/>
                <w:szCs w:val="21"/>
                <w:highlight w:val="none"/>
              </w:rPr>
            </w:pPr>
            <w:r>
              <w:rPr>
                <w:rFonts w:ascii="宋体" w:hAnsi="宋体" w:cs="宋体"/>
                <w:color w:val="auto"/>
                <w:szCs w:val="21"/>
                <w:highlight w:val="none"/>
              </w:rPr>
              <w:t>6</w:t>
            </w:r>
          </w:p>
        </w:tc>
        <w:tc>
          <w:tcPr>
            <w:tcW w:w="2753" w:type="dxa"/>
            <w:vAlign w:val="center"/>
          </w:tcPr>
          <w:p w14:paraId="0DAD1474">
            <w:pPr>
              <w:spacing w:line="312" w:lineRule="auto"/>
              <w:rPr>
                <w:rFonts w:ascii="宋体" w:cs="宋体"/>
                <w:color w:val="auto"/>
                <w:szCs w:val="21"/>
                <w:highlight w:val="none"/>
              </w:rPr>
            </w:pPr>
            <w:r>
              <w:rPr>
                <w:rFonts w:hint="eastAsia" w:ascii="宋体" w:hAnsi="宋体" w:cs="宋体"/>
                <w:color w:val="auto"/>
                <w:szCs w:val="21"/>
                <w:highlight w:val="none"/>
              </w:rPr>
              <w:t>机构名称：中国大地财产保险股份有限公司仙居支公司</w:t>
            </w:r>
          </w:p>
          <w:p w14:paraId="66FE9795">
            <w:pPr>
              <w:spacing w:line="312" w:lineRule="auto"/>
              <w:rPr>
                <w:rFonts w:ascii="宋体" w:cs="宋体"/>
                <w:color w:val="auto"/>
                <w:szCs w:val="21"/>
                <w:highlight w:val="none"/>
              </w:rPr>
            </w:pPr>
            <w:r>
              <w:rPr>
                <w:rFonts w:hint="eastAsia" w:ascii="宋体" w:hAnsi="宋体" w:cs="宋体"/>
                <w:color w:val="auto"/>
                <w:szCs w:val="21"/>
                <w:highlight w:val="none"/>
              </w:rPr>
              <w:t>履约保函：是</w:t>
            </w:r>
          </w:p>
          <w:p w14:paraId="31A6C74E">
            <w:pPr>
              <w:spacing w:line="312" w:lineRule="auto"/>
              <w:rPr>
                <w:rFonts w:ascii="宋体" w:cs="宋体"/>
                <w:color w:val="auto"/>
                <w:szCs w:val="21"/>
                <w:highlight w:val="none"/>
              </w:rPr>
            </w:pPr>
            <w:r>
              <w:rPr>
                <w:rFonts w:hint="eastAsia" w:ascii="宋体" w:hAnsi="宋体" w:cs="宋体"/>
                <w:color w:val="auto"/>
                <w:szCs w:val="21"/>
                <w:highlight w:val="none"/>
              </w:rPr>
              <w:t>预付款保函：否</w:t>
            </w:r>
          </w:p>
        </w:tc>
        <w:tc>
          <w:tcPr>
            <w:tcW w:w="4568" w:type="dxa"/>
            <w:vAlign w:val="center"/>
          </w:tcPr>
          <w:p w14:paraId="4E056937">
            <w:pPr>
              <w:spacing w:line="312" w:lineRule="auto"/>
              <w:rPr>
                <w:rFonts w:ascii="宋体" w:cs="宋体"/>
                <w:color w:val="auto"/>
                <w:szCs w:val="21"/>
                <w:highlight w:val="none"/>
              </w:rPr>
            </w:pPr>
            <w:r>
              <w:rPr>
                <w:rFonts w:hint="eastAsia" w:ascii="宋体" w:hAnsi="宋体" w:cs="宋体"/>
                <w:color w:val="auto"/>
                <w:szCs w:val="21"/>
                <w:highlight w:val="none"/>
              </w:rPr>
              <w:t>合同（质量）履约按履约保证金年费率最低</w:t>
            </w:r>
            <w:r>
              <w:rPr>
                <w:rFonts w:ascii="宋体" w:hAnsi="宋体" w:cs="宋体"/>
                <w:color w:val="auto"/>
                <w:szCs w:val="21"/>
                <w:highlight w:val="none"/>
              </w:rPr>
              <w:t>0.5%</w:t>
            </w:r>
            <w:r>
              <w:rPr>
                <w:rFonts w:hint="eastAsia" w:ascii="宋体" w:hAnsi="宋体" w:cs="宋体"/>
                <w:color w:val="auto"/>
                <w:szCs w:val="21"/>
                <w:highlight w:val="none"/>
              </w:rPr>
              <w:t>，每单保函最低保险费为</w:t>
            </w:r>
            <w:r>
              <w:rPr>
                <w:rFonts w:ascii="宋体" w:hAnsi="宋体" w:cs="宋体"/>
                <w:color w:val="auto"/>
                <w:szCs w:val="21"/>
                <w:highlight w:val="none"/>
              </w:rPr>
              <w:t>1000</w:t>
            </w:r>
            <w:r>
              <w:rPr>
                <w:rFonts w:hint="eastAsia" w:ascii="宋体" w:hAnsi="宋体" w:cs="宋体"/>
                <w:color w:val="auto"/>
                <w:szCs w:val="21"/>
                <w:highlight w:val="none"/>
              </w:rPr>
              <w:t>元。</w:t>
            </w:r>
          </w:p>
        </w:tc>
        <w:tc>
          <w:tcPr>
            <w:tcW w:w="1728" w:type="dxa"/>
            <w:vAlign w:val="center"/>
          </w:tcPr>
          <w:p w14:paraId="532CA453">
            <w:pPr>
              <w:spacing w:line="312" w:lineRule="auto"/>
              <w:jc w:val="left"/>
              <w:rPr>
                <w:rFonts w:ascii="宋体" w:cs="宋体"/>
                <w:color w:val="auto"/>
                <w:szCs w:val="21"/>
                <w:highlight w:val="none"/>
              </w:rPr>
            </w:pPr>
            <w:r>
              <w:rPr>
                <w:rFonts w:hint="eastAsia" w:ascii="宋体" w:hAnsi="宋体" w:cs="宋体"/>
                <w:color w:val="auto"/>
                <w:szCs w:val="21"/>
                <w:highlight w:val="none"/>
              </w:rPr>
              <w:t>吴琼</w:t>
            </w:r>
            <w:r>
              <w:rPr>
                <w:rFonts w:ascii="宋体" w:hAnsi="宋体" w:cs="宋体"/>
                <w:color w:val="auto"/>
                <w:szCs w:val="21"/>
                <w:highlight w:val="none"/>
              </w:rPr>
              <w:t>17858699170</w:t>
            </w:r>
          </w:p>
        </w:tc>
      </w:tr>
      <w:tr w14:paraId="58C0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730" w:type="dxa"/>
            <w:vAlign w:val="center"/>
          </w:tcPr>
          <w:p w14:paraId="75C653FA">
            <w:pPr>
              <w:spacing w:line="312" w:lineRule="auto"/>
              <w:jc w:val="center"/>
              <w:rPr>
                <w:rFonts w:ascii="宋体" w:cs="宋体"/>
                <w:color w:val="auto"/>
                <w:szCs w:val="21"/>
                <w:highlight w:val="none"/>
              </w:rPr>
            </w:pPr>
            <w:r>
              <w:rPr>
                <w:rFonts w:ascii="宋体" w:hAnsi="宋体" w:cs="宋体"/>
                <w:color w:val="auto"/>
                <w:szCs w:val="21"/>
                <w:highlight w:val="none"/>
              </w:rPr>
              <w:t>7</w:t>
            </w:r>
          </w:p>
        </w:tc>
        <w:tc>
          <w:tcPr>
            <w:tcW w:w="2753" w:type="dxa"/>
            <w:vAlign w:val="center"/>
          </w:tcPr>
          <w:p w14:paraId="71BE7074">
            <w:pPr>
              <w:widowControl/>
              <w:spacing w:line="312" w:lineRule="auto"/>
              <w:jc w:val="left"/>
              <w:textAlignment w:val="center"/>
              <w:rPr>
                <w:rFonts w:ascii="宋体" w:cs="宋体"/>
                <w:color w:val="auto"/>
                <w:kern w:val="0"/>
                <w:szCs w:val="21"/>
                <w:highlight w:val="none"/>
              </w:rPr>
            </w:pPr>
            <w:r>
              <w:rPr>
                <w:rFonts w:hint="eastAsia" w:ascii="宋体" w:hAnsi="宋体" w:cs="宋体"/>
                <w:color w:val="auto"/>
                <w:kern w:val="0"/>
                <w:szCs w:val="21"/>
                <w:highlight w:val="none"/>
              </w:rPr>
              <w:t>机构名称：天安财产保险股份有限公司台州中心支公司仙居县营销服务部</w:t>
            </w:r>
          </w:p>
          <w:p w14:paraId="036F2781">
            <w:pPr>
              <w:widowControl/>
              <w:spacing w:line="312" w:lineRule="auto"/>
              <w:jc w:val="left"/>
              <w:textAlignment w:val="center"/>
              <w:rPr>
                <w:rFonts w:ascii="宋体" w:cs="宋体"/>
                <w:color w:val="auto"/>
                <w:kern w:val="0"/>
                <w:szCs w:val="21"/>
                <w:highlight w:val="none"/>
              </w:rPr>
            </w:pPr>
            <w:r>
              <w:rPr>
                <w:rFonts w:hint="eastAsia" w:ascii="宋体" w:hAnsi="宋体" w:cs="宋体"/>
                <w:color w:val="auto"/>
                <w:kern w:val="0"/>
                <w:szCs w:val="21"/>
                <w:highlight w:val="none"/>
              </w:rPr>
              <w:t>履约保函：否</w:t>
            </w:r>
          </w:p>
          <w:p w14:paraId="578AA4A9">
            <w:pPr>
              <w:widowControl/>
              <w:spacing w:line="312" w:lineRule="auto"/>
              <w:jc w:val="left"/>
              <w:textAlignment w:val="center"/>
              <w:rPr>
                <w:rFonts w:ascii="宋体" w:cs="宋体"/>
                <w:color w:val="auto"/>
                <w:szCs w:val="21"/>
                <w:highlight w:val="none"/>
              </w:rPr>
            </w:pPr>
            <w:r>
              <w:rPr>
                <w:rFonts w:hint="eastAsia" w:ascii="宋体" w:hAnsi="宋体" w:cs="宋体"/>
                <w:color w:val="auto"/>
                <w:kern w:val="0"/>
                <w:szCs w:val="21"/>
                <w:highlight w:val="none"/>
              </w:rPr>
              <w:t>预付款保函：是</w:t>
            </w:r>
          </w:p>
        </w:tc>
        <w:tc>
          <w:tcPr>
            <w:tcW w:w="4568" w:type="dxa"/>
            <w:vAlign w:val="center"/>
          </w:tcPr>
          <w:p w14:paraId="78095652">
            <w:pPr>
              <w:widowControl/>
              <w:spacing w:line="312" w:lineRule="auto"/>
              <w:jc w:val="left"/>
              <w:textAlignment w:val="center"/>
              <w:rPr>
                <w:rFonts w:ascii="宋体" w:cs="宋体"/>
                <w:color w:val="auto"/>
                <w:szCs w:val="21"/>
                <w:highlight w:val="none"/>
              </w:rPr>
            </w:pPr>
            <w:r>
              <w:rPr>
                <w:rFonts w:hint="eastAsia" w:ascii="宋体" w:hAnsi="宋体" w:cs="宋体"/>
                <w:color w:val="auto"/>
                <w:kern w:val="0"/>
                <w:szCs w:val="21"/>
                <w:highlight w:val="none"/>
              </w:rPr>
              <w:t>预付款保函：按预付款金额投保，年费率为</w:t>
            </w:r>
            <w:r>
              <w:rPr>
                <w:rFonts w:ascii="宋体" w:hAnsi="宋体" w:cs="宋体"/>
                <w:color w:val="auto"/>
                <w:kern w:val="0"/>
                <w:szCs w:val="21"/>
                <w:highlight w:val="none"/>
              </w:rPr>
              <w:t>1%-2%</w:t>
            </w:r>
            <w:r>
              <w:rPr>
                <w:rFonts w:hint="eastAsia" w:ascii="宋体" w:hAnsi="宋体" w:cs="宋体"/>
                <w:color w:val="auto"/>
                <w:kern w:val="0"/>
                <w:szCs w:val="21"/>
                <w:highlight w:val="none"/>
              </w:rPr>
              <w:t>，每单保函最低保险费为</w:t>
            </w:r>
            <w:r>
              <w:rPr>
                <w:rFonts w:ascii="宋体" w:hAnsi="宋体" w:cs="宋体"/>
                <w:color w:val="auto"/>
                <w:kern w:val="0"/>
                <w:szCs w:val="21"/>
                <w:highlight w:val="none"/>
              </w:rPr>
              <w:t>500</w:t>
            </w:r>
            <w:r>
              <w:rPr>
                <w:rFonts w:hint="eastAsia" w:ascii="宋体" w:hAnsi="宋体" w:cs="宋体"/>
                <w:color w:val="auto"/>
                <w:kern w:val="0"/>
                <w:szCs w:val="21"/>
                <w:highlight w:val="none"/>
              </w:rPr>
              <w:t>元；保险期限最长不超过</w:t>
            </w:r>
            <w:r>
              <w:rPr>
                <w:rFonts w:ascii="宋体" w:hAnsi="宋体" w:cs="宋体"/>
                <w:color w:val="auto"/>
                <w:kern w:val="0"/>
                <w:szCs w:val="21"/>
                <w:highlight w:val="none"/>
              </w:rPr>
              <w:t>5</w:t>
            </w:r>
            <w:r>
              <w:rPr>
                <w:rFonts w:hint="eastAsia" w:ascii="宋体" w:hAnsi="宋体" w:cs="宋体"/>
                <w:color w:val="auto"/>
                <w:kern w:val="0"/>
                <w:szCs w:val="21"/>
                <w:highlight w:val="none"/>
              </w:rPr>
              <w:t>年。</w:t>
            </w:r>
          </w:p>
        </w:tc>
        <w:tc>
          <w:tcPr>
            <w:tcW w:w="1728" w:type="dxa"/>
            <w:vAlign w:val="center"/>
          </w:tcPr>
          <w:p w14:paraId="241B60E3">
            <w:pPr>
              <w:widowControl/>
              <w:spacing w:line="312" w:lineRule="auto"/>
              <w:jc w:val="left"/>
              <w:textAlignment w:val="center"/>
              <w:rPr>
                <w:rFonts w:ascii="宋体" w:cs="宋体"/>
                <w:color w:val="auto"/>
                <w:szCs w:val="21"/>
                <w:highlight w:val="none"/>
              </w:rPr>
            </w:pPr>
            <w:r>
              <w:rPr>
                <w:rFonts w:hint="eastAsia" w:ascii="宋体" w:hAnsi="宋体" w:cs="宋体"/>
                <w:color w:val="auto"/>
                <w:kern w:val="0"/>
                <w:szCs w:val="21"/>
                <w:highlight w:val="none"/>
              </w:rPr>
              <w:t>陶正鹏</w:t>
            </w:r>
            <w:r>
              <w:rPr>
                <w:rFonts w:ascii="宋体" w:hAnsi="宋体" w:cs="宋体"/>
                <w:color w:val="auto"/>
                <w:kern w:val="0"/>
                <w:szCs w:val="21"/>
                <w:highlight w:val="none"/>
              </w:rPr>
              <w:t>13858613668</w:t>
            </w:r>
          </w:p>
        </w:tc>
      </w:tr>
      <w:tr w14:paraId="3B2E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730" w:type="dxa"/>
            <w:vAlign w:val="center"/>
          </w:tcPr>
          <w:p w14:paraId="439DFA93">
            <w:pPr>
              <w:spacing w:line="312" w:lineRule="auto"/>
              <w:jc w:val="center"/>
              <w:rPr>
                <w:rFonts w:ascii="宋体" w:cs="宋体"/>
                <w:color w:val="auto"/>
                <w:szCs w:val="21"/>
                <w:highlight w:val="none"/>
              </w:rPr>
            </w:pPr>
            <w:r>
              <w:rPr>
                <w:rFonts w:ascii="宋体" w:hAnsi="宋体" w:cs="宋体"/>
                <w:color w:val="auto"/>
                <w:szCs w:val="21"/>
                <w:highlight w:val="none"/>
              </w:rPr>
              <w:t>8</w:t>
            </w:r>
          </w:p>
        </w:tc>
        <w:tc>
          <w:tcPr>
            <w:tcW w:w="2753" w:type="dxa"/>
            <w:vAlign w:val="center"/>
          </w:tcPr>
          <w:p w14:paraId="0CB04F7F">
            <w:pPr>
              <w:spacing w:line="312" w:lineRule="auto"/>
              <w:rPr>
                <w:rFonts w:ascii="宋体" w:cs="宋体"/>
                <w:color w:val="auto"/>
                <w:szCs w:val="21"/>
                <w:highlight w:val="none"/>
              </w:rPr>
            </w:pPr>
            <w:r>
              <w:rPr>
                <w:rFonts w:hint="eastAsia" w:ascii="宋体" w:hAnsi="宋体" w:cs="宋体"/>
                <w:color w:val="auto"/>
                <w:szCs w:val="21"/>
                <w:highlight w:val="none"/>
              </w:rPr>
              <w:t>机构名称：仙居县台融融资担保有限公司</w:t>
            </w:r>
          </w:p>
          <w:p w14:paraId="124DE97B">
            <w:pPr>
              <w:spacing w:line="312" w:lineRule="auto"/>
              <w:rPr>
                <w:rFonts w:ascii="宋体" w:cs="宋体"/>
                <w:color w:val="auto"/>
                <w:szCs w:val="21"/>
                <w:highlight w:val="none"/>
              </w:rPr>
            </w:pPr>
            <w:r>
              <w:rPr>
                <w:rFonts w:hint="eastAsia" w:ascii="宋体" w:hAnsi="宋体" w:cs="宋体"/>
                <w:color w:val="auto"/>
                <w:szCs w:val="21"/>
                <w:highlight w:val="none"/>
              </w:rPr>
              <w:t>履约保函：是</w:t>
            </w:r>
          </w:p>
        </w:tc>
        <w:tc>
          <w:tcPr>
            <w:tcW w:w="4568" w:type="dxa"/>
            <w:vAlign w:val="center"/>
          </w:tcPr>
          <w:p w14:paraId="4F1B93AE">
            <w:pPr>
              <w:spacing w:line="312" w:lineRule="auto"/>
              <w:rPr>
                <w:rFonts w:ascii="宋体" w:cs="宋体"/>
                <w:color w:val="auto"/>
                <w:szCs w:val="21"/>
                <w:highlight w:val="none"/>
              </w:rPr>
            </w:pPr>
            <w:r>
              <w:rPr>
                <w:rFonts w:hint="eastAsia" w:ascii="宋体" w:hAnsi="宋体" w:cs="宋体"/>
                <w:color w:val="auto"/>
                <w:szCs w:val="21"/>
                <w:highlight w:val="none"/>
              </w:rPr>
              <w:t>合同（质量）履约按履约保证金年费率</w:t>
            </w:r>
            <w:r>
              <w:rPr>
                <w:rFonts w:ascii="宋体" w:hAnsi="宋体" w:cs="宋体"/>
                <w:color w:val="auto"/>
                <w:szCs w:val="21"/>
                <w:highlight w:val="none"/>
              </w:rPr>
              <w:t>0.2%</w:t>
            </w:r>
            <w:r>
              <w:rPr>
                <w:rFonts w:hint="eastAsia" w:ascii="宋体" w:hAnsi="宋体" w:cs="宋体"/>
                <w:color w:val="auto"/>
                <w:szCs w:val="21"/>
                <w:highlight w:val="none"/>
              </w:rPr>
              <w:t>，每单保函最低保险费为</w:t>
            </w:r>
            <w:r>
              <w:rPr>
                <w:rFonts w:ascii="宋体" w:hAnsi="宋体" w:cs="宋体"/>
                <w:color w:val="auto"/>
                <w:szCs w:val="21"/>
                <w:highlight w:val="none"/>
              </w:rPr>
              <w:t>800</w:t>
            </w:r>
            <w:r>
              <w:rPr>
                <w:rFonts w:hint="eastAsia" w:ascii="宋体" w:hAnsi="宋体" w:cs="宋体"/>
                <w:color w:val="auto"/>
                <w:szCs w:val="21"/>
                <w:highlight w:val="none"/>
              </w:rPr>
              <w:t>元。</w:t>
            </w:r>
          </w:p>
        </w:tc>
        <w:tc>
          <w:tcPr>
            <w:tcW w:w="1728" w:type="dxa"/>
            <w:vAlign w:val="center"/>
          </w:tcPr>
          <w:p w14:paraId="233B0293">
            <w:pPr>
              <w:jc w:val="left"/>
              <w:rPr>
                <w:rFonts w:ascii="宋体" w:cs="宋体"/>
                <w:color w:val="auto"/>
                <w:szCs w:val="21"/>
                <w:highlight w:val="none"/>
              </w:rPr>
            </w:pPr>
            <w:r>
              <w:rPr>
                <w:rFonts w:hint="eastAsia" w:ascii="宋体" w:hAnsi="宋体" w:cs="宋体"/>
                <w:color w:val="auto"/>
                <w:szCs w:val="21"/>
                <w:highlight w:val="none"/>
              </w:rPr>
              <w:t>冯婳婳</w:t>
            </w:r>
            <w:r>
              <w:rPr>
                <w:rFonts w:ascii="宋体" w:hAnsi="宋体" w:cs="宋体"/>
                <w:color w:val="auto"/>
                <w:szCs w:val="21"/>
                <w:highlight w:val="none"/>
              </w:rPr>
              <w:t>13586233988</w:t>
            </w:r>
          </w:p>
        </w:tc>
      </w:tr>
    </w:tbl>
    <w:p w14:paraId="094AE5D0">
      <w:pPr>
        <w:pStyle w:val="56"/>
        <w:rPr>
          <w:rFonts w:ascii="宋体" w:cs="宋体"/>
          <w:b/>
          <w:bCs/>
          <w:color w:val="auto"/>
          <w:sz w:val="24"/>
          <w:highlight w:val="none"/>
        </w:rPr>
      </w:pPr>
    </w:p>
    <w:p w14:paraId="2B1201D5">
      <w:pPr>
        <w:rPr>
          <w:rFonts w:ascii="宋体" w:cs="宋体"/>
          <w:color w:val="auto"/>
          <w:sz w:val="24"/>
          <w:highlight w:val="none"/>
        </w:rPr>
      </w:pPr>
      <w:bookmarkStart w:id="26" w:name="_Toc3040"/>
      <w:bookmarkStart w:id="27" w:name="_Toc528927414"/>
      <w:r>
        <w:rPr>
          <w:rFonts w:ascii="宋体" w:cs="宋体"/>
          <w:color w:val="auto"/>
          <w:sz w:val="24"/>
          <w:highlight w:val="none"/>
        </w:rPr>
        <w:br w:type="page"/>
      </w:r>
    </w:p>
    <w:p w14:paraId="0DE776F1">
      <w:pPr>
        <w:pStyle w:val="4"/>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一、总则</w:t>
      </w:r>
      <w:bookmarkEnd w:id="26"/>
      <w:bookmarkEnd w:id="27"/>
    </w:p>
    <w:p w14:paraId="294A30CC">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bookmarkStart w:id="28" w:name="_Toc24302"/>
      <w:bookmarkStart w:id="29" w:name="_Toc359860079"/>
      <w:bookmarkStart w:id="30" w:name="_Toc263676373"/>
      <w:bookmarkStart w:id="31" w:name="_Toc3761"/>
      <w:bookmarkStart w:id="32" w:name="_Toc282640696"/>
      <w:bookmarkStart w:id="33" w:name="_Toc479667345"/>
      <w:bookmarkStart w:id="34" w:name="_Toc482195563"/>
      <w:bookmarkStart w:id="35" w:name="_Toc479667067"/>
      <w:r>
        <w:rPr>
          <w:rFonts w:hint="eastAsia" w:ascii="宋体" w:hAnsi="宋体" w:cs="宋体"/>
          <w:b/>
          <w:color w:val="auto"/>
          <w:szCs w:val="21"/>
          <w:highlight w:val="none"/>
        </w:rPr>
        <w:t>采购依据</w:t>
      </w:r>
    </w:p>
    <w:p w14:paraId="54AB1108">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本次采购工作是按照《中华人民共和国政府采购法》、《中华人民共和国政府采购法实施条例》、《政府采购竞争性磋商采购方式管理暂行办法》等有关法律、法规、规章、文件等规定组织和实施。</w:t>
      </w:r>
    </w:p>
    <w:p w14:paraId="49381A82">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适用范围</w:t>
      </w:r>
      <w:bookmarkEnd w:id="28"/>
      <w:bookmarkEnd w:id="29"/>
      <w:bookmarkEnd w:id="30"/>
      <w:bookmarkEnd w:id="31"/>
    </w:p>
    <w:bookmarkEnd w:id="32"/>
    <w:bookmarkEnd w:id="33"/>
    <w:bookmarkEnd w:id="34"/>
    <w:bookmarkEnd w:id="35"/>
    <w:p w14:paraId="5A7551C7">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本采购文件仅适用于本次竞争性磋商采购所叙述的工程、货物和服务（法律、法规另有规定的，从其规定）。</w:t>
      </w:r>
    </w:p>
    <w:p w14:paraId="0CD1792A">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本项目名称见“磋商须知前附表”。</w:t>
      </w:r>
    </w:p>
    <w:p w14:paraId="3A10B0FE">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本项目采购方式</w:t>
      </w:r>
    </w:p>
    <w:p w14:paraId="11AC50CD">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竞争性磋商采购方式是指采购人、采购代理机构通过组建竞争性磋商小组（以下简称磋商小组）与符合条件的供应商就采购货物、工程和服务事宜进行磋商，供应商按照采购文件的要求提交响应文件和报价，采购人从磋商小组评审后提出的候选供应商名单中确定成交供应商的采购方式。</w:t>
      </w:r>
    </w:p>
    <w:p w14:paraId="57438372">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本项目的采购内容：详见“磋商须知前附表”。</w:t>
      </w:r>
    </w:p>
    <w:p w14:paraId="3A55FA6D">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bookmarkStart w:id="36" w:name="_Toc482195564"/>
      <w:bookmarkStart w:id="37" w:name="_Toc479667346"/>
      <w:bookmarkStart w:id="38" w:name="_Toc479667068"/>
      <w:bookmarkStart w:id="39" w:name="_Toc282640697"/>
      <w:r>
        <w:rPr>
          <w:rFonts w:hint="eastAsia" w:ascii="宋体" w:hAnsi="宋体" w:cs="宋体"/>
          <w:b/>
          <w:color w:val="auto"/>
          <w:szCs w:val="21"/>
          <w:highlight w:val="none"/>
        </w:rPr>
        <w:t>定义</w:t>
      </w:r>
      <w:bookmarkEnd w:id="36"/>
      <w:bookmarkEnd w:id="37"/>
      <w:bookmarkEnd w:id="38"/>
      <w:bookmarkEnd w:id="39"/>
    </w:p>
    <w:p w14:paraId="42D93C9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电子交易活动：是指以数据电文形式，依托政府采购项目电子交易平台进行的政府采购交易活动</w:t>
      </w:r>
    </w:p>
    <w:p w14:paraId="2765AE1E">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采购人：是指依法进行政府采购的国家机关、事业单位、团体组织，见“磋商须知前附表”，本文件中招标人与采购人意思相同。</w:t>
      </w:r>
    </w:p>
    <w:p w14:paraId="797DB2BC">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采购代理机构：受采购人委托，在委托的范围内办理政府采购事宜的机构，见“磋商须知前附表”；</w:t>
      </w:r>
      <w:r>
        <w:rPr>
          <w:rFonts w:ascii="宋体" w:hAnsi="宋体" w:cs="宋体"/>
          <w:color w:val="auto"/>
          <w:szCs w:val="21"/>
          <w:highlight w:val="none"/>
        </w:rPr>
        <w:t xml:space="preserve"> </w:t>
      </w:r>
    </w:p>
    <w:p w14:paraId="6684E37B">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采购组织机构：指采购人和受采购人委托的采购代理机构；</w:t>
      </w:r>
      <w:r>
        <w:rPr>
          <w:rFonts w:ascii="宋体" w:hAnsi="宋体" w:cs="宋体"/>
          <w:color w:val="auto"/>
          <w:szCs w:val="21"/>
          <w:highlight w:val="none"/>
        </w:rPr>
        <w:t xml:space="preserve"> </w:t>
      </w:r>
    </w:p>
    <w:p w14:paraId="5A16574E">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供应商：是指参加本政府采购项目磋商、签订合同、实施的单位，按阶段不同，分别理解为潜在供应商、磋商供应商、成交候选供应商、成交供应商、乙方；</w:t>
      </w:r>
      <w:r>
        <w:rPr>
          <w:rFonts w:ascii="宋体" w:hAnsi="宋体" w:cs="宋体"/>
          <w:color w:val="auto"/>
          <w:szCs w:val="21"/>
          <w:highlight w:val="none"/>
        </w:rPr>
        <w:t xml:space="preserve"> </w:t>
      </w:r>
    </w:p>
    <w:p w14:paraId="2DEC0E9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竞争性磋商采购文件：指向供应商发出的采购需求文件，本文件中采购文件与竞争性磋商采购文件意思相同；</w:t>
      </w:r>
      <w:r>
        <w:rPr>
          <w:rFonts w:ascii="宋体" w:hAnsi="宋体" w:cs="宋体"/>
          <w:color w:val="auto"/>
          <w:szCs w:val="21"/>
          <w:highlight w:val="none"/>
        </w:rPr>
        <w:t xml:space="preserve"> </w:t>
      </w:r>
    </w:p>
    <w:p w14:paraId="4560C5FC">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r>
        <w:rPr>
          <w:rFonts w:ascii="宋体" w:hAnsi="宋体" w:cs="宋体"/>
          <w:color w:val="auto"/>
          <w:szCs w:val="21"/>
          <w:highlight w:val="none"/>
        </w:rPr>
        <w:t xml:space="preserve"> </w:t>
      </w:r>
    </w:p>
    <w:p w14:paraId="631F753B">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磋商代表：是指参加本项目采购活动的供应商法定代表人或法定代表人授权代表；</w:t>
      </w:r>
      <w:r>
        <w:rPr>
          <w:rFonts w:ascii="宋体" w:hAnsi="宋体" w:cs="宋体"/>
          <w:color w:val="auto"/>
          <w:szCs w:val="21"/>
          <w:highlight w:val="none"/>
        </w:rPr>
        <w:t xml:space="preserve"> </w:t>
      </w:r>
    </w:p>
    <w:p w14:paraId="6724CB72">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联合体：是指两个以上单位组成联合体，以一个供应商的身份参加磋商；</w:t>
      </w:r>
      <w:r>
        <w:rPr>
          <w:rFonts w:ascii="宋体" w:hAnsi="宋体" w:cs="宋体"/>
          <w:color w:val="auto"/>
          <w:szCs w:val="21"/>
          <w:highlight w:val="none"/>
        </w:rPr>
        <w:t xml:space="preserve"> </w:t>
      </w:r>
    </w:p>
    <w:p w14:paraId="632BD912">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甲方（发包人）：是指合同签订的一方，一般与采购人相同；</w:t>
      </w:r>
      <w:r>
        <w:rPr>
          <w:rFonts w:ascii="宋体" w:hAnsi="宋体" w:cs="宋体"/>
          <w:color w:val="auto"/>
          <w:szCs w:val="21"/>
          <w:highlight w:val="none"/>
        </w:rPr>
        <w:t xml:space="preserve"> </w:t>
      </w:r>
    </w:p>
    <w:p w14:paraId="4EBF024D">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乙方（承包人）：是指合同签订的另一方，与成交供应商相同；</w:t>
      </w:r>
      <w:r>
        <w:rPr>
          <w:rFonts w:ascii="宋体" w:hAnsi="宋体" w:cs="宋体"/>
          <w:color w:val="auto"/>
          <w:szCs w:val="21"/>
          <w:highlight w:val="none"/>
        </w:rPr>
        <w:t xml:space="preserve"> </w:t>
      </w:r>
    </w:p>
    <w:p w14:paraId="18C26A8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同级政府采购监督管理部门：仙居县财政局政府采购监管处；</w:t>
      </w:r>
      <w:r>
        <w:rPr>
          <w:rFonts w:ascii="宋体" w:hAnsi="宋体" w:cs="宋体"/>
          <w:color w:val="auto"/>
          <w:szCs w:val="21"/>
          <w:highlight w:val="none"/>
        </w:rPr>
        <w:t xml:space="preserve"> </w:t>
      </w:r>
    </w:p>
    <w:p w14:paraId="33A0E6F1">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中小企业（含中型、小型、微型）：符合中小企业划分标准（工信部联企业</w:t>
      </w:r>
      <w:r>
        <w:rPr>
          <w:rFonts w:ascii="宋体" w:hAnsi="宋体" w:cs="宋体"/>
          <w:color w:val="auto"/>
          <w:szCs w:val="21"/>
          <w:highlight w:val="none"/>
        </w:rPr>
        <w:t>[2011]300</w:t>
      </w:r>
      <w:r>
        <w:rPr>
          <w:rFonts w:hint="eastAsia" w:ascii="宋体" w:hAnsi="宋体" w:cs="宋体"/>
          <w:color w:val="auto"/>
          <w:szCs w:val="21"/>
          <w:highlight w:val="none"/>
        </w:rPr>
        <w:t>号）的企业；</w:t>
      </w:r>
      <w:r>
        <w:rPr>
          <w:rFonts w:ascii="宋体" w:hAnsi="宋体" w:cs="宋体"/>
          <w:color w:val="auto"/>
          <w:szCs w:val="21"/>
          <w:highlight w:val="none"/>
        </w:rPr>
        <w:t xml:space="preserve"> </w:t>
      </w:r>
    </w:p>
    <w:p w14:paraId="0BBD6068">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A2808D7">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残疾人福利性单位：符合《财政部、民政部、中国残疾人联合会关于促进残疾人就业政府采购政策的通知》（财库〔</w:t>
      </w:r>
      <w:r>
        <w:rPr>
          <w:rFonts w:ascii="宋体" w:hAnsi="宋体" w:cs="宋体"/>
          <w:color w:val="auto"/>
          <w:szCs w:val="21"/>
          <w:highlight w:val="none"/>
        </w:rPr>
        <w:t>2017</w:t>
      </w:r>
      <w:r>
        <w:rPr>
          <w:rFonts w:hint="eastAsia" w:ascii="宋体" w:hAnsi="宋体" w:cs="宋体"/>
          <w:color w:val="auto"/>
          <w:szCs w:val="21"/>
          <w:highlight w:val="none"/>
        </w:rPr>
        <w:t>〕</w:t>
      </w:r>
      <w:r>
        <w:rPr>
          <w:rFonts w:ascii="宋体" w:hAnsi="宋体" w:cs="宋体"/>
          <w:color w:val="auto"/>
          <w:szCs w:val="21"/>
          <w:highlight w:val="none"/>
        </w:rPr>
        <w:t>141</w:t>
      </w:r>
      <w:r>
        <w:rPr>
          <w:rFonts w:hint="eastAsia" w:ascii="宋体" w:hAnsi="宋体" w:cs="宋体"/>
          <w:color w:val="auto"/>
          <w:szCs w:val="21"/>
          <w:highlight w:val="none"/>
        </w:rPr>
        <w:t>号）的规定的单位；</w:t>
      </w:r>
      <w:r>
        <w:rPr>
          <w:rFonts w:ascii="宋体" w:hAnsi="宋体" w:cs="宋体"/>
          <w:color w:val="auto"/>
          <w:szCs w:val="21"/>
          <w:highlight w:val="none"/>
        </w:rPr>
        <w:t xml:space="preserve"> </w:t>
      </w:r>
    </w:p>
    <w:p w14:paraId="4C2518C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产品：是指供应商按采购文件规定，须向采购单位提供的一切设备、保险、税金、备品备件、工具、手册及其它有关技术资料和材料。</w:t>
      </w:r>
    </w:p>
    <w:p w14:paraId="2FC782AF">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服务：是指按竞争性磋商采购文件要求的服务。</w:t>
      </w:r>
    </w:p>
    <w:p w14:paraId="491E3D0E">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项目：是指磋商响应方按采购文件规定向采购人提供的产品和服务。</w:t>
      </w:r>
    </w:p>
    <w:p w14:paraId="5F2FF871">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bookmarkStart w:id="40" w:name="_Toc482195566"/>
      <w:bookmarkStart w:id="41" w:name="_Toc479667348"/>
      <w:bookmarkStart w:id="42" w:name="_Toc479667070"/>
      <w:r>
        <w:rPr>
          <w:rFonts w:hint="eastAsia" w:ascii="宋体" w:hAnsi="宋体" w:cs="宋体"/>
          <w:color w:val="auto"/>
          <w:szCs w:val="21"/>
          <w:highlight w:val="none"/>
        </w:rPr>
        <w:t>书面形式：是指合同书、信件和数据电文</w:t>
      </w:r>
      <w:r>
        <w:rPr>
          <w:rFonts w:ascii="宋体" w:hAnsi="宋体" w:cs="宋体"/>
          <w:color w:val="auto"/>
          <w:szCs w:val="21"/>
          <w:highlight w:val="none"/>
        </w:rPr>
        <w:t>(</w:t>
      </w:r>
      <w:r>
        <w:rPr>
          <w:rFonts w:hint="eastAsia" w:ascii="宋体" w:hAnsi="宋体" w:cs="宋体"/>
          <w:color w:val="auto"/>
          <w:szCs w:val="21"/>
          <w:highlight w:val="none"/>
        </w:rPr>
        <w:t>包括电报、电传、传真、电子数据交换和电子邮件</w:t>
      </w:r>
      <w:r>
        <w:rPr>
          <w:rFonts w:ascii="宋体" w:hAnsi="宋体" w:cs="宋体"/>
          <w:color w:val="auto"/>
          <w:szCs w:val="21"/>
          <w:highlight w:val="none"/>
        </w:rPr>
        <w:t>)</w:t>
      </w:r>
      <w:r>
        <w:rPr>
          <w:rFonts w:hint="eastAsia" w:ascii="宋体" w:hAnsi="宋体" w:cs="宋体"/>
          <w:color w:val="auto"/>
          <w:szCs w:val="21"/>
          <w:highlight w:val="none"/>
        </w:rPr>
        <w:t>等可以有形地表现所载内容的形式。</w:t>
      </w:r>
    </w:p>
    <w:p w14:paraId="37AACE0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商务与技术响应：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587F5FA3">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费用</w:t>
      </w:r>
      <w:bookmarkEnd w:id="40"/>
      <w:bookmarkEnd w:id="41"/>
      <w:bookmarkEnd w:id="42"/>
    </w:p>
    <w:p w14:paraId="335E93D6">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无论采购活动中的做法和结果如何，供应商自行承担采购活动中所发生的全部费用（采购文件有其他规定的除外）。</w:t>
      </w:r>
    </w:p>
    <w:p w14:paraId="75A3016E">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bookmarkStart w:id="43" w:name="_Toc482195567"/>
      <w:bookmarkStart w:id="44" w:name="_Toc479667349"/>
      <w:bookmarkStart w:id="45" w:name="_Toc479667071"/>
      <w:r>
        <w:rPr>
          <w:rFonts w:hint="eastAsia" w:ascii="宋体" w:hAnsi="宋体" w:cs="宋体"/>
          <w:b/>
          <w:color w:val="auto"/>
          <w:szCs w:val="21"/>
          <w:highlight w:val="none"/>
        </w:rPr>
        <w:t>联合体</w:t>
      </w:r>
      <w:bookmarkEnd w:id="43"/>
      <w:bookmarkEnd w:id="44"/>
      <w:bookmarkEnd w:id="45"/>
    </w:p>
    <w:p w14:paraId="1C3CD55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w:t>
      </w:r>
    </w:p>
    <w:p w14:paraId="43913439">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bookmarkStart w:id="46" w:name="_Toc479667350"/>
      <w:bookmarkStart w:id="47" w:name="_Toc479667072"/>
      <w:bookmarkStart w:id="48" w:name="_Toc482195568"/>
      <w:r>
        <w:rPr>
          <w:rFonts w:hint="eastAsia" w:ascii="宋体" w:hAnsi="宋体" w:cs="宋体"/>
          <w:b/>
          <w:color w:val="auto"/>
          <w:szCs w:val="21"/>
          <w:highlight w:val="none"/>
        </w:rPr>
        <w:t>保密</w:t>
      </w:r>
    </w:p>
    <w:p w14:paraId="2B850E4F">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参与采购活动的各方应对采购文件和磋商响应文件中的商业和技术等秘密保密，违者应对此造成的后果承担法律责任。</w:t>
      </w:r>
      <w:r>
        <w:rPr>
          <w:rFonts w:ascii="宋体" w:hAnsi="宋体" w:cs="宋体"/>
          <w:color w:val="auto"/>
          <w:szCs w:val="21"/>
          <w:highlight w:val="none"/>
        </w:rPr>
        <w:t xml:space="preserve"> </w:t>
      </w:r>
    </w:p>
    <w:p w14:paraId="52DD1AD2">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语言文字</w:t>
      </w:r>
      <w:r>
        <w:rPr>
          <w:rFonts w:ascii="宋体" w:hAnsi="宋体" w:cs="宋体"/>
          <w:b/>
          <w:color w:val="auto"/>
          <w:szCs w:val="21"/>
          <w:highlight w:val="none"/>
        </w:rPr>
        <w:t xml:space="preserve"> </w:t>
      </w:r>
    </w:p>
    <w:p w14:paraId="7B32356A">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除专用术语外，与采购有关的语言使用中文。专用术语应附有中文注释。</w:t>
      </w:r>
      <w:r>
        <w:rPr>
          <w:rFonts w:ascii="宋体" w:hAnsi="宋体" w:cs="宋体"/>
          <w:bCs/>
          <w:color w:val="auto"/>
          <w:szCs w:val="21"/>
          <w:highlight w:val="none"/>
        </w:rPr>
        <w:t xml:space="preserve"> </w:t>
      </w:r>
    </w:p>
    <w:p w14:paraId="47EF820E">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计量单位</w:t>
      </w:r>
      <w:r>
        <w:rPr>
          <w:rFonts w:ascii="宋体" w:hAnsi="宋体" w:cs="宋体"/>
          <w:b/>
          <w:color w:val="auto"/>
          <w:szCs w:val="21"/>
          <w:highlight w:val="none"/>
        </w:rPr>
        <w:t xml:space="preserve"> </w:t>
      </w:r>
    </w:p>
    <w:p w14:paraId="7E76D93D">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所有计量均采用中华人民共和国法定计量单位。</w:t>
      </w:r>
      <w:r>
        <w:rPr>
          <w:rFonts w:ascii="宋体" w:hAnsi="宋体" w:cs="宋体"/>
          <w:bCs/>
          <w:color w:val="auto"/>
          <w:szCs w:val="21"/>
          <w:highlight w:val="none"/>
        </w:rPr>
        <w:t xml:space="preserve"> </w:t>
      </w:r>
    </w:p>
    <w:p w14:paraId="31F5AD40">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踏勘现场</w:t>
      </w:r>
      <w:r>
        <w:rPr>
          <w:rFonts w:ascii="宋体" w:hAnsi="宋体" w:cs="宋体"/>
          <w:b/>
          <w:color w:val="auto"/>
          <w:szCs w:val="21"/>
          <w:highlight w:val="none"/>
        </w:rPr>
        <w:t xml:space="preserve"> </w:t>
      </w:r>
    </w:p>
    <w:p w14:paraId="44D6B115">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若“磋商须知前附表”规定组织踏勘现场的，采购人按磋商须知前附表规定的时间、地点组织供应商踏勘项目现场。</w:t>
      </w:r>
      <w:r>
        <w:rPr>
          <w:rFonts w:ascii="宋体" w:hAnsi="宋体" w:cs="宋体"/>
          <w:bCs/>
          <w:color w:val="auto"/>
          <w:szCs w:val="21"/>
          <w:highlight w:val="none"/>
        </w:rPr>
        <w:t xml:space="preserve"> </w:t>
      </w:r>
    </w:p>
    <w:p w14:paraId="12675270">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供应商踏勘现场发生的费用自理。</w:t>
      </w:r>
      <w:r>
        <w:rPr>
          <w:rFonts w:ascii="宋体" w:hAnsi="宋体" w:cs="宋体"/>
          <w:bCs/>
          <w:color w:val="auto"/>
          <w:szCs w:val="21"/>
          <w:highlight w:val="none"/>
        </w:rPr>
        <w:t xml:space="preserve"> </w:t>
      </w:r>
    </w:p>
    <w:p w14:paraId="718CA4B6">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除采购人的原因外，供应商自行负责在踏勘现场中所发生的人员伤亡和财产损失。</w:t>
      </w:r>
      <w:r>
        <w:rPr>
          <w:rFonts w:ascii="宋体" w:hAnsi="宋体" w:cs="宋体"/>
          <w:bCs/>
          <w:color w:val="auto"/>
          <w:szCs w:val="21"/>
          <w:highlight w:val="none"/>
        </w:rPr>
        <w:t xml:space="preserve"> </w:t>
      </w:r>
    </w:p>
    <w:p w14:paraId="3B0CA278">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采购人在踏勘现场中介绍的工程场地和相关的周边环境情况，供供应商在编制磋商响应文件时参考，采购人不对供应商据此作出的判断和决策负责。</w:t>
      </w:r>
      <w:r>
        <w:rPr>
          <w:rFonts w:ascii="宋体" w:hAnsi="宋体" w:cs="宋体"/>
          <w:bCs/>
          <w:color w:val="auto"/>
          <w:szCs w:val="21"/>
          <w:highlight w:val="none"/>
        </w:rPr>
        <w:t xml:space="preserve"> </w:t>
      </w:r>
    </w:p>
    <w:p w14:paraId="73389135">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答疑会</w:t>
      </w:r>
      <w:r>
        <w:rPr>
          <w:rFonts w:ascii="宋体" w:hAnsi="宋体" w:cs="宋体"/>
          <w:b/>
          <w:color w:val="auto"/>
          <w:szCs w:val="21"/>
          <w:highlight w:val="none"/>
        </w:rPr>
        <w:t xml:space="preserve"> </w:t>
      </w:r>
    </w:p>
    <w:p w14:paraId="1603744E">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若“磋商须知前附表”规定召开答疑会的，采购人按磋商须知前附表规定的时间和地点召开答疑会，澄清供应商提出的问题。</w:t>
      </w:r>
      <w:r>
        <w:rPr>
          <w:rFonts w:ascii="宋体" w:hAnsi="宋体" w:cs="宋体"/>
          <w:bCs/>
          <w:color w:val="auto"/>
          <w:szCs w:val="21"/>
          <w:highlight w:val="none"/>
        </w:rPr>
        <w:t xml:space="preserve"> </w:t>
      </w:r>
    </w:p>
    <w:p w14:paraId="623A9819">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供应商应在答疑会时间的前一天，以书面形式将提出的问题送达采购人，以便采购人在会议期间澄清。</w:t>
      </w:r>
    </w:p>
    <w:p w14:paraId="0EAE407E">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答疑会后，采购人按本章</w:t>
      </w:r>
      <w:r>
        <w:rPr>
          <w:rFonts w:ascii="宋体" w:hAnsi="宋体" w:cs="宋体"/>
          <w:bCs/>
          <w:color w:val="auto"/>
          <w:szCs w:val="21"/>
          <w:highlight w:val="none"/>
        </w:rPr>
        <w:t>20.3</w:t>
      </w:r>
      <w:r>
        <w:rPr>
          <w:rFonts w:hint="eastAsia" w:ascii="宋体" w:hAnsi="宋体" w:cs="宋体"/>
          <w:bCs/>
          <w:color w:val="auto"/>
          <w:szCs w:val="21"/>
          <w:highlight w:val="none"/>
        </w:rPr>
        <w:t>款规定对供应商所提问题进行澄清答复。</w:t>
      </w:r>
      <w:r>
        <w:rPr>
          <w:rFonts w:ascii="宋体" w:hAnsi="宋体" w:cs="宋体"/>
          <w:bCs/>
          <w:color w:val="auto"/>
          <w:szCs w:val="21"/>
          <w:highlight w:val="none"/>
        </w:rPr>
        <w:t xml:space="preserve"> </w:t>
      </w:r>
    </w:p>
    <w:p w14:paraId="4B167886">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分包</w:t>
      </w:r>
      <w:bookmarkEnd w:id="46"/>
      <w:bookmarkEnd w:id="47"/>
      <w:bookmarkEnd w:id="48"/>
    </w:p>
    <w:p w14:paraId="0B9EA8F1">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分包要求详见“磋商须知前附表”。</w:t>
      </w:r>
    </w:p>
    <w:p w14:paraId="50D24C07">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偏离</w:t>
      </w:r>
    </w:p>
    <w:p w14:paraId="5D0C6840">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带“▲”条款为实质性响应条款，必须响应。</w:t>
      </w:r>
    </w:p>
    <w:p w14:paraId="3B9FDFAE">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bookmarkStart w:id="49" w:name="_Toc479667073"/>
      <w:bookmarkStart w:id="50" w:name="_Toc479667351"/>
      <w:bookmarkStart w:id="51" w:name="_Toc482195569"/>
      <w:r>
        <w:rPr>
          <w:rFonts w:hint="eastAsia" w:ascii="宋体" w:hAnsi="宋体" w:cs="宋体"/>
          <w:b/>
          <w:color w:val="auto"/>
          <w:szCs w:val="21"/>
          <w:highlight w:val="none"/>
        </w:rPr>
        <w:t>特别说明：</w:t>
      </w:r>
      <w:bookmarkEnd w:id="49"/>
      <w:bookmarkEnd w:id="50"/>
      <w:bookmarkEnd w:id="51"/>
    </w:p>
    <w:p w14:paraId="577CE4A7">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供应商参加同一合同项下磋商的，按一家供应商计算，评审后得分最高的同品牌供应商获得中标人推荐资格；评审得分相同的，按照采购文件“</w:t>
      </w:r>
      <w:r>
        <w:rPr>
          <w:color w:val="auto"/>
          <w:highlight w:val="none"/>
        </w:rPr>
        <w:fldChar w:fldCharType="begin"/>
      </w:r>
      <w:r>
        <w:rPr>
          <w:color w:val="auto"/>
          <w:highlight w:val="none"/>
        </w:rPr>
        <w:instrText xml:space="preserve"> HYPERLINK \l "_三、确定中标候选人" </w:instrText>
      </w:r>
      <w:r>
        <w:rPr>
          <w:color w:val="auto"/>
          <w:highlight w:val="none"/>
        </w:rPr>
        <w:fldChar w:fldCharType="separate"/>
      </w:r>
      <w:r>
        <w:rPr>
          <w:rFonts w:hint="eastAsia" w:ascii="宋体" w:hAnsi="宋体" w:cs="宋体"/>
          <w:color w:val="auto"/>
          <w:szCs w:val="21"/>
          <w:highlight w:val="none"/>
        </w:rPr>
        <w:t>第四章磋商评审办法</w:t>
      </w:r>
      <w:r>
        <w:rPr>
          <w:rFonts w:hint="eastAsia" w:ascii="宋体" w:hAnsi="宋体" w:cs="宋体"/>
          <w:color w:val="auto"/>
          <w:szCs w:val="21"/>
          <w:highlight w:val="none"/>
        </w:rPr>
        <w:fldChar w:fldCharType="end"/>
      </w:r>
      <w:r>
        <w:rPr>
          <w:rFonts w:hint="eastAsia" w:ascii="宋体" w:hAnsi="宋体" w:cs="宋体"/>
          <w:color w:val="auto"/>
          <w:szCs w:val="21"/>
          <w:highlight w:val="none"/>
        </w:rPr>
        <w:t>”中有关条款规定的方式推荐中标候选人，其他同品牌供应商不作为中标候选人。</w:t>
      </w:r>
    </w:p>
    <w:p w14:paraId="75A48267">
      <w:pPr>
        <w:pStyle w:val="57"/>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非单一产品采购项目，多家供应商提供的核心产品品牌相同的，按前款规定处理。核心产品由采购人在采购文件采购需求中指定。</w:t>
      </w:r>
    </w:p>
    <w:p w14:paraId="388B65BA">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供应商母公司（总机构）或者同一母公司下属的其他子公司（同一总机构下属的其他分支机构）的人员、业绩、荣誉、知识产权、项目案例等不作为供应商的资信文件。</w:t>
      </w:r>
    </w:p>
    <w:p w14:paraId="43FDCA9E">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u w:val="single"/>
        </w:rPr>
        <w:t>供应商磋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6FC804D9">
      <w:pPr>
        <w:pStyle w:val="57"/>
        <w:tabs>
          <w:tab w:val="left" w:pos="0"/>
          <w:tab w:val="left" w:pos="420"/>
        </w:tabs>
        <w:autoSpaceDE w:val="0"/>
        <w:autoSpaceDN w:val="0"/>
        <w:spacing w:line="360" w:lineRule="auto"/>
        <w:ind w:firstLine="422"/>
        <w:textAlignment w:val="bottom"/>
        <w:outlineLvl w:val="2"/>
        <w:rPr>
          <w:rFonts w:ascii="宋体" w:cs="宋体"/>
          <w:color w:val="auto"/>
          <w:szCs w:val="21"/>
          <w:highlight w:val="none"/>
        </w:rPr>
      </w:pPr>
      <w:r>
        <w:rPr>
          <w:rFonts w:hint="eastAsia" w:ascii="宋体" w:hAnsi="宋体" w:cs="宋体"/>
          <w:b/>
          <w:color w:val="auto"/>
          <w:szCs w:val="21"/>
          <w:highlight w:val="none"/>
        </w:rPr>
        <w:t>磋商供应商对响应产品或服务的技术参数真实性承担法律责任。</w:t>
      </w:r>
      <w:r>
        <w:rPr>
          <w:rFonts w:hint="eastAsia" w:ascii="宋体" w:hAnsi="宋体" w:cs="宋体"/>
          <w:color w:val="auto"/>
          <w:szCs w:val="21"/>
          <w:highlight w:val="none"/>
        </w:rPr>
        <w:t>项目磋商结束后、质疑期限内，如有质疑供应商认为成交供应商响应产品或服务、磋商响应文件技术参数与采购需求存在重大偏离、错误、甚至造假的情况，应提供具体有效的证明材料。</w:t>
      </w:r>
    </w:p>
    <w:p w14:paraId="075BD5B9">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供应商在采购活动中提供任何虚假材料</w:t>
      </w:r>
      <w:r>
        <w:rPr>
          <w:rFonts w:ascii="宋体" w:cs="宋体"/>
          <w:color w:val="auto"/>
          <w:szCs w:val="21"/>
          <w:highlight w:val="none"/>
        </w:rPr>
        <w:t>,</w:t>
      </w:r>
      <w:r>
        <w:rPr>
          <w:rFonts w:hint="eastAsia" w:ascii="宋体" w:hAnsi="宋体" w:cs="宋体"/>
          <w:color w:val="auto"/>
          <w:szCs w:val="21"/>
          <w:highlight w:val="none"/>
        </w:rPr>
        <w:t>其磋商无效，并报监管部门查处。成交后发现的</w:t>
      </w:r>
      <w:r>
        <w:rPr>
          <w:rFonts w:ascii="宋体" w:cs="宋体"/>
          <w:color w:val="auto"/>
          <w:szCs w:val="21"/>
          <w:highlight w:val="none"/>
        </w:rPr>
        <w:t>,</w:t>
      </w:r>
      <w:r>
        <w:rPr>
          <w:rFonts w:hint="eastAsia" w:ascii="宋体" w:hAnsi="宋体" w:cs="宋体"/>
          <w:color w:val="auto"/>
          <w:szCs w:val="21"/>
          <w:highlight w:val="none"/>
        </w:rPr>
        <w:t>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135EA34">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bookmarkStart w:id="52" w:name="_Toc482195570"/>
      <w:bookmarkStart w:id="53" w:name="_Toc479667352"/>
      <w:bookmarkStart w:id="54" w:name="_Toc479667074"/>
      <w:r>
        <w:rPr>
          <w:rFonts w:hint="eastAsia" w:ascii="宋体" w:hAnsi="宋体" w:cs="宋体"/>
          <w:color w:val="auto"/>
          <w:szCs w:val="21"/>
          <w:highlight w:val="none"/>
        </w:rPr>
        <w:t>根据《政府采购竞争性磋商采购方式管理暂行办法》财库〔</w:t>
      </w:r>
      <w:r>
        <w:rPr>
          <w:rFonts w:ascii="宋体" w:hAnsi="宋体" w:cs="宋体"/>
          <w:color w:val="auto"/>
          <w:szCs w:val="21"/>
          <w:highlight w:val="none"/>
        </w:rPr>
        <w:t>2014</w:t>
      </w:r>
      <w:r>
        <w:rPr>
          <w:rFonts w:hint="eastAsia" w:ascii="宋体" w:hAnsi="宋体" w:cs="宋体"/>
          <w:color w:val="auto"/>
          <w:szCs w:val="21"/>
          <w:highlight w:val="none"/>
        </w:rPr>
        <w:t>〕</w:t>
      </w:r>
      <w:r>
        <w:rPr>
          <w:rFonts w:ascii="宋体" w:hAnsi="宋体" w:cs="宋体"/>
          <w:color w:val="auto"/>
          <w:szCs w:val="21"/>
          <w:highlight w:val="none"/>
        </w:rPr>
        <w:t>214</w:t>
      </w:r>
      <w:r>
        <w:rPr>
          <w:rFonts w:hint="eastAsia" w:ascii="宋体" w:hAnsi="宋体" w:cs="宋体"/>
          <w:color w:val="auto"/>
          <w:szCs w:val="21"/>
          <w:highlight w:val="none"/>
        </w:rPr>
        <w:t>号第二十一条规定：磋商文件能够详细列明采购标的的技术、服务要求的，磋商结束后，磋商小组应当要求所有实质性响应的供应商在规定时间内提交最后报价，提交最后报价的供应商不得少于</w:t>
      </w:r>
      <w:r>
        <w:rPr>
          <w:rFonts w:ascii="宋体" w:hAnsi="宋体" w:cs="宋体"/>
          <w:color w:val="auto"/>
          <w:szCs w:val="21"/>
          <w:highlight w:val="none"/>
        </w:rPr>
        <w:t>3</w:t>
      </w:r>
      <w:r>
        <w:rPr>
          <w:rFonts w:hint="eastAsia" w:ascii="宋体" w:hAnsi="宋体" w:cs="宋体"/>
          <w:color w:val="auto"/>
          <w:szCs w:val="21"/>
          <w:highlight w:val="none"/>
        </w:rPr>
        <w:t>家。</w:t>
      </w:r>
    </w:p>
    <w:p w14:paraId="5475C164">
      <w:pPr>
        <w:pStyle w:val="57"/>
        <w:autoSpaceDE w:val="0"/>
        <w:autoSpaceDN w:val="0"/>
        <w:spacing w:line="360" w:lineRule="auto"/>
        <w:ind w:firstLine="422"/>
        <w:textAlignment w:val="bottom"/>
        <w:outlineLvl w:val="2"/>
        <w:rPr>
          <w:rFonts w:ascii="宋体" w:cs="宋体"/>
          <w:b/>
          <w:bCs/>
          <w:color w:val="auto"/>
          <w:highlight w:val="none"/>
          <w:u w:val="single"/>
        </w:rPr>
      </w:pPr>
      <w:r>
        <w:rPr>
          <w:rFonts w:hint="eastAsia" w:ascii="宋体" w:hAnsi="宋体" w:cs="宋体"/>
          <w:b/>
          <w:bCs/>
          <w:color w:val="auto"/>
          <w:szCs w:val="21"/>
          <w:highlight w:val="none"/>
          <w:u w:val="single"/>
        </w:rPr>
        <w:t>若符合以下情形之一在最终报价可以为</w:t>
      </w:r>
      <w:r>
        <w:rPr>
          <w:rFonts w:ascii="宋体" w:hAnsi="宋体" w:cs="宋体"/>
          <w:b/>
          <w:bCs/>
          <w:color w:val="auto"/>
          <w:szCs w:val="21"/>
          <w:highlight w:val="none"/>
          <w:u w:val="single"/>
        </w:rPr>
        <w:t>2</w:t>
      </w:r>
      <w:r>
        <w:rPr>
          <w:rFonts w:hint="eastAsia" w:ascii="宋体" w:hAnsi="宋体" w:cs="宋体"/>
          <w:b/>
          <w:bCs/>
          <w:color w:val="auto"/>
          <w:szCs w:val="21"/>
          <w:highlight w:val="none"/>
          <w:u w:val="single"/>
        </w:rPr>
        <w:t>家（但</w:t>
      </w:r>
      <w:r>
        <w:rPr>
          <w:rFonts w:hint="eastAsia" w:ascii="宋体" w:hAnsi="宋体" w:cs="宋体"/>
          <w:b/>
          <w:bCs/>
          <w:color w:val="auto"/>
          <w:highlight w:val="none"/>
          <w:u w:val="single"/>
        </w:rPr>
        <w:t>在进入磋商前符合资格条件并递交了响应文件的供应商不得少于</w:t>
      </w:r>
      <w:r>
        <w:rPr>
          <w:rFonts w:ascii="宋体" w:hAnsi="宋体" w:cs="宋体"/>
          <w:b/>
          <w:bCs/>
          <w:color w:val="auto"/>
          <w:highlight w:val="none"/>
          <w:u w:val="single"/>
        </w:rPr>
        <w:t>3</w:t>
      </w:r>
      <w:r>
        <w:rPr>
          <w:rFonts w:hint="eastAsia" w:ascii="宋体" w:hAnsi="宋体" w:cs="宋体"/>
          <w:b/>
          <w:bCs/>
          <w:color w:val="auto"/>
          <w:highlight w:val="none"/>
          <w:u w:val="single"/>
        </w:rPr>
        <w:t>家，否则采购活动不能继续）：</w:t>
      </w:r>
    </w:p>
    <w:p w14:paraId="59836120">
      <w:pPr>
        <w:pStyle w:val="57"/>
        <w:numPr>
          <w:ilvl w:val="0"/>
          <w:numId w:val="5"/>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根据《政府采购竞争性磋商采购方式管理暂行办法》财库〔</w:t>
      </w:r>
      <w:r>
        <w:rPr>
          <w:rFonts w:ascii="宋体" w:hAnsi="宋体" w:cs="宋体"/>
          <w:color w:val="auto"/>
          <w:szCs w:val="21"/>
          <w:highlight w:val="none"/>
        </w:rPr>
        <w:t>2014</w:t>
      </w:r>
      <w:r>
        <w:rPr>
          <w:rFonts w:hint="eastAsia" w:ascii="宋体" w:hAnsi="宋体" w:cs="宋体"/>
          <w:color w:val="auto"/>
          <w:szCs w:val="21"/>
          <w:highlight w:val="none"/>
        </w:rPr>
        <w:t>〕</w:t>
      </w:r>
      <w:r>
        <w:rPr>
          <w:rFonts w:ascii="宋体" w:hAnsi="宋体" w:cs="宋体"/>
          <w:color w:val="auto"/>
          <w:szCs w:val="21"/>
          <w:highlight w:val="none"/>
        </w:rPr>
        <w:t>214</w:t>
      </w:r>
      <w:r>
        <w:rPr>
          <w:rFonts w:hint="eastAsia" w:ascii="宋体" w:hAnsi="宋体" w:cs="宋体"/>
          <w:color w:val="auto"/>
          <w:szCs w:val="21"/>
          <w:highlight w:val="none"/>
        </w:rPr>
        <w:t>号第二十一条规定的因市场竞争不充分的科研项目，以及需要扶持的科技成果转化项目，提交最后报价的供应商可以为</w:t>
      </w:r>
      <w:r>
        <w:rPr>
          <w:rFonts w:ascii="宋体" w:hAnsi="宋体" w:cs="宋体"/>
          <w:color w:val="auto"/>
          <w:szCs w:val="21"/>
          <w:highlight w:val="none"/>
        </w:rPr>
        <w:t>2</w:t>
      </w:r>
      <w:r>
        <w:rPr>
          <w:rFonts w:hint="eastAsia" w:ascii="宋体" w:hAnsi="宋体" w:cs="宋体"/>
          <w:color w:val="auto"/>
          <w:szCs w:val="21"/>
          <w:highlight w:val="none"/>
        </w:rPr>
        <w:t>家；</w:t>
      </w:r>
    </w:p>
    <w:p w14:paraId="0F80AEBA">
      <w:pPr>
        <w:pStyle w:val="57"/>
        <w:numPr>
          <w:ilvl w:val="0"/>
          <w:numId w:val="5"/>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根据《财政部关于政府采购竞争性磋商采购方式管理暂行办法有关问题的补充通知》（财库〔</w:t>
      </w:r>
      <w:r>
        <w:rPr>
          <w:rFonts w:ascii="宋体" w:hAnsi="宋体" w:cs="宋体"/>
          <w:color w:val="auto"/>
          <w:szCs w:val="21"/>
          <w:highlight w:val="none"/>
        </w:rPr>
        <w:t>2015</w:t>
      </w:r>
      <w:r>
        <w:rPr>
          <w:rFonts w:hint="eastAsia" w:ascii="宋体" w:hAnsi="宋体" w:cs="宋体"/>
          <w:color w:val="auto"/>
          <w:szCs w:val="21"/>
          <w:highlight w:val="none"/>
        </w:rPr>
        <w:t>〕</w:t>
      </w:r>
      <w:r>
        <w:rPr>
          <w:rFonts w:ascii="宋体" w:hAnsi="宋体" w:cs="宋体"/>
          <w:color w:val="auto"/>
          <w:szCs w:val="21"/>
          <w:highlight w:val="none"/>
        </w:rPr>
        <w:t>124</w:t>
      </w:r>
      <w:r>
        <w:rPr>
          <w:rFonts w:hint="eastAsia" w:ascii="宋体" w:hAnsi="宋体" w:cs="宋体"/>
          <w:color w:val="auto"/>
          <w:szCs w:val="21"/>
          <w:highlight w:val="none"/>
        </w:rPr>
        <w:t>号）规定，采用竞争性磋商采购方式采购的政府购买服务项目（含政府和社会资本合作项目），在采购过程中符合要求的供应商（社会资本）只有</w:t>
      </w:r>
      <w:r>
        <w:rPr>
          <w:rFonts w:ascii="宋体" w:hAnsi="宋体" w:cs="宋体"/>
          <w:color w:val="auto"/>
          <w:szCs w:val="21"/>
          <w:highlight w:val="none"/>
        </w:rPr>
        <w:t>2</w:t>
      </w:r>
      <w:r>
        <w:rPr>
          <w:rFonts w:hint="eastAsia" w:ascii="宋体" w:hAnsi="宋体" w:cs="宋体"/>
          <w:color w:val="auto"/>
          <w:szCs w:val="21"/>
          <w:highlight w:val="none"/>
        </w:rPr>
        <w:t>家的，竞争性磋商采购活动可以继续进行。</w:t>
      </w:r>
    </w:p>
    <w:p w14:paraId="5CBF7914">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磋商供应商不得相互串通磋商报价，不得妨碍其他供应商的公平竞争，不得损害采购人或其他供应商的合法权益，磋商供应商不得以向采购人、磋商小组成员行贿或者采取其他不正当手段谋取中标。</w:t>
      </w:r>
    </w:p>
    <w:p w14:paraId="185E07B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▲为采购项目提供整体设计、规范编制或者项目管理、监理、检测等服务的供应商，不得再参加该采购项目的其他采购活动。否则所有相关供应商的磋商响应文件均无效。</w:t>
      </w:r>
    </w:p>
    <w:p w14:paraId="27ED4AD8">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▲单位负责人为同一人或者存在直接控股、管理关系的不同供应商，不得参加同一合同项下的政府采购活动。否则所有相关供应商的磋商响应文件均无效。</w:t>
      </w:r>
    </w:p>
    <w:p w14:paraId="4881CF2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▲供应商不得存在下列情形之一：</w:t>
      </w:r>
      <w:r>
        <w:rPr>
          <w:rFonts w:ascii="宋体" w:hAnsi="宋体" w:cs="宋体"/>
          <w:color w:val="auto"/>
          <w:szCs w:val="21"/>
          <w:highlight w:val="none"/>
        </w:rPr>
        <w:t xml:space="preserve"> </w:t>
      </w:r>
    </w:p>
    <w:p w14:paraId="40DC3745">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）为采购人不具有独立法人资格的附属机构（单位）；</w:t>
      </w:r>
      <w:r>
        <w:rPr>
          <w:rFonts w:ascii="宋体" w:hAnsi="宋体" w:cs="宋体"/>
          <w:color w:val="auto"/>
          <w:kern w:val="0"/>
          <w:szCs w:val="21"/>
          <w:highlight w:val="none"/>
        </w:rPr>
        <w:t xml:space="preserve"> </w:t>
      </w:r>
    </w:p>
    <w:p w14:paraId="7C682A85">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）为本项目前期准备提供设计或咨询服务的，但设计施工总承包的除外；</w:t>
      </w:r>
      <w:r>
        <w:rPr>
          <w:rFonts w:ascii="宋体" w:hAnsi="宋体" w:cs="宋体"/>
          <w:color w:val="auto"/>
          <w:kern w:val="0"/>
          <w:szCs w:val="21"/>
          <w:highlight w:val="none"/>
        </w:rPr>
        <w:t xml:space="preserve"> </w:t>
      </w:r>
    </w:p>
    <w:p w14:paraId="0F59A272">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）为本项目的监理人；</w:t>
      </w:r>
      <w:r>
        <w:rPr>
          <w:rFonts w:ascii="宋体" w:hAnsi="宋体" w:cs="宋体"/>
          <w:color w:val="auto"/>
          <w:kern w:val="0"/>
          <w:szCs w:val="21"/>
          <w:highlight w:val="none"/>
        </w:rPr>
        <w:t xml:space="preserve"> </w:t>
      </w:r>
    </w:p>
    <w:p w14:paraId="74F75B5F">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）为本项目的代建人；</w:t>
      </w:r>
      <w:r>
        <w:rPr>
          <w:rFonts w:ascii="宋体" w:hAnsi="宋体" w:cs="宋体"/>
          <w:color w:val="auto"/>
          <w:kern w:val="0"/>
          <w:szCs w:val="21"/>
          <w:highlight w:val="none"/>
        </w:rPr>
        <w:t xml:space="preserve"> </w:t>
      </w:r>
    </w:p>
    <w:p w14:paraId="15BAEED7">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）为本项目提供采购代理服务的；</w:t>
      </w:r>
      <w:r>
        <w:rPr>
          <w:rFonts w:ascii="宋体" w:hAnsi="宋体" w:cs="宋体"/>
          <w:color w:val="auto"/>
          <w:kern w:val="0"/>
          <w:szCs w:val="21"/>
          <w:highlight w:val="none"/>
        </w:rPr>
        <w:t xml:space="preserve"> </w:t>
      </w:r>
    </w:p>
    <w:p w14:paraId="51F74D4A">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）与本项目的监理人或代建人或采购代理机构同为一个法定代表人的；</w:t>
      </w:r>
      <w:r>
        <w:rPr>
          <w:rFonts w:ascii="宋体" w:hAnsi="宋体" w:cs="宋体"/>
          <w:color w:val="auto"/>
          <w:kern w:val="0"/>
          <w:szCs w:val="21"/>
          <w:highlight w:val="none"/>
        </w:rPr>
        <w:t xml:space="preserve"> </w:t>
      </w:r>
    </w:p>
    <w:p w14:paraId="7279F13C">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7</w:t>
      </w:r>
      <w:r>
        <w:rPr>
          <w:rFonts w:hint="eastAsia" w:ascii="宋体" w:hAnsi="宋体" w:cs="宋体"/>
          <w:color w:val="auto"/>
          <w:kern w:val="0"/>
          <w:szCs w:val="21"/>
          <w:highlight w:val="none"/>
        </w:rPr>
        <w:t>）与本项目的监理人或代建人或采购代理机构相互控股或参股的；</w:t>
      </w:r>
      <w:r>
        <w:rPr>
          <w:rFonts w:ascii="宋体" w:hAnsi="宋体" w:cs="宋体"/>
          <w:color w:val="auto"/>
          <w:kern w:val="0"/>
          <w:szCs w:val="21"/>
          <w:highlight w:val="none"/>
        </w:rPr>
        <w:t xml:space="preserve"> </w:t>
      </w:r>
    </w:p>
    <w:p w14:paraId="4A077A11">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8</w:t>
      </w:r>
      <w:r>
        <w:rPr>
          <w:rFonts w:hint="eastAsia" w:ascii="宋体" w:hAnsi="宋体" w:cs="宋体"/>
          <w:color w:val="auto"/>
          <w:kern w:val="0"/>
          <w:szCs w:val="21"/>
          <w:highlight w:val="none"/>
        </w:rPr>
        <w:t>）与本项目的监理人或代建人或采购代理机构相互任职或工作的；</w:t>
      </w:r>
      <w:r>
        <w:rPr>
          <w:rFonts w:ascii="宋体" w:hAnsi="宋体" w:cs="宋体"/>
          <w:color w:val="auto"/>
          <w:kern w:val="0"/>
          <w:szCs w:val="21"/>
          <w:highlight w:val="none"/>
        </w:rPr>
        <w:t xml:space="preserve"> </w:t>
      </w:r>
    </w:p>
    <w:p w14:paraId="04C229A3">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9</w:t>
      </w:r>
      <w:r>
        <w:rPr>
          <w:rFonts w:hint="eastAsia" w:ascii="宋体" w:hAnsi="宋体" w:cs="宋体"/>
          <w:color w:val="auto"/>
          <w:kern w:val="0"/>
          <w:szCs w:val="21"/>
          <w:highlight w:val="none"/>
        </w:rPr>
        <w:t>）被责令停业的；</w:t>
      </w:r>
      <w:r>
        <w:rPr>
          <w:rFonts w:ascii="宋体" w:hAnsi="宋体" w:cs="宋体"/>
          <w:color w:val="auto"/>
          <w:kern w:val="0"/>
          <w:szCs w:val="21"/>
          <w:highlight w:val="none"/>
        </w:rPr>
        <w:t xml:space="preserve"> </w:t>
      </w:r>
    </w:p>
    <w:p w14:paraId="05EF3018">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10</w:t>
      </w:r>
      <w:r>
        <w:rPr>
          <w:rFonts w:hint="eastAsia" w:ascii="宋体" w:hAnsi="宋体" w:cs="宋体"/>
          <w:color w:val="auto"/>
          <w:kern w:val="0"/>
          <w:szCs w:val="21"/>
          <w:highlight w:val="none"/>
        </w:rPr>
        <w:t>）被暂停或取消投标资格的；</w:t>
      </w:r>
      <w:r>
        <w:rPr>
          <w:rFonts w:ascii="宋体" w:hAnsi="宋体" w:cs="宋体"/>
          <w:color w:val="auto"/>
          <w:kern w:val="0"/>
          <w:szCs w:val="21"/>
          <w:highlight w:val="none"/>
        </w:rPr>
        <w:t xml:space="preserve"> </w:t>
      </w:r>
    </w:p>
    <w:p w14:paraId="1CD8EA64">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11</w:t>
      </w:r>
      <w:r>
        <w:rPr>
          <w:rFonts w:hint="eastAsia" w:ascii="宋体" w:hAnsi="宋体" w:cs="宋体"/>
          <w:color w:val="auto"/>
          <w:kern w:val="0"/>
          <w:szCs w:val="21"/>
          <w:highlight w:val="none"/>
        </w:rPr>
        <w:t>）财产被接管或冻结的；</w:t>
      </w:r>
      <w:r>
        <w:rPr>
          <w:rFonts w:ascii="宋体" w:hAnsi="宋体" w:cs="宋体"/>
          <w:color w:val="auto"/>
          <w:kern w:val="0"/>
          <w:szCs w:val="21"/>
          <w:highlight w:val="none"/>
        </w:rPr>
        <w:t xml:space="preserve"> </w:t>
      </w:r>
    </w:p>
    <w:p w14:paraId="5EC67EE7">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12</w:t>
      </w:r>
      <w:r>
        <w:rPr>
          <w:rFonts w:hint="eastAsia" w:ascii="宋体" w:hAnsi="宋体" w:cs="宋体"/>
          <w:color w:val="auto"/>
          <w:kern w:val="0"/>
          <w:szCs w:val="21"/>
          <w:highlight w:val="none"/>
        </w:rPr>
        <w:t>）在最近三年内有骗取中标（成交）或严重违约或重大工程质量问题的。</w:t>
      </w:r>
    </w:p>
    <w:p w14:paraId="7AB6F8EB">
      <w:pPr>
        <w:pStyle w:val="57"/>
        <w:numPr>
          <w:ilvl w:val="1"/>
          <w:numId w:val="4"/>
        </w:numPr>
        <w:tabs>
          <w:tab w:val="left" w:pos="420"/>
        </w:tabs>
        <w:autoSpaceDE w:val="0"/>
        <w:autoSpaceDN w:val="0"/>
        <w:spacing w:line="360" w:lineRule="auto"/>
        <w:textAlignment w:val="bottom"/>
        <w:outlineLvl w:val="2"/>
        <w:rPr>
          <w:rFonts w:ascii="宋体" w:cs="宋体"/>
          <w:color w:val="auto"/>
          <w:highlight w:val="none"/>
        </w:rPr>
      </w:pPr>
      <w:r>
        <w:rPr>
          <w:rFonts w:hint="eastAsia" w:ascii="宋体" w:hAnsi="宋体" w:cs="宋体"/>
          <w:color w:val="auto"/>
          <w:highlight w:val="none"/>
        </w:rPr>
        <w:t>采购文件中所涉及的产品品牌或型号均为建议性要求或为档次选择要求或为代替部分技术指标描述，供应商可以选择其他品牌型号的产品参加响应但产品须具有相当于或优于采购文件要求的指标、性能、档次。</w:t>
      </w:r>
    </w:p>
    <w:p w14:paraId="12A05D57">
      <w:pPr>
        <w:pStyle w:val="57"/>
        <w:numPr>
          <w:ilvl w:val="1"/>
          <w:numId w:val="4"/>
        </w:numPr>
        <w:tabs>
          <w:tab w:val="left" w:pos="420"/>
        </w:tabs>
        <w:autoSpaceDE w:val="0"/>
        <w:autoSpaceDN w:val="0"/>
        <w:spacing w:line="360" w:lineRule="auto"/>
        <w:textAlignment w:val="bottom"/>
        <w:outlineLvl w:val="2"/>
        <w:rPr>
          <w:rFonts w:ascii="宋体" w:cs="宋体"/>
          <w:color w:val="auto"/>
          <w:highlight w:val="none"/>
        </w:rPr>
      </w:pPr>
      <w:r>
        <w:rPr>
          <w:rFonts w:hint="eastAsia" w:ascii="宋体" w:hAnsi="宋体" w:cs="宋体"/>
          <w:color w:val="auto"/>
          <w:szCs w:val="21"/>
          <w:highlight w:val="none"/>
        </w:rPr>
        <w:t>投标人应仔细阅读采购文件的所有内容，按照采购文件的要求提交响应文件，并对所提供的全部资料的真实性承担法律责任。</w:t>
      </w:r>
    </w:p>
    <w:p w14:paraId="02A0EC46">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质疑和投诉</w:t>
      </w:r>
      <w:bookmarkEnd w:id="52"/>
      <w:bookmarkEnd w:id="53"/>
      <w:bookmarkEnd w:id="54"/>
    </w:p>
    <w:p w14:paraId="7E016DD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认为采购文件、采购过程和中标结果使自己的权益收到损害的，可以在知道或者应知其权益收到损害之日起七个工作日内，供应商应一次性提出针对同一采购程序环节向采购代理机构提出质疑，逾期提出不予受理以书面形式向采购代理机构提出质疑（质疑与投诉书应按照浙江省政府采购下载专区中模板格式要求填写，否则不予受理。质疑投诉模板下载地址</w:t>
      </w:r>
      <w:r>
        <w:rPr>
          <w:rFonts w:ascii="宋体" w:hAnsi="宋体" w:cs="宋体"/>
          <w:color w:val="auto"/>
          <w:szCs w:val="21"/>
          <w:highlight w:val="none"/>
          <w:u w:val="single"/>
        </w:rPr>
        <w:t>http://www.zjzfcg.gov.cn/download/index.html?_=1532999207387</w:t>
      </w:r>
      <w:r>
        <w:rPr>
          <w:rFonts w:hint="eastAsia" w:ascii="宋体" w:hAnsi="宋体" w:cs="宋体"/>
          <w:color w:val="auto"/>
          <w:szCs w:val="21"/>
          <w:highlight w:val="none"/>
        </w:rPr>
        <w:t>）。</w:t>
      </w:r>
    </w:p>
    <w:p w14:paraId="5C809253">
      <w:pPr>
        <w:pStyle w:val="57"/>
        <w:autoSpaceDE w:val="0"/>
        <w:autoSpaceDN w:val="0"/>
        <w:spacing w:line="360" w:lineRule="auto"/>
        <w:ind w:firstLine="422"/>
        <w:textAlignment w:val="bottom"/>
        <w:outlineLvl w:val="2"/>
        <w:rPr>
          <w:rFonts w:ascii="宋体" w:cs="宋体"/>
          <w:b/>
          <w:bCs/>
          <w:color w:val="auto"/>
          <w:szCs w:val="21"/>
          <w:highlight w:val="none"/>
        </w:rPr>
      </w:pPr>
      <w:r>
        <w:rPr>
          <w:rFonts w:hint="eastAsia" w:ascii="宋体" w:hAnsi="宋体" w:cs="宋体"/>
          <w:b/>
          <w:bCs/>
          <w:color w:val="auto"/>
          <w:szCs w:val="21"/>
          <w:highlight w:val="none"/>
        </w:rPr>
        <w:t>供应商应知其权益受到损害之日，是指：</w:t>
      </w:r>
    </w:p>
    <w:p w14:paraId="1E09E8F8">
      <w:pPr>
        <w:pStyle w:val="57"/>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）对可以质疑的采购文件提出质疑的，为收到采购文件之日（获取截止日之后收到采购文件的，以获取截止日为准）或者采购文件公告期限届满之日（公告发布后的第</w:t>
      </w:r>
      <w:r>
        <w:rPr>
          <w:rFonts w:ascii="宋体" w:hAnsi="宋体" w:cs="宋体"/>
          <w:color w:val="auto"/>
          <w:szCs w:val="21"/>
          <w:highlight w:val="none"/>
        </w:rPr>
        <w:t>6</w:t>
      </w:r>
      <w:r>
        <w:rPr>
          <w:rFonts w:hint="eastAsia" w:ascii="宋体" w:hAnsi="宋体" w:cs="宋体"/>
          <w:color w:val="auto"/>
          <w:szCs w:val="21"/>
          <w:highlight w:val="none"/>
        </w:rPr>
        <w:t>个工作日）起</w:t>
      </w:r>
      <w:r>
        <w:rPr>
          <w:rFonts w:ascii="宋体" w:hAnsi="宋体" w:cs="宋体"/>
          <w:color w:val="auto"/>
          <w:szCs w:val="21"/>
          <w:highlight w:val="none"/>
        </w:rPr>
        <w:t>7</w:t>
      </w:r>
      <w:r>
        <w:rPr>
          <w:rFonts w:hint="eastAsia" w:ascii="宋体" w:hAnsi="宋体" w:cs="宋体"/>
          <w:color w:val="auto"/>
          <w:szCs w:val="21"/>
          <w:highlight w:val="none"/>
        </w:rPr>
        <w:t>个工作日内。收到采购文件之日起至响应截止时间止不足七个工作日的，应当在响应文件递交截止时间前提出。</w:t>
      </w:r>
    </w:p>
    <w:p w14:paraId="2E8F049D">
      <w:pPr>
        <w:pStyle w:val="57"/>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）对采购过程提出质疑的，为各采购程序环节结束之日。</w:t>
      </w:r>
    </w:p>
    <w:p w14:paraId="3867E8EA">
      <w:pPr>
        <w:pStyle w:val="57"/>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）对采购结果提出质疑的，为成交结果公告期限届满之日。</w:t>
      </w:r>
    </w:p>
    <w:p w14:paraId="238E30CF">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质疑书须包括以下内容：</w:t>
      </w:r>
      <w:r>
        <w:rPr>
          <w:rFonts w:ascii="宋体" w:hAnsi="宋体" w:cs="宋体"/>
          <w:color w:val="auto"/>
          <w:szCs w:val="21"/>
          <w:highlight w:val="none"/>
        </w:rPr>
        <w:t xml:space="preserve"> </w:t>
      </w:r>
    </w:p>
    <w:p w14:paraId="48B80402">
      <w:pPr>
        <w:pStyle w:val="57"/>
        <w:tabs>
          <w:tab w:val="left" w:pos="0"/>
          <w:tab w:val="left" w:pos="420"/>
        </w:tabs>
        <w:autoSpaceDE w:val="0"/>
        <w:autoSpaceDN w:val="0"/>
        <w:spacing w:line="360" w:lineRule="auto"/>
        <w:ind w:left="420" w:leftChars="200" w:firstLine="0" w:firstLineChars="0"/>
        <w:textAlignment w:val="bottom"/>
        <w:outlineLvl w:val="2"/>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）供应商的姓名或者名称、地址、邮编、联系人及联系电话；</w:t>
      </w:r>
      <w:r>
        <w:rPr>
          <w:rFonts w:ascii="宋体" w:hAnsi="宋体" w:cs="宋体"/>
          <w:color w:val="auto"/>
          <w:szCs w:val="21"/>
          <w:highlight w:val="none"/>
        </w:rPr>
        <w:t xml:space="preserve"> </w:t>
      </w:r>
    </w:p>
    <w:p w14:paraId="0623B0C0">
      <w:pPr>
        <w:pStyle w:val="57"/>
        <w:tabs>
          <w:tab w:val="left" w:pos="0"/>
          <w:tab w:val="left" w:pos="420"/>
        </w:tabs>
        <w:autoSpaceDE w:val="0"/>
        <w:autoSpaceDN w:val="0"/>
        <w:spacing w:line="360" w:lineRule="auto"/>
        <w:ind w:left="420" w:leftChars="200" w:firstLine="0" w:firstLineChars="0"/>
        <w:textAlignment w:val="bottom"/>
        <w:outlineLvl w:val="2"/>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）质疑项目的名称、编号；</w:t>
      </w:r>
      <w:r>
        <w:rPr>
          <w:rFonts w:ascii="宋体" w:hAnsi="宋体" w:cs="宋体"/>
          <w:color w:val="auto"/>
          <w:szCs w:val="21"/>
          <w:highlight w:val="none"/>
        </w:rPr>
        <w:t xml:space="preserve"> </w:t>
      </w:r>
    </w:p>
    <w:p w14:paraId="325FCEB1">
      <w:pPr>
        <w:pStyle w:val="57"/>
        <w:tabs>
          <w:tab w:val="left" w:pos="0"/>
          <w:tab w:val="left" w:pos="420"/>
        </w:tabs>
        <w:autoSpaceDE w:val="0"/>
        <w:autoSpaceDN w:val="0"/>
        <w:spacing w:line="360" w:lineRule="auto"/>
        <w:ind w:left="420" w:leftChars="200" w:firstLine="0" w:firstLineChars="0"/>
        <w:textAlignment w:val="bottom"/>
        <w:outlineLvl w:val="2"/>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）具体、明确的质疑事项和与质疑事项相关的请求；</w:t>
      </w:r>
    </w:p>
    <w:p w14:paraId="2D5BE116">
      <w:pPr>
        <w:pStyle w:val="57"/>
        <w:tabs>
          <w:tab w:val="left" w:pos="0"/>
          <w:tab w:val="left" w:pos="420"/>
        </w:tabs>
        <w:autoSpaceDE w:val="0"/>
        <w:autoSpaceDN w:val="0"/>
        <w:spacing w:line="360" w:lineRule="auto"/>
        <w:ind w:left="420" w:leftChars="200" w:firstLine="0" w:firstLineChars="0"/>
        <w:textAlignment w:val="bottom"/>
        <w:outlineLvl w:val="2"/>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）事实依据；</w:t>
      </w:r>
      <w:r>
        <w:rPr>
          <w:rFonts w:ascii="宋体" w:hAnsi="宋体" w:cs="宋体"/>
          <w:color w:val="auto"/>
          <w:szCs w:val="21"/>
          <w:highlight w:val="none"/>
        </w:rPr>
        <w:t xml:space="preserve"> </w:t>
      </w:r>
    </w:p>
    <w:p w14:paraId="7A50A0EF">
      <w:pPr>
        <w:pStyle w:val="57"/>
        <w:tabs>
          <w:tab w:val="left" w:pos="0"/>
          <w:tab w:val="left" w:pos="420"/>
        </w:tabs>
        <w:autoSpaceDE w:val="0"/>
        <w:autoSpaceDN w:val="0"/>
        <w:spacing w:line="360" w:lineRule="auto"/>
        <w:ind w:left="420" w:leftChars="200" w:firstLine="0" w:firstLineChars="0"/>
        <w:textAlignment w:val="bottom"/>
        <w:outlineLvl w:val="2"/>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）必要的法律依据；</w:t>
      </w:r>
      <w:r>
        <w:rPr>
          <w:rFonts w:ascii="宋体" w:hAnsi="宋体" w:cs="宋体"/>
          <w:color w:val="auto"/>
          <w:szCs w:val="21"/>
          <w:highlight w:val="none"/>
        </w:rPr>
        <w:t xml:space="preserve"> </w:t>
      </w:r>
    </w:p>
    <w:p w14:paraId="36920227">
      <w:pPr>
        <w:pStyle w:val="57"/>
        <w:tabs>
          <w:tab w:val="left" w:pos="0"/>
          <w:tab w:val="left" w:pos="420"/>
        </w:tabs>
        <w:autoSpaceDE w:val="0"/>
        <w:autoSpaceDN w:val="0"/>
        <w:spacing w:line="360" w:lineRule="auto"/>
        <w:ind w:left="420" w:leftChars="200" w:firstLine="0" w:firstLineChars="0"/>
        <w:textAlignment w:val="bottom"/>
        <w:outlineLvl w:val="2"/>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）提出质疑的日期。</w:t>
      </w:r>
      <w:r>
        <w:rPr>
          <w:rFonts w:ascii="宋体" w:hAnsi="宋体" w:cs="宋体"/>
          <w:color w:val="auto"/>
          <w:szCs w:val="21"/>
          <w:highlight w:val="none"/>
        </w:rPr>
        <w:t xml:space="preserve"> </w:t>
      </w:r>
    </w:p>
    <w:p w14:paraId="7960E3B7">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质疑供应商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7C26E017">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如联合体参与采购活动，质疑应由组成联合体的所有供应商共同提出。</w:t>
      </w:r>
      <w:r>
        <w:rPr>
          <w:rFonts w:ascii="宋体" w:hAnsi="宋体" w:cs="宋体"/>
          <w:color w:val="auto"/>
          <w:szCs w:val="21"/>
          <w:highlight w:val="none"/>
        </w:rPr>
        <w:t xml:space="preserve"> </w:t>
      </w:r>
    </w:p>
    <w:p w14:paraId="0995B29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采购代理机构在收到质疑供应商的书面质疑后</w:t>
      </w:r>
      <w:r>
        <w:rPr>
          <w:rFonts w:ascii="宋体" w:hAnsi="宋体" w:cs="宋体"/>
          <w:color w:val="auto"/>
          <w:szCs w:val="21"/>
          <w:highlight w:val="none"/>
        </w:rPr>
        <w:t>7</w:t>
      </w:r>
      <w:r>
        <w:rPr>
          <w:rFonts w:hint="eastAsia" w:ascii="宋体" w:hAnsi="宋体" w:cs="宋体"/>
          <w:color w:val="auto"/>
          <w:szCs w:val="21"/>
          <w:highlight w:val="none"/>
        </w:rPr>
        <w:t>个工作日内作出书面答复（涉及项目采购需求内容的由采购人答复），质疑人在收到答复后应于</w:t>
      </w:r>
      <w:r>
        <w:rPr>
          <w:rFonts w:ascii="宋体" w:hAnsi="宋体" w:cs="宋体"/>
          <w:color w:val="auto"/>
          <w:szCs w:val="21"/>
          <w:highlight w:val="none"/>
        </w:rPr>
        <w:t>1</w:t>
      </w:r>
      <w:r>
        <w:rPr>
          <w:rFonts w:hint="eastAsia" w:ascii="宋体" w:hAnsi="宋体" w:cs="宋体"/>
          <w:color w:val="auto"/>
          <w:szCs w:val="21"/>
          <w:highlight w:val="none"/>
        </w:rPr>
        <w:t>日内，以书面或传真形式（签署意见并加盖公章）向采购代理机构回复予以确认。过期未回复的，视为默认接受。</w:t>
      </w:r>
    </w:p>
    <w:p w14:paraId="0EB7F47F">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质疑供应商捏造事实、提供虚假材料进行质疑的，采购代理机构报告同级财政部门。情况属实的，列入不良行为记录并在指定的媒体上公告。</w:t>
      </w:r>
    </w:p>
    <w:p w14:paraId="75C56682">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质疑供应商对采购人、采购代理机构的答复不满意或者采购人、采购代理机构未在规定的时间内作出答复的，可以在答复期满后十五个工作日内向仙居县财政局投诉。</w:t>
      </w:r>
    </w:p>
    <w:p w14:paraId="5B03925B">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投诉</w:t>
      </w:r>
    </w:p>
    <w:p w14:paraId="47306DA1">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质疑供应商对采购人、采购代理机构的答复不满意或者采购人、采购代理机构未在规定的时间内作出答复的，可以在答复期满后十五个工作日内根据《政府采购质疑和投诉办法》第六条规定的向仙居县财政部门提起投诉。</w:t>
      </w:r>
    </w:p>
    <w:p w14:paraId="560EC3E2">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供应商投诉的事项不得超出已质疑事项的范围，但基于质疑答复内容提出的投诉事项除外。</w:t>
      </w:r>
    </w:p>
    <w:p w14:paraId="72FA8E0E">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供应商提起投诉应当符合下列条件：</w:t>
      </w:r>
    </w:p>
    <w:p w14:paraId="7C6B0E2B">
      <w:pPr>
        <w:pStyle w:val="57"/>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w:t>
      </w:r>
      <w:r>
        <w:rPr>
          <w:rFonts w:hint="eastAsia" w:ascii="宋体" w:hAnsi="宋体" w:cs="宋体"/>
          <w:bCs/>
          <w:color w:val="auto"/>
          <w:szCs w:val="21"/>
          <w:highlight w:val="none"/>
        </w:rPr>
        <w:t>）提起投诉前已依法进行质疑；</w:t>
      </w:r>
    </w:p>
    <w:p w14:paraId="00155127">
      <w:pPr>
        <w:pStyle w:val="57"/>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）投诉书内容符合本办法的规定；</w:t>
      </w:r>
    </w:p>
    <w:p w14:paraId="599ED750">
      <w:pPr>
        <w:pStyle w:val="57"/>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rPr>
        <w:t>）在投诉有效期限内提起投诉；</w:t>
      </w:r>
    </w:p>
    <w:p w14:paraId="2106124A">
      <w:pPr>
        <w:pStyle w:val="57"/>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4</w:t>
      </w:r>
      <w:r>
        <w:rPr>
          <w:rFonts w:hint="eastAsia" w:ascii="宋体" w:hAnsi="宋体" w:cs="宋体"/>
          <w:bCs/>
          <w:color w:val="auto"/>
          <w:szCs w:val="21"/>
          <w:highlight w:val="none"/>
        </w:rPr>
        <w:t>）同一投诉事项未经财政部门投诉处理；</w:t>
      </w:r>
    </w:p>
    <w:p w14:paraId="2CF0778E">
      <w:pPr>
        <w:pStyle w:val="57"/>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5</w:t>
      </w:r>
      <w:r>
        <w:rPr>
          <w:rFonts w:hint="eastAsia" w:ascii="宋体" w:hAnsi="宋体" w:cs="宋体"/>
          <w:bCs/>
          <w:color w:val="auto"/>
          <w:szCs w:val="21"/>
          <w:highlight w:val="none"/>
        </w:rPr>
        <w:t>）财政部规定的其他条件。</w:t>
      </w:r>
    </w:p>
    <w:p w14:paraId="19F8CB58">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投诉人在全国范围</w:t>
      </w:r>
      <w:r>
        <w:rPr>
          <w:rFonts w:ascii="宋体" w:hAnsi="宋体" w:cs="宋体"/>
          <w:color w:val="auto"/>
          <w:szCs w:val="21"/>
          <w:highlight w:val="none"/>
        </w:rPr>
        <w:t>12</w:t>
      </w:r>
      <w:r>
        <w:rPr>
          <w:rFonts w:hint="eastAsia" w:ascii="宋体" w:hAnsi="宋体" w:cs="宋体"/>
          <w:color w:val="auto"/>
          <w:szCs w:val="21"/>
          <w:highlight w:val="none"/>
        </w:rPr>
        <w:t>个月内三次以上投诉查无实据的，由财政部门列入不良行为记录名单。</w:t>
      </w:r>
    </w:p>
    <w:p w14:paraId="7B5D87E0">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投诉人有下列行为之一的，属于虚假、恶意投诉，由财政部门列入不良行为记录名单，禁止其</w:t>
      </w:r>
      <w:r>
        <w:rPr>
          <w:rFonts w:ascii="宋体" w:hAnsi="宋体" w:cs="宋体"/>
          <w:color w:val="auto"/>
          <w:szCs w:val="21"/>
          <w:highlight w:val="none"/>
        </w:rPr>
        <w:t>1</w:t>
      </w:r>
      <w:r>
        <w:rPr>
          <w:rFonts w:hint="eastAsia" w:ascii="宋体" w:hAnsi="宋体" w:cs="宋体"/>
          <w:color w:val="auto"/>
          <w:szCs w:val="21"/>
          <w:highlight w:val="none"/>
        </w:rPr>
        <w:t>至</w:t>
      </w:r>
      <w:r>
        <w:rPr>
          <w:rFonts w:ascii="宋体" w:hAnsi="宋体" w:cs="宋体"/>
          <w:color w:val="auto"/>
          <w:szCs w:val="21"/>
          <w:highlight w:val="none"/>
        </w:rPr>
        <w:t>3</w:t>
      </w:r>
      <w:r>
        <w:rPr>
          <w:rFonts w:hint="eastAsia" w:ascii="宋体" w:hAnsi="宋体" w:cs="宋体"/>
          <w:color w:val="auto"/>
          <w:szCs w:val="21"/>
          <w:highlight w:val="none"/>
        </w:rPr>
        <w:t>年内参加政府采购活动：</w:t>
      </w:r>
    </w:p>
    <w:p w14:paraId="4638DB4E">
      <w:pPr>
        <w:pStyle w:val="57"/>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w:t>
      </w:r>
      <w:r>
        <w:rPr>
          <w:rFonts w:hint="eastAsia" w:ascii="宋体" w:hAnsi="宋体" w:cs="宋体"/>
          <w:bCs/>
          <w:color w:val="auto"/>
          <w:szCs w:val="21"/>
          <w:highlight w:val="none"/>
        </w:rPr>
        <w:t>）捏造事实；</w:t>
      </w:r>
    </w:p>
    <w:p w14:paraId="0AB09451">
      <w:pPr>
        <w:pStyle w:val="57"/>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）提供虚假材料；</w:t>
      </w:r>
    </w:p>
    <w:p w14:paraId="3CCE0399">
      <w:pPr>
        <w:pStyle w:val="57"/>
        <w:autoSpaceDE w:val="0"/>
        <w:autoSpaceDN w:val="0"/>
        <w:spacing w:line="360" w:lineRule="auto"/>
        <w:textAlignment w:val="bottom"/>
        <w:outlineLvl w:val="2"/>
        <w:rPr>
          <w:rFonts w:ascii="宋体" w:cs="宋体"/>
          <w:b/>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rPr>
        <w:t>）以非法手段取得证明材料。证据来源的合法性存在明显疑问，投诉人无法证明其取得方式合法的，视为以非法手段取得证明材料。</w:t>
      </w:r>
    </w:p>
    <w:p w14:paraId="00E9A082">
      <w:pPr>
        <w:pStyle w:val="4"/>
        <w:spacing w:before="156" w:beforeLines="50" w:after="156" w:afterLines="50" w:line="360" w:lineRule="auto"/>
        <w:jc w:val="center"/>
        <w:rPr>
          <w:rFonts w:hint="eastAsia" w:ascii="宋体" w:hAnsi="宋体" w:eastAsia="宋体" w:cs="宋体"/>
          <w:color w:val="auto"/>
          <w:sz w:val="24"/>
          <w:szCs w:val="24"/>
          <w:highlight w:val="none"/>
        </w:rPr>
      </w:pPr>
      <w:bookmarkStart w:id="55" w:name="_Toc528927415"/>
      <w:bookmarkStart w:id="56" w:name="_Toc508888787"/>
      <w:bookmarkStart w:id="57" w:name="_Toc28579"/>
      <w:r>
        <w:rPr>
          <w:rFonts w:hint="eastAsia" w:ascii="宋体" w:hAnsi="宋体" w:eastAsia="宋体" w:cs="宋体"/>
          <w:color w:val="auto"/>
          <w:sz w:val="24"/>
          <w:szCs w:val="24"/>
          <w:highlight w:val="none"/>
        </w:rPr>
        <w:t>二、</w:t>
      </w:r>
      <w:bookmarkEnd w:id="55"/>
      <w:bookmarkEnd w:id="56"/>
      <w:r>
        <w:rPr>
          <w:rFonts w:hint="eastAsia" w:ascii="宋体" w:hAnsi="宋体" w:eastAsia="宋体" w:cs="宋体"/>
          <w:color w:val="auto"/>
          <w:sz w:val="24"/>
          <w:szCs w:val="24"/>
          <w:highlight w:val="none"/>
        </w:rPr>
        <w:t>采购文件</w:t>
      </w:r>
      <w:bookmarkEnd w:id="57"/>
    </w:p>
    <w:p w14:paraId="604D9649">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本采购文件由以下部份组成：</w:t>
      </w:r>
    </w:p>
    <w:p w14:paraId="7432CAC6">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本采购文件由采购文件总目录所列内容组成。包含本项目采购文件的澄清、答复、修改、补充的内容。</w:t>
      </w:r>
    </w:p>
    <w:p w14:paraId="35FCAF58">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采购文件的解释权</w:t>
      </w:r>
      <w:r>
        <w:rPr>
          <w:rFonts w:ascii="宋体" w:hAnsi="宋体" w:cs="宋体"/>
          <w:b/>
          <w:color w:val="auto"/>
          <w:szCs w:val="21"/>
          <w:highlight w:val="none"/>
        </w:rPr>
        <w:t xml:space="preserve"> </w:t>
      </w:r>
    </w:p>
    <w:p w14:paraId="351B346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采购文件的解释权归采购代理机构与采购人所有。</w:t>
      </w:r>
    </w:p>
    <w:p w14:paraId="0601CB89">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供应商的风险</w:t>
      </w:r>
    </w:p>
    <w:p w14:paraId="37959452">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磋商响应方没有按照采购文件要求提供全部资料，或者磋商响应方没有对采购文件在各方面作出实质性响应是磋商响应方的风险，并可能导致其竞标被拒绝。</w:t>
      </w:r>
    </w:p>
    <w:p w14:paraId="03C0AB4E">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采购文件的澄清</w:t>
      </w:r>
      <w:r>
        <w:rPr>
          <w:rFonts w:ascii="宋体" w:hAnsi="宋体" w:cs="宋体"/>
          <w:b/>
          <w:color w:val="auto"/>
          <w:szCs w:val="21"/>
          <w:highlight w:val="none"/>
        </w:rPr>
        <w:t xml:space="preserve"> </w:t>
      </w:r>
    </w:p>
    <w:p w14:paraId="57D57451">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r>
        <w:rPr>
          <w:rFonts w:ascii="宋体" w:hAnsi="宋体" w:cs="宋体"/>
          <w:color w:val="auto"/>
          <w:szCs w:val="21"/>
          <w:highlight w:val="none"/>
        </w:rPr>
        <w:t xml:space="preserve"> </w:t>
      </w:r>
    </w:p>
    <w:p w14:paraId="105CC19D">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供应商要求澄清的资料应加盖单位公章、写明日期。</w:t>
      </w:r>
      <w:r>
        <w:rPr>
          <w:rFonts w:ascii="宋体" w:hAnsi="宋体" w:cs="宋体"/>
          <w:color w:val="auto"/>
          <w:szCs w:val="21"/>
          <w:highlight w:val="none"/>
        </w:rPr>
        <w:t xml:space="preserve"> </w:t>
      </w:r>
    </w:p>
    <w:p w14:paraId="719219CB">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r>
        <w:rPr>
          <w:rFonts w:ascii="宋体" w:hAnsi="宋体" w:cs="宋体"/>
          <w:color w:val="auto"/>
          <w:szCs w:val="21"/>
          <w:highlight w:val="none"/>
        </w:rPr>
        <w:t xml:space="preserve"> </w:t>
      </w:r>
    </w:p>
    <w:p w14:paraId="42DD1B76">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澄清的内容影响磋商响应文件编制的，采购代理机构将顺延磋商响应文件提交截止时间，使之满足政府采购的相关规定。</w:t>
      </w:r>
      <w:r>
        <w:rPr>
          <w:rFonts w:ascii="宋体" w:hAnsi="宋体" w:cs="宋体"/>
          <w:color w:val="auto"/>
          <w:szCs w:val="21"/>
          <w:highlight w:val="none"/>
        </w:rPr>
        <w:t xml:space="preserve"> </w:t>
      </w:r>
    </w:p>
    <w:p w14:paraId="2FD6F46E">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供应商在收到补充文件后，应在</w:t>
      </w:r>
      <w:r>
        <w:rPr>
          <w:rFonts w:ascii="宋体" w:hAnsi="宋体" w:cs="宋体"/>
          <w:color w:val="auto"/>
          <w:szCs w:val="21"/>
          <w:highlight w:val="none"/>
        </w:rPr>
        <w:t>24</w:t>
      </w:r>
      <w:r>
        <w:rPr>
          <w:rFonts w:hint="eastAsia" w:ascii="宋体" w:hAnsi="宋体" w:cs="宋体"/>
          <w:color w:val="auto"/>
          <w:szCs w:val="21"/>
          <w:highlight w:val="none"/>
        </w:rPr>
        <w:t>小时内以书面形式向采购代理机构确认已收到该补充文件。</w:t>
      </w:r>
      <w:r>
        <w:rPr>
          <w:rFonts w:ascii="宋体" w:hAnsi="宋体" w:cs="宋体"/>
          <w:color w:val="auto"/>
          <w:szCs w:val="21"/>
          <w:highlight w:val="none"/>
        </w:rPr>
        <w:t xml:space="preserve"> </w:t>
      </w:r>
    </w:p>
    <w:p w14:paraId="7C3F7849">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供应商未对采购文件提出疑问的，采购代理机构将视其为无异议。</w:t>
      </w:r>
      <w:r>
        <w:rPr>
          <w:rFonts w:ascii="宋体" w:hAnsi="宋体" w:cs="宋体"/>
          <w:color w:val="auto"/>
          <w:szCs w:val="21"/>
          <w:highlight w:val="none"/>
        </w:rPr>
        <w:t xml:space="preserve"> </w:t>
      </w:r>
    </w:p>
    <w:p w14:paraId="7138C2E4">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当采购文件与补充文件就同一内容的表述不一致时，以最后发出的书面文件为准。</w:t>
      </w:r>
      <w:r>
        <w:rPr>
          <w:rFonts w:ascii="宋体" w:hAnsi="宋体" w:cs="宋体"/>
          <w:color w:val="auto"/>
          <w:szCs w:val="21"/>
          <w:highlight w:val="none"/>
        </w:rPr>
        <w:t xml:space="preserve"> </w:t>
      </w:r>
    </w:p>
    <w:p w14:paraId="7065AE35">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采购文件的修改</w:t>
      </w:r>
      <w:r>
        <w:rPr>
          <w:rFonts w:ascii="宋体" w:hAnsi="宋体" w:cs="宋体"/>
          <w:b/>
          <w:color w:val="auto"/>
          <w:szCs w:val="21"/>
          <w:highlight w:val="none"/>
        </w:rPr>
        <w:t xml:space="preserve"> </w:t>
      </w:r>
    </w:p>
    <w:p w14:paraId="0FD8086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在磋商响应文件提交截止时间前，由于各种原因采购人可能以补充文件的形式修改完善采购文件。</w:t>
      </w:r>
    </w:p>
    <w:p w14:paraId="110411E7">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补充文件作为采购文件组成部分，补充文件将以网上公告等形式告知所有获取采购文件的供应商，补充文件对供应商均有约束力。</w:t>
      </w:r>
      <w:r>
        <w:rPr>
          <w:rFonts w:ascii="宋体" w:hAnsi="宋体" w:cs="宋体"/>
          <w:color w:val="auto"/>
          <w:szCs w:val="21"/>
          <w:highlight w:val="none"/>
        </w:rPr>
        <w:t xml:space="preserve"> </w:t>
      </w:r>
    </w:p>
    <w:p w14:paraId="477D9991">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修改的内容影响磋商响应文件编制的，采购代理机构将顺延磋商响应文件提交截止时间，使之满足政府采购的相关规定。</w:t>
      </w:r>
      <w:r>
        <w:rPr>
          <w:rFonts w:ascii="宋体" w:hAnsi="宋体" w:cs="宋体"/>
          <w:color w:val="auto"/>
          <w:szCs w:val="21"/>
          <w:highlight w:val="none"/>
        </w:rPr>
        <w:t xml:space="preserve"> </w:t>
      </w:r>
    </w:p>
    <w:p w14:paraId="00613B68">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供应商在收到补充文件后，应在</w:t>
      </w:r>
      <w:r>
        <w:rPr>
          <w:rFonts w:ascii="宋体" w:hAnsi="宋体" w:cs="宋体"/>
          <w:color w:val="auto"/>
          <w:szCs w:val="21"/>
          <w:highlight w:val="none"/>
        </w:rPr>
        <w:t>24</w:t>
      </w:r>
      <w:r>
        <w:rPr>
          <w:rFonts w:hint="eastAsia" w:ascii="宋体" w:hAnsi="宋体" w:cs="宋体"/>
          <w:color w:val="auto"/>
          <w:szCs w:val="21"/>
          <w:highlight w:val="none"/>
        </w:rPr>
        <w:t>小时内以书面形式向采购代理机构确认已收到该补充文件。</w:t>
      </w:r>
      <w:r>
        <w:rPr>
          <w:rFonts w:ascii="宋体" w:hAnsi="宋体" w:cs="宋体"/>
          <w:color w:val="auto"/>
          <w:szCs w:val="21"/>
          <w:highlight w:val="none"/>
        </w:rPr>
        <w:t xml:space="preserve"> </w:t>
      </w:r>
    </w:p>
    <w:p w14:paraId="297BCAAF">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供应商收到补充文件后，对补充文件如有疑问要求澄清，应在</w:t>
      </w:r>
      <w:r>
        <w:rPr>
          <w:rFonts w:ascii="宋体" w:hAnsi="宋体" w:cs="宋体"/>
          <w:color w:val="auto"/>
          <w:szCs w:val="21"/>
          <w:highlight w:val="none"/>
        </w:rPr>
        <w:t>24</w:t>
      </w:r>
      <w:r>
        <w:rPr>
          <w:rFonts w:hint="eastAsia" w:ascii="宋体" w:hAnsi="宋体" w:cs="宋体"/>
          <w:color w:val="auto"/>
          <w:szCs w:val="21"/>
          <w:highlight w:val="none"/>
        </w:rPr>
        <w:t>小时内将书面资料（加盖单位公章）传真或电子邮件或送达至采购代理机构，同时将电子文件发至磋商须知前附表注明的邮箱（电子邮件与书面文件有不一致的，以书面文件为准），并与采购代理机构进行确认。</w:t>
      </w:r>
      <w:r>
        <w:rPr>
          <w:rFonts w:ascii="宋体" w:hAnsi="宋体" w:cs="宋体"/>
          <w:color w:val="auto"/>
          <w:szCs w:val="21"/>
          <w:highlight w:val="none"/>
        </w:rPr>
        <w:t xml:space="preserve"> </w:t>
      </w:r>
    </w:p>
    <w:p w14:paraId="66221C30">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供应商要求澄清的资料应加盖单位公章、写明日期。</w:t>
      </w:r>
    </w:p>
    <w:p w14:paraId="0AAE776A">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对补充文件的澄清答复按</w:t>
      </w:r>
      <w:r>
        <w:rPr>
          <w:rFonts w:ascii="宋体" w:hAnsi="宋体" w:cs="宋体"/>
          <w:color w:val="auto"/>
          <w:szCs w:val="21"/>
          <w:highlight w:val="none"/>
        </w:rPr>
        <w:t>20.3</w:t>
      </w:r>
      <w:r>
        <w:rPr>
          <w:rFonts w:hint="eastAsia" w:ascii="宋体" w:hAnsi="宋体" w:cs="宋体"/>
          <w:color w:val="auto"/>
          <w:szCs w:val="21"/>
          <w:highlight w:val="none"/>
        </w:rPr>
        <w:t>款规定。</w:t>
      </w:r>
      <w:r>
        <w:rPr>
          <w:rFonts w:ascii="宋体" w:hAnsi="宋体" w:cs="宋体"/>
          <w:color w:val="auto"/>
          <w:szCs w:val="21"/>
          <w:highlight w:val="none"/>
        </w:rPr>
        <w:t xml:space="preserve"> </w:t>
      </w:r>
    </w:p>
    <w:p w14:paraId="36B34AB1">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当采购文件与补充文件就同一内容的表述不一致时，以最后发出的书面文件为准。</w:t>
      </w:r>
      <w:r>
        <w:rPr>
          <w:rFonts w:ascii="宋体" w:hAnsi="宋体" w:cs="宋体"/>
          <w:color w:val="auto"/>
          <w:szCs w:val="21"/>
          <w:highlight w:val="none"/>
        </w:rPr>
        <w:t xml:space="preserve"> </w:t>
      </w:r>
    </w:p>
    <w:p w14:paraId="12C154FF">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任何口头答复均不属于采购文件的组成部分。</w:t>
      </w:r>
    </w:p>
    <w:p w14:paraId="4A529DCE">
      <w:pPr>
        <w:pStyle w:val="4"/>
        <w:spacing w:before="156" w:beforeLines="50" w:after="156" w:afterLines="50" w:line="360" w:lineRule="auto"/>
        <w:jc w:val="center"/>
        <w:rPr>
          <w:rFonts w:hint="eastAsia" w:ascii="宋体" w:hAnsi="宋体" w:eastAsia="宋体" w:cs="宋体"/>
          <w:color w:val="auto"/>
          <w:sz w:val="24"/>
          <w:szCs w:val="24"/>
          <w:highlight w:val="none"/>
        </w:rPr>
      </w:pPr>
      <w:bookmarkStart w:id="58" w:name="_Toc12360"/>
      <w:bookmarkStart w:id="59" w:name="_Toc528927416"/>
      <w:bookmarkStart w:id="60" w:name="_Toc508888788"/>
      <w:r>
        <w:rPr>
          <w:rFonts w:hint="eastAsia" w:ascii="宋体" w:hAnsi="宋体" w:eastAsia="宋体" w:cs="宋体"/>
          <w:color w:val="auto"/>
          <w:sz w:val="24"/>
          <w:szCs w:val="24"/>
          <w:highlight w:val="none"/>
        </w:rPr>
        <w:t>三、响应文件</w:t>
      </w:r>
      <w:bookmarkEnd w:id="58"/>
      <w:bookmarkEnd w:id="59"/>
      <w:bookmarkEnd w:id="60"/>
    </w:p>
    <w:p w14:paraId="30136704">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bookmarkStart w:id="61" w:name="_Toc479667077"/>
      <w:bookmarkStart w:id="62" w:name="_Toc482195573"/>
      <w:bookmarkStart w:id="63" w:name="_Toc479667355"/>
      <w:r>
        <w:rPr>
          <w:rFonts w:hint="eastAsia" w:ascii="宋体" w:hAnsi="宋体" w:cs="宋体"/>
          <w:b/>
          <w:color w:val="auto"/>
          <w:szCs w:val="21"/>
          <w:highlight w:val="none"/>
        </w:rPr>
        <w:t>响应文件的编制要求</w:t>
      </w:r>
    </w:p>
    <w:p w14:paraId="55668407">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响应文件和与磋商有关的所有文件均应使用汉语。</w:t>
      </w:r>
    </w:p>
    <w:p w14:paraId="4163087D">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除规范另有规定外，响应文件使用的度量衡单位，均采用中华人民共和国法定计量单位。</w:t>
      </w:r>
    </w:p>
    <w:p w14:paraId="7B9D71D7">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供应商应仔细阅读采购文件中的所有内容，按照采购文件要求详细编制响应文件，并保证响应文件的正确性和真实性，所有文件资料必须是针对本次投标。</w:t>
      </w:r>
    </w:p>
    <w:p w14:paraId="0701D6E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u w:val="single"/>
        </w:rPr>
      </w:pPr>
      <w:r>
        <w:rPr>
          <w:rFonts w:hint="eastAsia" w:ascii="宋体" w:hAnsi="宋体" w:cs="宋体"/>
          <w:color w:val="auto"/>
          <w:szCs w:val="21"/>
          <w:highlight w:val="none"/>
          <w:u w:val="single"/>
        </w:rPr>
        <w:t>响应文件如有错漏必须修改，修改处须加盖单位公章或校正章。</w:t>
      </w:r>
    </w:p>
    <w:p w14:paraId="1FCFB48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由于字迹模糊或表达不清引起的后果由供应商负责。</w:t>
      </w:r>
    </w:p>
    <w:p w14:paraId="769276D4">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不按采购文件要求提供的响应文件可能导致被拒绝。</w:t>
      </w:r>
    </w:p>
    <w:p w14:paraId="3C90149D">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响应文件的组成</w:t>
      </w:r>
      <w:bookmarkEnd w:id="61"/>
      <w:bookmarkEnd w:id="62"/>
      <w:bookmarkEnd w:id="63"/>
    </w:p>
    <w:p w14:paraId="35C5CA38">
      <w:pPr>
        <w:pStyle w:val="57"/>
        <w:numPr>
          <w:ilvl w:val="1"/>
          <w:numId w:val="4"/>
        </w:numPr>
        <w:tabs>
          <w:tab w:val="left" w:pos="420"/>
        </w:tabs>
        <w:autoSpaceDE w:val="0"/>
        <w:autoSpaceDN w:val="0"/>
        <w:spacing w:line="360" w:lineRule="auto"/>
        <w:ind w:firstLine="422"/>
        <w:textAlignment w:val="bottom"/>
        <w:outlineLvl w:val="2"/>
        <w:rPr>
          <w:rFonts w:ascii="宋体" w:cs="宋体"/>
          <w:color w:val="auto"/>
          <w:szCs w:val="21"/>
          <w:highlight w:val="none"/>
        </w:rPr>
      </w:pPr>
      <w:r>
        <w:rPr>
          <w:rFonts w:hint="eastAsia" w:ascii="宋体" w:hAnsi="宋体" w:cs="宋体"/>
          <w:b/>
          <w:bCs/>
          <w:color w:val="auto"/>
          <w:szCs w:val="21"/>
          <w:highlight w:val="none"/>
        </w:rPr>
        <w:t>响应文件由资格证明文件、商务与技术文件、报价文件组成</w:t>
      </w:r>
      <w:r>
        <w:rPr>
          <w:rFonts w:hint="eastAsia" w:ascii="宋体" w:hAnsi="宋体" w:cs="宋体"/>
          <w:color w:val="auto"/>
          <w:szCs w:val="21"/>
          <w:highlight w:val="none"/>
          <w:u w:val="single"/>
        </w:rPr>
        <w:t>（如有要求提供资料原件的，原件另行包装，并与响应文件一起递交，投标截止时间后所有原件不予接收。资料原件也可以用复印件与原件相符的公证原件替代）。</w:t>
      </w:r>
    </w:p>
    <w:p w14:paraId="4376B3D5">
      <w:pPr>
        <w:pStyle w:val="57"/>
        <w:numPr>
          <w:ilvl w:val="2"/>
          <w:numId w:val="4"/>
        </w:numPr>
        <w:autoSpaceDE w:val="0"/>
        <w:autoSpaceDN w:val="0"/>
        <w:spacing w:before="156" w:beforeLines="50" w:line="360" w:lineRule="auto"/>
        <w:ind w:left="0" w:firstLine="422"/>
        <w:textAlignment w:val="bottom"/>
        <w:outlineLvl w:val="2"/>
        <w:rPr>
          <w:rFonts w:ascii="宋体" w:cs="宋体"/>
          <w:b/>
          <w:bCs/>
          <w:color w:val="auto"/>
          <w:szCs w:val="21"/>
          <w:highlight w:val="none"/>
        </w:rPr>
      </w:pPr>
      <w:r>
        <w:rPr>
          <w:rFonts w:hint="eastAsia" w:ascii="宋体" w:hAnsi="宋体" w:cs="宋体"/>
          <w:b/>
          <w:bCs/>
          <w:color w:val="auto"/>
          <w:szCs w:val="21"/>
          <w:highlight w:val="none"/>
        </w:rPr>
        <w:t>▲资格证明文件的组成：</w:t>
      </w:r>
    </w:p>
    <w:p w14:paraId="38CF0E17">
      <w:pPr>
        <w:pStyle w:val="57"/>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应包括以下内容（均需供应商加盖公章）：证明其符合《中华人民共和国政府采购法》第二十二条规定和</w:t>
      </w:r>
      <w:r>
        <w:rPr>
          <w:rFonts w:hint="eastAsia" w:ascii="宋体" w:hAnsi="宋体" w:cs="宋体"/>
          <w:color w:val="auto"/>
          <w:highlight w:val="none"/>
        </w:rPr>
        <w:t>浙财采监【</w:t>
      </w:r>
      <w:r>
        <w:rPr>
          <w:rFonts w:ascii="宋体" w:hAnsi="宋体" w:cs="宋体"/>
          <w:color w:val="auto"/>
          <w:highlight w:val="none"/>
        </w:rPr>
        <w:t>2013</w:t>
      </w:r>
      <w:r>
        <w:rPr>
          <w:rFonts w:hint="eastAsia" w:ascii="宋体" w:hAnsi="宋体" w:cs="宋体"/>
          <w:color w:val="auto"/>
          <w:highlight w:val="none"/>
        </w:rPr>
        <w:t>】</w:t>
      </w:r>
      <w:r>
        <w:rPr>
          <w:rFonts w:ascii="宋体" w:hAnsi="宋体" w:cs="宋体"/>
          <w:color w:val="auto"/>
          <w:highlight w:val="none"/>
        </w:rPr>
        <w:t>24</w:t>
      </w:r>
      <w:r>
        <w:rPr>
          <w:rFonts w:hint="eastAsia" w:ascii="宋体" w:hAnsi="宋体" w:cs="宋体"/>
          <w:color w:val="auto"/>
          <w:highlight w:val="none"/>
        </w:rPr>
        <w:t>号《关于规范政府采购投标人资格设定及资格审查的通知》第六条规定</w:t>
      </w:r>
      <w:r>
        <w:rPr>
          <w:rFonts w:hint="eastAsia" w:ascii="宋体" w:hAnsi="宋体" w:cs="宋体"/>
          <w:color w:val="auto"/>
          <w:szCs w:val="21"/>
          <w:highlight w:val="none"/>
        </w:rPr>
        <w:t>的供应商基本条件和采购项目对供应商的特定条件（如果项目要求）的有关资格证明文件。</w:t>
      </w:r>
    </w:p>
    <w:tbl>
      <w:tblPr>
        <w:tblStyle w:val="28"/>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098"/>
        <w:gridCol w:w="6913"/>
      </w:tblGrid>
      <w:tr w14:paraId="0B14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6" w:type="dxa"/>
            <w:shd w:val="clear" w:color="auto" w:fill="D7D7D7"/>
            <w:vAlign w:val="center"/>
          </w:tcPr>
          <w:p w14:paraId="0C3C2479">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center"/>
              <w:textAlignment w:val="bottom"/>
              <w:outlineLvl w:val="2"/>
              <w:rPr>
                <w:rFonts w:ascii="宋体" w:cs="宋体"/>
                <w:b/>
                <w:bCs/>
                <w:color w:val="auto"/>
                <w:szCs w:val="21"/>
                <w:highlight w:val="none"/>
              </w:rPr>
            </w:pPr>
            <w:r>
              <w:rPr>
                <w:rFonts w:hint="eastAsia" w:ascii="宋体" w:hAnsi="宋体" w:cs="宋体"/>
                <w:b/>
                <w:bCs/>
                <w:color w:val="auto"/>
                <w:szCs w:val="21"/>
                <w:highlight w:val="none"/>
              </w:rPr>
              <w:t>序号</w:t>
            </w:r>
          </w:p>
        </w:tc>
        <w:tc>
          <w:tcPr>
            <w:tcW w:w="2098" w:type="dxa"/>
            <w:shd w:val="clear" w:color="auto" w:fill="D7D7D7"/>
            <w:vAlign w:val="center"/>
          </w:tcPr>
          <w:p w14:paraId="5B225B68">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center"/>
              <w:textAlignment w:val="bottom"/>
              <w:outlineLvl w:val="2"/>
              <w:rPr>
                <w:rFonts w:ascii="宋体" w:cs="宋体"/>
                <w:b/>
                <w:bCs/>
                <w:color w:val="auto"/>
                <w:szCs w:val="21"/>
                <w:highlight w:val="none"/>
              </w:rPr>
            </w:pPr>
            <w:r>
              <w:rPr>
                <w:rFonts w:hint="eastAsia" w:ascii="宋体" w:hAnsi="宋体" w:cs="宋体"/>
                <w:b/>
                <w:bCs/>
                <w:color w:val="auto"/>
                <w:szCs w:val="21"/>
                <w:highlight w:val="none"/>
              </w:rPr>
              <w:t>资格条件目录</w:t>
            </w:r>
          </w:p>
        </w:tc>
        <w:tc>
          <w:tcPr>
            <w:tcW w:w="6913" w:type="dxa"/>
            <w:shd w:val="clear" w:color="auto" w:fill="D7D7D7"/>
            <w:vAlign w:val="center"/>
          </w:tcPr>
          <w:p w14:paraId="0C57FC80">
            <w:pPr>
              <w:keepNext w:val="0"/>
              <w:keepLines w:val="0"/>
              <w:pageBreakBefore w:val="0"/>
              <w:widowControl/>
              <w:kinsoku/>
              <w:wordWrap/>
              <w:overflowPunct/>
              <w:topLinePunct w:val="0"/>
              <w:bidi w:val="0"/>
              <w:adjustRightInd/>
              <w:snapToGrid/>
              <w:spacing w:line="360" w:lineRule="exact"/>
              <w:jc w:val="center"/>
              <w:rPr>
                <w:rFonts w:ascii="宋体" w:cs="宋体"/>
                <w:b/>
                <w:bCs/>
                <w:color w:val="auto"/>
                <w:kern w:val="0"/>
                <w:szCs w:val="21"/>
                <w:highlight w:val="none"/>
              </w:rPr>
            </w:pPr>
            <w:r>
              <w:rPr>
                <w:rFonts w:hint="eastAsia" w:ascii="宋体" w:hAnsi="宋体" w:cs="宋体"/>
                <w:b/>
                <w:bCs/>
                <w:color w:val="auto"/>
                <w:kern w:val="0"/>
                <w:szCs w:val="21"/>
                <w:highlight w:val="none"/>
              </w:rPr>
              <w:t>应提供的资格审查资料</w:t>
            </w:r>
          </w:p>
          <w:p w14:paraId="0F3B7046">
            <w:pPr>
              <w:keepNext w:val="0"/>
              <w:keepLines w:val="0"/>
              <w:pageBreakBefore w:val="0"/>
              <w:widowControl/>
              <w:kinsoku/>
              <w:wordWrap/>
              <w:overflowPunct/>
              <w:topLinePunct w:val="0"/>
              <w:bidi w:val="0"/>
              <w:adjustRightInd/>
              <w:snapToGrid/>
              <w:spacing w:line="360" w:lineRule="exact"/>
              <w:jc w:val="center"/>
              <w:rPr>
                <w:rFonts w:ascii="宋体" w:cs="宋体"/>
                <w:b/>
                <w:bCs/>
                <w:color w:val="auto"/>
                <w:szCs w:val="21"/>
                <w:highlight w:val="none"/>
              </w:rPr>
            </w:pPr>
            <w:r>
              <w:rPr>
                <w:rFonts w:hint="eastAsia" w:ascii="宋体" w:hAnsi="宋体" w:cs="宋体"/>
                <w:b/>
                <w:bCs/>
                <w:color w:val="auto"/>
                <w:kern w:val="0"/>
                <w:szCs w:val="21"/>
                <w:highlight w:val="none"/>
              </w:rPr>
              <w:t>（除承诺函、说明、声明外的其他证件提供复印件或扫描件）</w:t>
            </w:r>
          </w:p>
        </w:tc>
      </w:tr>
      <w:tr w14:paraId="24A0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6" w:type="dxa"/>
            <w:vAlign w:val="center"/>
          </w:tcPr>
          <w:p w14:paraId="17F8B8DA">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center"/>
              <w:textAlignment w:val="bottom"/>
              <w:outlineLvl w:val="2"/>
              <w:rPr>
                <w:rFonts w:ascii="宋体" w:cs="宋体"/>
                <w:color w:val="auto"/>
                <w:szCs w:val="21"/>
                <w:highlight w:val="none"/>
              </w:rPr>
            </w:pPr>
            <w:r>
              <w:rPr>
                <w:rFonts w:ascii="宋体" w:hAnsi="宋体" w:cs="宋体"/>
                <w:color w:val="auto"/>
                <w:szCs w:val="21"/>
                <w:highlight w:val="none"/>
              </w:rPr>
              <w:t>1</w:t>
            </w:r>
          </w:p>
        </w:tc>
        <w:tc>
          <w:tcPr>
            <w:tcW w:w="2098" w:type="dxa"/>
            <w:vAlign w:val="center"/>
          </w:tcPr>
          <w:p w14:paraId="346F4875">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center"/>
              <w:textAlignment w:val="bottom"/>
              <w:outlineLvl w:val="2"/>
              <w:rPr>
                <w:rFonts w:ascii="宋体" w:cs="宋体"/>
                <w:color w:val="auto"/>
                <w:szCs w:val="21"/>
                <w:highlight w:val="none"/>
              </w:rPr>
            </w:pPr>
            <w:r>
              <w:rPr>
                <w:rFonts w:hint="eastAsia" w:ascii="宋体" w:hAnsi="宋体" w:cs="宋体"/>
                <w:color w:val="auto"/>
                <w:szCs w:val="21"/>
                <w:highlight w:val="none"/>
              </w:rPr>
              <w:t>基本资格条件</w:t>
            </w:r>
          </w:p>
        </w:tc>
        <w:tc>
          <w:tcPr>
            <w:tcW w:w="6913" w:type="dxa"/>
            <w:vAlign w:val="center"/>
          </w:tcPr>
          <w:p w14:paraId="67A3BFDD">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hint="eastAsia" w:ascii="宋体" w:hAnsi="宋体" w:cs="宋体"/>
                <w:color w:val="auto"/>
                <w:highlight w:val="none"/>
              </w:rPr>
              <w:t>（以下</w:t>
            </w:r>
            <w:r>
              <w:rPr>
                <w:rFonts w:ascii="宋体" w:hAnsi="宋体" w:cs="宋体"/>
                <w:color w:val="auto"/>
                <w:highlight w:val="none"/>
              </w:rPr>
              <w:t>A</w:t>
            </w:r>
            <w:r>
              <w:rPr>
                <w:rFonts w:hint="eastAsia" w:ascii="宋体" w:hAnsi="宋体" w:cs="宋体"/>
                <w:color w:val="auto"/>
                <w:highlight w:val="none"/>
              </w:rPr>
              <w:t>～</w:t>
            </w:r>
            <w:r>
              <w:rPr>
                <w:rFonts w:ascii="宋体" w:hAnsi="宋体" w:cs="宋体"/>
                <w:color w:val="auto"/>
                <w:highlight w:val="none"/>
              </w:rPr>
              <w:t>F</w:t>
            </w:r>
            <w:r>
              <w:rPr>
                <w:rFonts w:hint="eastAsia" w:ascii="宋体" w:hAnsi="宋体" w:cs="宋体"/>
                <w:color w:val="auto"/>
                <w:highlight w:val="none"/>
              </w:rPr>
              <w:t>项是第二十二条以及第六条规定要求及对应证明材料的具体内容，各磋商供应商须在响应文件中出具对应证明材料。）</w:t>
            </w:r>
          </w:p>
        </w:tc>
      </w:tr>
      <w:tr w14:paraId="191F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6" w:type="dxa"/>
            <w:vAlign w:val="center"/>
          </w:tcPr>
          <w:p w14:paraId="0D3C3A0C">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center"/>
              <w:textAlignment w:val="bottom"/>
              <w:outlineLvl w:val="2"/>
              <w:rPr>
                <w:rFonts w:ascii="宋体" w:cs="宋体"/>
                <w:color w:val="auto"/>
                <w:szCs w:val="21"/>
                <w:highlight w:val="none"/>
              </w:rPr>
            </w:pPr>
            <w:r>
              <w:rPr>
                <w:rFonts w:ascii="宋体" w:hAnsi="宋体" w:cs="宋体"/>
                <w:color w:val="auto"/>
                <w:szCs w:val="21"/>
                <w:highlight w:val="none"/>
              </w:rPr>
              <w:t>1.1</w:t>
            </w:r>
          </w:p>
        </w:tc>
        <w:tc>
          <w:tcPr>
            <w:tcW w:w="2098" w:type="dxa"/>
            <w:vAlign w:val="center"/>
          </w:tcPr>
          <w:p w14:paraId="4F93F3A0">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ascii="宋体" w:hAnsi="宋体" w:cs="宋体"/>
                <w:color w:val="auto"/>
                <w:highlight w:val="none"/>
              </w:rPr>
              <w:t>A.</w:t>
            </w:r>
            <w:r>
              <w:rPr>
                <w:rFonts w:hint="eastAsia" w:ascii="宋体" w:hAnsi="宋体" w:cs="宋体"/>
                <w:color w:val="auto"/>
                <w:highlight w:val="none"/>
              </w:rPr>
              <w:t>具有独立承担民事责任的能力：</w:t>
            </w:r>
          </w:p>
        </w:tc>
        <w:tc>
          <w:tcPr>
            <w:tcW w:w="6913" w:type="dxa"/>
            <w:vAlign w:val="center"/>
          </w:tcPr>
          <w:p w14:paraId="4BB6FF43">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u w:val="single"/>
              </w:rPr>
            </w:pPr>
            <w:r>
              <w:rPr>
                <w:rFonts w:hint="eastAsia" w:ascii="宋体" w:hAnsi="宋体" w:cs="宋体"/>
                <w:color w:val="auto"/>
                <w:highlight w:val="none"/>
                <w:u w:val="single"/>
              </w:rPr>
              <w:t>磋商供应商须在响应文件中出具符合以下情况的证明材料</w:t>
            </w:r>
            <w:r>
              <w:rPr>
                <w:rFonts w:hint="eastAsia" w:ascii="宋体" w:hAnsi="宋体" w:cs="宋体"/>
                <w:b/>
                <w:bCs/>
                <w:color w:val="auto"/>
                <w:highlight w:val="none"/>
                <w:u w:val="single"/>
              </w:rPr>
              <w:t>（五选一）</w:t>
            </w:r>
            <w:r>
              <w:rPr>
                <w:rFonts w:hint="eastAsia" w:ascii="宋体" w:hAnsi="宋体" w:cs="宋体"/>
                <w:color w:val="auto"/>
                <w:highlight w:val="none"/>
                <w:u w:val="single"/>
              </w:rPr>
              <w:t>：</w:t>
            </w:r>
          </w:p>
          <w:p w14:paraId="5947283A">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 1 \* GB3 \* MERGEFORMAT </w:instrText>
            </w:r>
            <w:r>
              <w:rPr>
                <w:rFonts w:ascii="宋体" w:hAnsi="宋体" w:cs="宋体"/>
                <w:color w:val="auto"/>
                <w:highlight w:val="none"/>
              </w:rPr>
              <w:fldChar w:fldCharType="separate"/>
            </w:r>
            <w:r>
              <w:rPr>
                <w:rFonts w:hint="eastAsia" w:ascii="宋体" w:hAnsi="宋体" w:cs="宋体"/>
                <w:color w:val="auto"/>
                <w:highlight w:val="none"/>
              </w:rPr>
              <w:t>①</w:t>
            </w:r>
            <w:r>
              <w:rPr>
                <w:rFonts w:ascii="宋体" w:hAnsi="宋体" w:cs="宋体"/>
                <w:color w:val="auto"/>
                <w:highlight w:val="none"/>
              </w:rPr>
              <w:fldChar w:fldCharType="end"/>
            </w:r>
            <w:r>
              <w:rPr>
                <w:rFonts w:hint="eastAsia" w:ascii="宋体" w:hAnsi="宋体" w:cs="宋体"/>
                <w:color w:val="auto"/>
                <w:highlight w:val="none"/>
              </w:rPr>
              <w:t>如供应商是企业（包括合伙企业），提供在工商部门注册的有效“企业法人营业执照”或“营业执照”；</w:t>
            </w:r>
          </w:p>
          <w:p w14:paraId="7C1CEF52">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i/>
                <w:color w:val="auto"/>
                <w:highlight w:val="none"/>
                <w:u w:val="single"/>
              </w:rPr>
            </w:pPr>
            <w:r>
              <w:rPr>
                <w:rFonts w:ascii="宋体" w:hAnsi="宋体" w:cs="宋体"/>
                <w:color w:val="auto"/>
                <w:highlight w:val="none"/>
              </w:rPr>
              <w:fldChar w:fldCharType="begin"/>
            </w:r>
            <w:r>
              <w:rPr>
                <w:rFonts w:ascii="宋体" w:hAnsi="宋体" w:cs="宋体"/>
                <w:color w:val="auto"/>
                <w:highlight w:val="none"/>
              </w:rPr>
              <w:instrText xml:space="preserve"> = 2 \* GB3 \* MERGEFORMAT </w:instrText>
            </w:r>
            <w:r>
              <w:rPr>
                <w:rFonts w:ascii="宋体" w:hAnsi="宋体" w:cs="宋体"/>
                <w:color w:val="auto"/>
                <w:highlight w:val="none"/>
              </w:rPr>
              <w:fldChar w:fldCharType="separate"/>
            </w:r>
            <w:r>
              <w:rPr>
                <w:rFonts w:hint="eastAsia" w:ascii="宋体" w:hAnsi="宋体" w:cs="宋体"/>
                <w:color w:val="auto"/>
                <w:highlight w:val="none"/>
              </w:rPr>
              <w:t>②</w:t>
            </w:r>
            <w:r>
              <w:rPr>
                <w:rFonts w:ascii="宋体" w:hAnsi="宋体" w:cs="宋体"/>
                <w:color w:val="auto"/>
                <w:highlight w:val="none"/>
              </w:rPr>
              <w:fldChar w:fldCharType="end"/>
            </w:r>
            <w:r>
              <w:rPr>
                <w:rFonts w:hint="eastAsia" w:ascii="宋体" w:hAnsi="宋体" w:cs="宋体"/>
                <w:color w:val="auto"/>
                <w:highlight w:val="none"/>
              </w:rPr>
              <w:t>如供应商是事业单位，提供有效的“事业单位法人证书”；</w:t>
            </w:r>
            <w:r>
              <w:rPr>
                <w:rFonts w:hint="eastAsia" w:ascii="宋体" w:hAnsi="宋体" w:cs="宋体"/>
                <w:i/>
                <w:color w:val="auto"/>
                <w:highlight w:val="none"/>
                <w:u w:val="single"/>
              </w:rPr>
              <w:t>（公益一类事业单位不属于政府购买服务的承接主体，不得参与承接政府购买服务；）</w:t>
            </w:r>
          </w:p>
          <w:p w14:paraId="323F8B3D">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 3 \* GB3 \* MERGEFORMAT </w:instrText>
            </w:r>
            <w:r>
              <w:rPr>
                <w:rFonts w:ascii="宋体" w:hAnsi="宋体" w:cs="宋体"/>
                <w:color w:val="auto"/>
                <w:highlight w:val="none"/>
              </w:rPr>
              <w:fldChar w:fldCharType="separate"/>
            </w:r>
            <w:r>
              <w:rPr>
                <w:rFonts w:hint="eastAsia" w:ascii="宋体" w:hAnsi="宋体" w:cs="宋体"/>
                <w:color w:val="auto"/>
                <w:highlight w:val="none"/>
              </w:rPr>
              <w:t>③</w:t>
            </w:r>
            <w:r>
              <w:rPr>
                <w:rFonts w:ascii="宋体" w:hAnsi="宋体" w:cs="宋体"/>
                <w:color w:val="auto"/>
                <w:highlight w:val="none"/>
              </w:rPr>
              <w:fldChar w:fldCharType="end"/>
            </w:r>
            <w:r>
              <w:rPr>
                <w:rFonts w:hint="eastAsia" w:ascii="宋体" w:hAnsi="宋体" w:cs="宋体"/>
                <w:color w:val="auto"/>
                <w:highlight w:val="none"/>
              </w:rPr>
              <w:t>如供应商是非企业专业服务机构的，提供执业许可证等证明文件；</w:t>
            </w:r>
          </w:p>
          <w:p w14:paraId="6BFD1000">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 4 \* GB3 \* MERGEFORMAT </w:instrText>
            </w:r>
            <w:r>
              <w:rPr>
                <w:rFonts w:ascii="宋体" w:hAnsi="宋体" w:cs="宋体"/>
                <w:color w:val="auto"/>
                <w:highlight w:val="none"/>
              </w:rPr>
              <w:fldChar w:fldCharType="separate"/>
            </w:r>
            <w:r>
              <w:rPr>
                <w:rFonts w:hint="eastAsia" w:ascii="宋体" w:hAnsi="宋体" w:cs="宋体"/>
                <w:color w:val="auto"/>
                <w:highlight w:val="none"/>
              </w:rPr>
              <w:t>④</w:t>
            </w:r>
            <w:r>
              <w:rPr>
                <w:rFonts w:ascii="宋体" w:hAnsi="宋体" w:cs="宋体"/>
                <w:color w:val="auto"/>
                <w:highlight w:val="none"/>
              </w:rPr>
              <w:fldChar w:fldCharType="end"/>
            </w:r>
            <w:r>
              <w:rPr>
                <w:rFonts w:hint="eastAsia" w:ascii="宋体" w:hAnsi="宋体" w:cs="宋体"/>
                <w:color w:val="auto"/>
                <w:highlight w:val="none"/>
              </w:rPr>
              <w:t>如供应商是个体工商户，提供有效的“个体工商户营业执照”；</w:t>
            </w:r>
          </w:p>
          <w:p w14:paraId="3D6E8278">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 5 \* GB3 \* MERGEFORMAT </w:instrText>
            </w:r>
            <w:r>
              <w:rPr>
                <w:rFonts w:ascii="宋体" w:hAnsi="宋体" w:cs="宋体"/>
                <w:color w:val="auto"/>
                <w:highlight w:val="none"/>
              </w:rPr>
              <w:fldChar w:fldCharType="separate"/>
            </w:r>
            <w:r>
              <w:rPr>
                <w:rFonts w:hint="eastAsia" w:ascii="宋体" w:hAnsi="宋体" w:cs="宋体"/>
                <w:color w:val="auto"/>
                <w:highlight w:val="none"/>
              </w:rPr>
              <w:t>⑤</w:t>
            </w:r>
            <w:r>
              <w:rPr>
                <w:rFonts w:ascii="宋体" w:hAnsi="宋体" w:cs="宋体"/>
                <w:color w:val="auto"/>
                <w:highlight w:val="none"/>
              </w:rPr>
              <w:fldChar w:fldCharType="end"/>
            </w:r>
            <w:r>
              <w:rPr>
                <w:rFonts w:hint="eastAsia" w:ascii="宋体" w:hAnsi="宋体" w:cs="宋体"/>
                <w:color w:val="auto"/>
                <w:highlight w:val="none"/>
              </w:rPr>
              <w:t>如供应商是自然人，提供有效的自然人身份证明（居民身份证正反面或公安机关出具的临时居民身份证正反面或港澳台胞证或证照）。</w:t>
            </w:r>
          </w:p>
        </w:tc>
      </w:tr>
      <w:tr w14:paraId="49D9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6" w:type="dxa"/>
            <w:vAlign w:val="center"/>
          </w:tcPr>
          <w:p w14:paraId="358C7D2F">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center"/>
              <w:textAlignment w:val="bottom"/>
              <w:outlineLvl w:val="2"/>
              <w:rPr>
                <w:rFonts w:ascii="宋体" w:cs="宋体"/>
                <w:color w:val="auto"/>
                <w:szCs w:val="21"/>
                <w:highlight w:val="none"/>
              </w:rPr>
            </w:pPr>
            <w:r>
              <w:rPr>
                <w:rFonts w:ascii="宋体" w:hAnsi="宋体" w:cs="宋体"/>
                <w:color w:val="auto"/>
                <w:szCs w:val="21"/>
                <w:highlight w:val="none"/>
              </w:rPr>
              <w:t>1.2</w:t>
            </w:r>
          </w:p>
        </w:tc>
        <w:tc>
          <w:tcPr>
            <w:tcW w:w="2098" w:type="dxa"/>
            <w:vAlign w:val="center"/>
          </w:tcPr>
          <w:p w14:paraId="7CD0BCF4">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ascii="宋体" w:hAnsi="宋体" w:cs="宋体"/>
                <w:color w:val="auto"/>
                <w:highlight w:val="none"/>
              </w:rPr>
              <w:t>B.</w:t>
            </w:r>
            <w:r>
              <w:rPr>
                <w:rFonts w:hint="eastAsia" w:ascii="宋体" w:hAnsi="宋体" w:cs="宋体"/>
                <w:color w:val="auto"/>
                <w:highlight w:val="none"/>
              </w:rPr>
              <w:t>具有良好的商业信誉和健全的财务会计制度：</w:t>
            </w:r>
          </w:p>
        </w:tc>
        <w:tc>
          <w:tcPr>
            <w:tcW w:w="6913" w:type="dxa"/>
            <w:vAlign w:val="center"/>
          </w:tcPr>
          <w:p w14:paraId="08722BE0">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b/>
                <w:bCs/>
                <w:color w:val="auto"/>
                <w:highlight w:val="none"/>
              </w:rPr>
            </w:pPr>
            <w:r>
              <w:rPr>
                <w:rFonts w:ascii="宋体" w:hAnsi="宋体" w:cs="宋体"/>
                <w:b/>
                <w:bCs/>
                <w:color w:val="auto"/>
                <w:highlight w:val="none"/>
              </w:rPr>
              <w:fldChar w:fldCharType="begin"/>
            </w:r>
            <w:r>
              <w:rPr>
                <w:rFonts w:ascii="宋体" w:hAnsi="宋体" w:cs="宋体"/>
                <w:b/>
                <w:bCs/>
                <w:color w:val="auto"/>
                <w:highlight w:val="none"/>
              </w:rPr>
              <w:instrText xml:space="preserve"> = 1 \* GB3 \* MERGEFORMAT </w:instrText>
            </w:r>
            <w:r>
              <w:rPr>
                <w:rFonts w:ascii="宋体" w:hAnsi="宋体" w:cs="宋体"/>
                <w:b/>
                <w:bCs/>
                <w:color w:val="auto"/>
                <w:highlight w:val="none"/>
              </w:rPr>
              <w:fldChar w:fldCharType="separate"/>
            </w:r>
            <w:r>
              <w:rPr>
                <w:rFonts w:hint="eastAsia" w:ascii="宋体" w:hAnsi="宋体" w:cs="宋体"/>
                <w:b/>
                <w:bCs/>
                <w:color w:val="auto"/>
                <w:highlight w:val="none"/>
              </w:rPr>
              <w:t>①</w:t>
            </w:r>
            <w:r>
              <w:rPr>
                <w:rFonts w:ascii="宋体" w:hAnsi="宋体" w:cs="宋体"/>
                <w:b/>
                <w:bCs/>
                <w:color w:val="auto"/>
                <w:highlight w:val="none"/>
              </w:rPr>
              <w:fldChar w:fldCharType="end"/>
            </w:r>
            <w:r>
              <w:rPr>
                <w:rFonts w:hint="eastAsia" w:ascii="宋体" w:hAnsi="宋体" w:cs="宋体"/>
                <w:b/>
                <w:bCs/>
                <w:color w:val="auto"/>
                <w:highlight w:val="none"/>
              </w:rPr>
              <w:t>良好的商业信誉：</w:t>
            </w:r>
          </w:p>
          <w:p w14:paraId="5108CBE2">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hint="eastAsia" w:ascii="宋体" w:hAnsi="宋体" w:cs="宋体"/>
                <w:color w:val="auto"/>
                <w:highlight w:val="none"/>
              </w:rPr>
              <w:t>至本项目投标截止时间止未列入失信被执行人、重大税收违法案件当事人名单、政府采购严重违法失信行为记录名单。对列入失信被执行人、重大税收违法案件当事人名单、政府采购严重违法失信行为记录名单的投标人，其投标将作无效标处理。</w:t>
            </w:r>
          </w:p>
          <w:p w14:paraId="2BD7AF55">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hint="eastAsia" w:ascii="宋体" w:hAnsi="宋体" w:cs="宋体"/>
                <w:color w:val="auto"/>
                <w:highlight w:val="none"/>
              </w:rPr>
              <w:t>以代理机构在开标当日在“信用中国”（</w:t>
            </w:r>
            <w:r>
              <w:rPr>
                <w:rFonts w:ascii="宋体" w:hAnsi="宋体" w:cs="宋体"/>
                <w:color w:val="auto"/>
                <w:highlight w:val="none"/>
              </w:rPr>
              <w:t>www.creditchina.gov.cn</w:t>
            </w:r>
            <w:r>
              <w:rPr>
                <w:rFonts w:hint="eastAsia" w:ascii="宋体" w:hAnsi="宋体" w:cs="宋体"/>
                <w:color w:val="auto"/>
                <w:highlight w:val="none"/>
              </w:rPr>
              <w:t>）、中国政府采购网（</w:t>
            </w:r>
            <w:r>
              <w:rPr>
                <w:rFonts w:ascii="宋体" w:hAnsi="宋体" w:cs="宋体"/>
                <w:color w:val="auto"/>
                <w:highlight w:val="none"/>
              </w:rPr>
              <w:t>www.ccgp.gov.cn</w:t>
            </w:r>
            <w:r>
              <w:rPr>
                <w:rFonts w:hint="eastAsia" w:ascii="宋体" w:hAnsi="宋体" w:cs="宋体"/>
                <w:color w:val="auto"/>
                <w:highlight w:val="none"/>
              </w:rPr>
              <w:t>）、“浙江政府采购网”（</w:t>
            </w:r>
            <w:r>
              <w:rPr>
                <w:rFonts w:ascii="宋体" w:hAnsi="宋体" w:cs="宋体"/>
                <w:color w:val="auto"/>
                <w:highlight w:val="none"/>
              </w:rPr>
              <w:t>www.zjzfcg.gov.cn</w:t>
            </w:r>
            <w:r>
              <w:rPr>
                <w:rFonts w:hint="eastAsia" w:ascii="宋体" w:hAnsi="宋体" w:cs="宋体"/>
                <w:color w:val="auto"/>
                <w:highlight w:val="none"/>
              </w:rPr>
              <w:t>）网页查询记录为准）。</w:t>
            </w:r>
          </w:p>
          <w:p w14:paraId="3A901249">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b/>
                <w:bCs/>
                <w:color w:val="auto"/>
                <w:highlight w:val="none"/>
              </w:rPr>
            </w:pPr>
            <w:r>
              <w:rPr>
                <w:rFonts w:hint="eastAsia" w:ascii="宋体" w:hAnsi="宋体" w:cs="宋体"/>
                <w:b/>
                <w:bCs/>
                <w:color w:val="auto"/>
                <w:highlight w:val="none"/>
              </w:rPr>
              <w:t>②健全的财务会计制度：</w:t>
            </w:r>
          </w:p>
          <w:p w14:paraId="6D79203C">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hint="eastAsia" w:ascii="宋体" w:hAnsi="宋体" w:cs="宋体"/>
                <w:color w:val="auto"/>
                <w:highlight w:val="none"/>
                <w:u w:val="single"/>
              </w:rPr>
              <w:t>供应商须在响应文件中出具有健全的财务会计制度承诺函（见附件格式）：</w:t>
            </w:r>
          </w:p>
        </w:tc>
      </w:tr>
      <w:tr w14:paraId="1A72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6" w:type="dxa"/>
            <w:vAlign w:val="center"/>
          </w:tcPr>
          <w:p w14:paraId="0937D12F">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center"/>
              <w:textAlignment w:val="bottom"/>
              <w:outlineLvl w:val="2"/>
              <w:rPr>
                <w:rFonts w:ascii="宋体" w:cs="宋体"/>
                <w:color w:val="auto"/>
                <w:szCs w:val="21"/>
                <w:highlight w:val="none"/>
              </w:rPr>
            </w:pPr>
            <w:r>
              <w:rPr>
                <w:rFonts w:ascii="宋体" w:hAnsi="宋体" w:cs="宋体"/>
                <w:color w:val="auto"/>
                <w:szCs w:val="21"/>
                <w:highlight w:val="none"/>
              </w:rPr>
              <w:t>1.3</w:t>
            </w:r>
          </w:p>
        </w:tc>
        <w:tc>
          <w:tcPr>
            <w:tcW w:w="2098" w:type="dxa"/>
            <w:vAlign w:val="center"/>
          </w:tcPr>
          <w:p w14:paraId="215A958F">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ascii="宋体" w:hAnsi="宋体" w:cs="宋体"/>
                <w:color w:val="auto"/>
                <w:highlight w:val="none"/>
              </w:rPr>
              <w:t>C.</w:t>
            </w:r>
            <w:r>
              <w:rPr>
                <w:rFonts w:hint="eastAsia" w:ascii="宋体" w:hAnsi="宋体" w:cs="宋体"/>
                <w:color w:val="auto"/>
                <w:highlight w:val="none"/>
              </w:rPr>
              <w:t>具有履行合同所必需的设备和专业技术能力：</w:t>
            </w:r>
          </w:p>
        </w:tc>
        <w:tc>
          <w:tcPr>
            <w:tcW w:w="6913" w:type="dxa"/>
            <w:vAlign w:val="center"/>
          </w:tcPr>
          <w:p w14:paraId="58A78BF8">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left"/>
              <w:textAlignment w:val="bottom"/>
              <w:outlineLvl w:val="2"/>
              <w:rPr>
                <w:rFonts w:ascii="宋体" w:cs="宋体"/>
                <w:color w:val="auto"/>
                <w:szCs w:val="21"/>
                <w:highlight w:val="none"/>
              </w:rPr>
            </w:pPr>
            <w:r>
              <w:rPr>
                <w:rFonts w:hint="eastAsia" w:ascii="宋体" w:hAnsi="宋体" w:cs="宋体"/>
                <w:color w:val="auto"/>
                <w:szCs w:val="21"/>
                <w:highlight w:val="none"/>
              </w:rPr>
              <w:t>磋商供应商须在响应文件中出具具有履行合同所必需的设备和专业技术能力的承诺函（见附件格式）</w:t>
            </w:r>
          </w:p>
        </w:tc>
      </w:tr>
      <w:tr w14:paraId="633C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6" w:type="dxa"/>
            <w:vAlign w:val="center"/>
          </w:tcPr>
          <w:p w14:paraId="394E71A0">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center"/>
              <w:textAlignment w:val="bottom"/>
              <w:outlineLvl w:val="2"/>
              <w:rPr>
                <w:rFonts w:ascii="宋体" w:cs="宋体"/>
                <w:color w:val="auto"/>
                <w:szCs w:val="21"/>
                <w:highlight w:val="none"/>
              </w:rPr>
            </w:pPr>
            <w:r>
              <w:rPr>
                <w:rFonts w:ascii="宋体" w:hAnsi="宋体" w:cs="宋体"/>
                <w:color w:val="auto"/>
                <w:szCs w:val="21"/>
                <w:highlight w:val="none"/>
              </w:rPr>
              <w:t>1.4</w:t>
            </w:r>
          </w:p>
        </w:tc>
        <w:tc>
          <w:tcPr>
            <w:tcW w:w="2098" w:type="dxa"/>
            <w:vAlign w:val="center"/>
          </w:tcPr>
          <w:p w14:paraId="309E55A9">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ascii="宋体" w:hAnsi="宋体" w:cs="宋体"/>
                <w:color w:val="auto"/>
                <w:highlight w:val="none"/>
              </w:rPr>
              <w:t>D.</w:t>
            </w:r>
            <w:r>
              <w:rPr>
                <w:rFonts w:hint="eastAsia" w:ascii="宋体" w:hAnsi="宋体" w:cs="宋体"/>
                <w:color w:val="auto"/>
                <w:highlight w:val="none"/>
              </w:rPr>
              <w:t>有依法缴纳税收和社会保障资金的良好记录：</w:t>
            </w:r>
          </w:p>
        </w:tc>
        <w:tc>
          <w:tcPr>
            <w:tcW w:w="6913" w:type="dxa"/>
            <w:vAlign w:val="center"/>
          </w:tcPr>
          <w:p w14:paraId="7AD97432">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hint="eastAsia" w:ascii="宋体" w:hAnsi="宋体" w:cs="宋体"/>
                <w:color w:val="auto"/>
                <w:highlight w:val="none"/>
              </w:rPr>
              <w:t>供应商须在响应文件中出具依法缴纳税收及社会保障资金的书面承诺（见附件格式）</w:t>
            </w:r>
          </w:p>
        </w:tc>
      </w:tr>
      <w:tr w14:paraId="270D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6" w:type="dxa"/>
            <w:vAlign w:val="center"/>
          </w:tcPr>
          <w:p w14:paraId="59B5471E">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center"/>
              <w:textAlignment w:val="bottom"/>
              <w:outlineLvl w:val="2"/>
              <w:rPr>
                <w:rFonts w:ascii="宋体" w:cs="宋体"/>
                <w:color w:val="auto"/>
                <w:szCs w:val="21"/>
                <w:highlight w:val="none"/>
              </w:rPr>
            </w:pPr>
            <w:r>
              <w:rPr>
                <w:rFonts w:ascii="宋体" w:hAnsi="宋体" w:cs="宋体"/>
                <w:color w:val="auto"/>
                <w:szCs w:val="21"/>
                <w:highlight w:val="none"/>
              </w:rPr>
              <w:t>1.5</w:t>
            </w:r>
          </w:p>
        </w:tc>
        <w:tc>
          <w:tcPr>
            <w:tcW w:w="2098" w:type="dxa"/>
            <w:vAlign w:val="center"/>
          </w:tcPr>
          <w:p w14:paraId="7E17B544">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ascii="宋体" w:hAnsi="宋体" w:cs="宋体"/>
                <w:color w:val="auto"/>
                <w:highlight w:val="none"/>
              </w:rPr>
              <w:t>E.</w:t>
            </w:r>
            <w:r>
              <w:rPr>
                <w:rFonts w:hint="eastAsia" w:ascii="宋体" w:hAnsi="宋体" w:cs="宋体"/>
                <w:color w:val="auto"/>
                <w:highlight w:val="none"/>
              </w:rPr>
              <w:t>参加政府采购活动前三年内，在经营活动中没有重大违法记录：</w:t>
            </w:r>
          </w:p>
        </w:tc>
        <w:tc>
          <w:tcPr>
            <w:tcW w:w="6913" w:type="dxa"/>
            <w:vAlign w:val="center"/>
          </w:tcPr>
          <w:p w14:paraId="66BFC731">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hint="eastAsia" w:ascii="宋体" w:hAnsi="宋体" w:cs="宋体"/>
                <w:color w:val="auto"/>
                <w:highlight w:val="none"/>
              </w:rPr>
              <w:t>磋商供应商须在响应文件中出具参加政府采购活动前三年内，在经营活动中没有重大违法记录的声明（见附件格式）。</w:t>
            </w:r>
          </w:p>
        </w:tc>
      </w:tr>
      <w:tr w14:paraId="2388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6" w:type="dxa"/>
            <w:vAlign w:val="center"/>
          </w:tcPr>
          <w:p w14:paraId="7CBBD2A8">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center"/>
              <w:textAlignment w:val="bottom"/>
              <w:outlineLvl w:val="2"/>
              <w:rPr>
                <w:rFonts w:ascii="宋体" w:cs="宋体"/>
                <w:color w:val="auto"/>
                <w:szCs w:val="21"/>
                <w:highlight w:val="none"/>
              </w:rPr>
            </w:pPr>
            <w:r>
              <w:rPr>
                <w:rFonts w:ascii="宋体" w:hAnsi="宋体" w:cs="宋体"/>
                <w:color w:val="auto"/>
                <w:szCs w:val="21"/>
                <w:highlight w:val="none"/>
              </w:rPr>
              <w:t>1.6</w:t>
            </w:r>
          </w:p>
        </w:tc>
        <w:tc>
          <w:tcPr>
            <w:tcW w:w="2098" w:type="dxa"/>
            <w:vAlign w:val="center"/>
          </w:tcPr>
          <w:p w14:paraId="293A6B8A">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ascii="宋体" w:hAnsi="宋体" w:cs="宋体"/>
                <w:color w:val="auto"/>
                <w:highlight w:val="none"/>
              </w:rPr>
              <w:t>F.</w:t>
            </w:r>
            <w:r>
              <w:rPr>
                <w:rFonts w:hint="eastAsia" w:ascii="宋体" w:hAnsi="宋体" w:cs="宋体"/>
                <w:color w:val="auto"/>
                <w:highlight w:val="none"/>
              </w:rPr>
              <w:t>根据《关于规范政府采购投标人资格设定及资格审查的通知》（浙财采监【</w:t>
            </w:r>
            <w:r>
              <w:rPr>
                <w:rFonts w:ascii="宋体" w:hAnsi="宋体" w:cs="宋体"/>
                <w:color w:val="auto"/>
                <w:highlight w:val="none"/>
              </w:rPr>
              <w:t>2013</w:t>
            </w:r>
            <w:r>
              <w:rPr>
                <w:rFonts w:hint="eastAsia" w:ascii="宋体" w:hAnsi="宋体" w:cs="宋体"/>
                <w:color w:val="auto"/>
                <w:highlight w:val="none"/>
              </w:rPr>
              <w:t>】</w:t>
            </w:r>
            <w:r>
              <w:rPr>
                <w:rFonts w:ascii="宋体" w:hAnsi="宋体" w:cs="宋体"/>
                <w:color w:val="auto"/>
                <w:highlight w:val="none"/>
              </w:rPr>
              <w:t>24</w:t>
            </w:r>
            <w:r>
              <w:rPr>
                <w:rFonts w:hint="eastAsia" w:ascii="宋体" w:hAnsi="宋体" w:cs="宋体"/>
                <w:color w:val="auto"/>
                <w:highlight w:val="none"/>
              </w:rPr>
              <w:t>号）第六条规定</w:t>
            </w:r>
          </w:p>
        </w:tc>
        <w:tc>
          <w:tcPr>
            <w:tcW w:w="6913" w:type="dxa"/>
            <w:vAlign w:val="center"/>
          </w:tcPr>
          <w:p w14:paraId="108722F5">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hint="eastAsia" w:ascii="宋体" w:hAnsi="宋体" w:cs="宋体"/>
                <w:color w:val="auto"/>
                <w:highlight w:val="none"/>
              </w:rPr>
              <w:t>若参加磋商供应商属于第六条规定的，除基本资格要求应提供资料外。还应提供以下资料才能证明其具备实际承担责任的能力和法定的缔结合同能力：</w:t>
            </w:r>
          </w:p>
          <w:p w14:paraId="712D242F">
            <w:pPr>
              <w:pStyle w:val="58"/>
              <w:keepNext w:val="0"/>
              <w:keepLines w:val="0"/>
              <w:pageBreakBefore w:val="0"/>
              <w:widowControl/>
              <w:numPr>
                <w:ilvl w:val="0"/>
                <w:numId w:val="6"/>
              </w:numPr>
              <w:kinsoku/>
              <w:wordWrap/>
              <w:overflowPunct/>
              <w:topLinePunct w:val="0"/>
              <w:bidi w:val="0"/>
              <w:adjustRightInd/>
              <w:snapToGrid/>
              <w:spacing w:line="360" w:lineRule="exact"/>
              <w:ind w:firstLine="0" w:firstLineChars="0"/>
              <w:rPr>
                <w:rFonts w:ascii="宋体" w:cs="宋体"/>
                <w:color w:val="auto"/>
                <w:highlight w:val="none"/>
              </w:rPr>
            </w:pPr>
            <w:r>
              <w:rPr>
                <w:rFonts w:hint="eastAsia" w:ascii="宋体" w:hAnsi="宋体" w:cs="宋体"/>
                <w:color w:val="auto"/>
                <w:highlight w:val="none"/>
              </w:rPr>
              <w:t>金融、保险、通讯等特定行业的全国性企业所设立的区域性分支机构参加投标的须提供总公司（总机构）授权；</w:t>
            </w:r>
          </w:p>
        </w:tc>
      </w:tr>
      <w:tr w14:paraId="2112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6" w:type="dxa"/>
            <w:vAlign w:val="center"/>
          </w:tcPr>
          <w:p w14:paraId="59C20F95">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center"/>
              <w:textAlignment w:val="bottom"/>
              <w:outlineLvl w:val="2"/>
              <w:rPr>
                <w:rFonts w:ascii="宋体" w:cs="宋体"/>
                <w:color w:val="auto"/>
                <w:szCs w:val="21"/>
                <w:highlight w:val="none"/>
              </w:rPr>
            </w:pPr>
            <w:r>
              <w:rPr>
                <w:rFonts w:ascii="宋体" w:hAnsi="宋体" w:cs="宋体"/>
                <w:color w:val="auto"/>
                <w:szCs w:val="21"/>
                <w:highlight w:val="none"/>
              </w:rPr>
              <w:t>2</w:t>
            </w:r>
          </w:p>
        </w:tc>
        <w:tc>
          <w:tcPr>
            <w:tcW w:w="2098" w:type="dxa"/>
            <w:vAlign w:val="center"/>
          </w:tcPr>
          <w:p w14:paraId="05682A97">
            <w:pPr>
              <w:keepNext w:val="0"/>
              <w:keepLines w:val="0"/>
              <w:pageBreakBefore w:val="0"/>
              <w:kinsoku/>
              <w:wordWrap/>
              <w:overflowPunct/>
              <w:topLinePunct w:val="0"/>
              <w:bidi w:val="0"/>
              <w:adjustRightInd/>
              <w:snapToGrid/>
              <w:spacing w:line="360" w:lineRule="exact"/>
              <w:rPr>
                <w:rFonts w:ascii="宋体" w:cs="宋体"/>
                <w:color w:val="auto"/>
                <w:highlight w:val="none"/>
              </w:rPr>
            </w:pPr>
            <w:r>
              <w:rPr>
                <w:rFonts w:hint="eastAsia" w:ascii="宋体" w:hAnsi="宋体" w:cs="宋体"/>
                <w:color w:val="auto"/>
                <w:kern w:val="0"/>
                <w:szCs w:val="21"/>
                <w:highlight w:val="none"/>
              </w:rPr>
              <w:t>落实政府采购政策需满足的资格要求：</w:t>
            </w:r>
          </w:p>
        </w:tc>
        <w:tc>
          <w:tcPr>
            <w:tcW w:w="6913" w:type="dxa"/>
            <w:vAlign w:val="center"/>
          </w:tcPr>
          <w:p w14:paraId="7CE864A7">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本项目供应商必须为中小企业/小微企业或监狱企业或残疾人福利性单位，提供以下材料</w:t>
            </w:r>
            <w:r>
              <w:rPr>
                <w:rFonts w:hint="eastAsia" w:ascii="宋体" w:hAnsi="宋体" w:cs="宋体"/>
                <w:color w:val="auto"/>
                <w:kern w:val="0"/>
                <w:szCs w:val="21"/>
                <w:highlight w:val="none"/>
                <w:u w:val="single"/>
              </w:rPr>
              <w:t>(三选一)</w:t>
            </w:r>
            <w:r>
              <w:rPr>
                <w:rFonts w:hint="eastAsia" w:ascii="宋体" w:hAnsi="宋体" w:cs="宋体"/>
                <w:color w:val="auto"/>
                <w:kern w:val="0"/>
                <w:szCs w:val="21"/>
                <w:highlight w:val="none"/>
              </w:rPr>
              <w:t>:</w:t>
            </w:r>
          </w:p>
          <w:p w14:paraId="25ACE375">
            <w:pPr>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(1)关于中、小、微型企业(简称中小微企业)投标:中小微企业投标是指符合《中小企业划型标准规定》(工信部联企业(2011)300号)的供应商，</w:t>
            </w:r>
            <w:r>
              <w:rPr>
                <w:rFonts w:hint="eastAsia" w:ascii="宋体" w:hAnsi="宋体" w:cs="宋体"/>
                <w:color w:val="auto"/>
                <w:kern w:val="0"/>
                <w:szCs w:val="21"/>
                <w:highlight w:val="none"/>
                <w:u w:val="single"/>
              </w:rPr>
              <w:t>中小微企业投标应提供《中小企业声明函》见附件格式</w:t>
            </w:r>
            <w:r>
              <w:rPr>
                <w:rFonts w:hint="eastAsia" w:ascii="宋体" w:hAnsi="宋体" w:cs="宋体"/>
                <w:color w:val="auto"/>
                <w:kern w:val="0"/>
                <w:szCs w:val="21"/>
                <w:highlight w:val="none"/>
                <w:u w:val="single"/>
                <w:lang w:eastAsia="zh-CN"/>
              </w:rPr>
              <w:t>；</w:t>
            </w:r>
          </w:p>
          <w:p w14:paraId="3FEFC147">
            <w:pPr>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(2)监狱企业参加政府采购活动时，应当提供由省级以上监狱管理局、戒毒管理局(含新疆生产建设兵团)出具的</w:t>
            </w:r>
            <w:r>
              <w:rPr>
                <w:rFonts w:hint="eastAsia" w:ascii="宋体" w:hAnsi="宋体" w:cs="宋体"/>
                <w:color w:val="auto"/>
                <w:kern w:val="0"/>
                <w:szCs w:val="21"/>
                <w:highlight w:val="none"/>
                <w:u w:val="single"/>
              </w:rPr>
              <w:t>属于监狱企业的证明文件</w:t>
            </w:r>
            <w:r>
              <w:rPr>
                <w:rFonts w:hint="eastAsia" w:ascii="宋体" w:hAnsi="宋体" w:cs="宋体"/>
                <w:color w:val="auto"/>
                <w:kern w:val="0"/>
                <w:szCs w:val="21"/>
                <w:highlight w:val="none"/>
                <w:u w:val="single"/>
                <w:lang w:eastAsia="zh-CN"/>
              </w:rPr>
              <w:t>；</w:t>
            </w:r>
          </w:p>
          <w:p w14:paraId="46A1C01C">
            <w:pPr>
              <w:spacing w:line="360" w:lineRule="auto"/>
              <w:rPr>
                <w:rFonts w:hint="eastAsia" w:ascii="宋体" w:eastAsia="宋体" w:cs="宋体"/>
                <w:color w:val="auto"/>
                <w:highlight w:val="none"/>
                <w:lang w:val="en-US" w:eastAsia="zh-CN"/>
              </w:rPr>
            </w:pPr>
            <w:r>
              <w:rPr>
                <w:rFonts w:hint="eastAsia" w:ascii="宋体" w:hAnsi="宋体" w:cs="宋体"/>
                <w:color w:val="auto"/>
                <w:kern w:val="0"/>
                <w:szCs w:val="21"/>
                <w:highlight w:val="none"/>
              </w:rPr>
              <w:t>(3)残疾人福利性单位在参加政府采购活动时，</w:t>
            </w:r>
            <w:r>
              <w:rPr>
                <w:rFonts w:hint="eastAsia" w:ascii="宋体" w:hAnsi="宋体" w:cs="宋体"/>
                <w:color w:val="auto"/>
                <w:kern w:val="0"/>
                <w:szCs w:val="21"/>
                <w:highlight w:val="none"/>
                <w:u w:val="single"/>
              </w:rPr>
              <w:t>应提供《残疾人福利性单位声明函》(见附件格式)</w:t>
            </w:r>
            <w:r>
              <w:rPr>
                <w:rFonts w:hint="eastAsia" w:ascii="宋体" w:hAnsi="宋体" w:cs="宋体"/>
                <w:color w:val="auto"/>
                <w:kern w:val="0"/>
                <w:szCs w:val="21"/>
                <w:highlight w:val="none"/>
                <w:u w:val="single"/>
                <w:lang w:eastAsia="zh-CN"/>
              </w:rPr>
              <w:t>。</w:t>
            </w:r>
          </w:p>
        </w:tc>
      </w:tr>
      <w:tr w14:paraId="40A1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6" w:type="dxa"/>
            <w:vAlign w:val="center"/>
          </w:tcPr>
          <w:p w14:paraId="23B7A4C5">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center"/>
              <w:textAlignment w:val="bottom"/>
              <w:outlineLvl w:val="2"/>
              <w:rPr>
                <w:rFonts w:ascii="宋体" w:cs="宋体"/>
                <w:color w:val="auto"/>
                <w:szCs w:val="21"/>
                <w:highlight w:val="none"/>
              </w:rPr>
            </w:pPr>
            <w:r>
              <w:rPr>
                <w:rFonts w:ascii="宋体" w:hAnsi="宋体" w:cs="宋体"/>
                <w:color w:val="auto"/>
                <w:szCs w:val="21"/>
                <w:highlight w:val="none"/>
              </w:rPr>
              <w:t>3</w:t>
            </w:r>
          </w:p>
        </w:tc>
        <w:tc>
          <w:tcPr>
            <w:tcW w:w="2098" w:type="dxa"/>
            <w:vAlign w:val="center"/>
          </w:tcPr>
          <w:p w14:paraId="7AFD37AF">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hint="eastAsia" w:ascii="宋体" w:hAnsi="宋体" w:cs="宋体"/>
                <w:color w:val="auto"/>
                <w:highlight w:val="none"/>
              </w:rPr>
              <w:t>供应商特定条件</w:t>
            </w:r>
          </w:p>
        </w:tc>
        <w:tc>
          <w:tcPr>
            <w:tcW w:w="6913" w:type="dxa"/>
            <w:vAlign w:val="center"/>
          </w:tcPr>
          <w:p w14:paraId="17EA876E">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hint="eastAsia" w:ascii="宋体" w:hAnsi="宋体" w:cs="宋体"/>
                <w:color w:val="auto"/>
                <w:kern w:val="0"/>
                <w:szCs w:val="21"/>
                <w:highlight w:val="none"/>
              </w:rPr>
              <w:t>投标人须具有建筑工程施工总承包三级及以上资质等级，并在人员、设备、资金等方面具有相应的施工能力，企业具有安全生产许可证，且在有效期内；浙江省省外企业须具有有效的《省外企业进浙承接业务备案证明》或浙江省建筑市场监管公共服务系统已完成办理的公示信息网站截图证明。</w:t>
            </w:r>
          </w:p>
        </w:tc>
      </w:tr>
      <w:tr w14:paraId="4937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6" w:type="dxa"/>
            <w:vAlign w:val="center"/>
          </w:tcPr>
          <w:p w14:paraId="7059ADAA">
            <w:pPr>
              <w:pStyle w:val="57"/>
              <w:keepNext w:val="0"/>
              <w:keepLines w:val="0"/>
              <w:pageBreakBefore w:val="0"/>
              <w:tabs>
                <w:tab w:val="left" w:pos="0"/>
              </w:tabs>
              <w:kinsoku/>
              <w:wordWrap/>
              <w:overflowPunct/>
              <w:topLinePunct w:val="0"/>
              <w:autoSpaceDE w:val="0"/>
              <w:autoSpaceDN w:val="0"/>
              <w:bidi w:val="0"/>
              <w:adjustRightInd/>
              <w:snapToGrid/>
              <w:spacing w:line="360" w:lineRule="exact"/>
              <w:ind w:firstLine="0" w:firstLineChars="0"/>
              <w:jc w:val="center"/>
              <w:textAlignment w:val="bottom"/>
              <w:outlineLvl w:val="2"/>
              <w:rPr>
                <w:rFonts w:ascii="宋体" w:cs="宋体"/>
                <w:color w:val="auto"/>
                <w:szCs w:val="21"/>
                <w:highlight w:val="none"/>
              </w:rPr>
            </w:pPr>
            <w:r>
              <w:rPr>
                <w:rFonts w:ascii="宋体" w:hAnsi="宋体" w:cs="宋体"/>
                <w:color w:val="auto"/>
                <w:szCs w:val="21"/>
                <w:highlight w:val="none"/>
              </w:rPr>
              <w:t>3.1</w:t>
            </w:r>
          </w:p>
        </w:tc>
        <w:tc>
          <w:tcPr>
            <w:tcW w:w="2098" w:type="dxa"/>
            <w:vAlign w:val="center"/>
          </w:tcPr>
          <w:p w14:paraId="1A883865">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color w:val="auto"/>
                <w:highlight w:val="none"/>
              </w:rPr>
            </w:pPr>
            <w:r>
              <w:rPr>
                <w:rFonts w:hint="eastAsia" w:ascii="宋体" w:hAnsi="宋体" w:cs="宋体"/>
                <w:color w:val="auto"/>
                <w:highlight w:val="none"/>
              </w:rPr>
              <w:t>联合体</w:t>
            </w:r>
          </w:p>
        </w:tc>
        <w:tc>
          <w:tcPr>
            <w:tcW w:w="6913" w:type="dxa"/>
            <w:vAlign w:val="center"/>
          </w:tcPr>
          <w:p w14:paraId="1D0F0E3E">
            <w:pPr>
              <w:pStyle w:val="58"/>
              <w:keepNext w:val="0"/>
              <w:keepLines w:val="0"/>
              <w:pageBreakBefore w:val="0"/>
              <w:widowControl/>
              <w:kinsoku/>
              <w:wordWrap/>
              <w:overflowPunct/>
              <w:topLinePunct w:val="0"/>
              <w:bidi w:val="0"/>
              <w:adjustRightInd/>
              <w:snapToGrid/>
              <w:spacing w:line="360" w:lineRule="exact"/>
              <w:ind w:firstLine="0" w:firstLineChars="0"/>
              <w:rPr>
                <w:rFonts w:ascii="宋体" w:cs="宋体"/>
                <w:b/>
                <w:color w:val="auto"/>
                <w:highlight w:val="none"/>
                <w:u w:val="single"/>
              </w:rPr>
            </w:pPr>
            <w:r>
              <w:rPr>
                <w:rFonts w:hint="eastAsia" w:ascii="宋体" w:hAnsi="宋体"/>
                <w:color w:val="auto"/>
                <w:highlight w:val="none"/>
              </w:rPr>
              <w:t>本项目不接受联合体投标。</w:t>
            </w:r>
          </w:p>
        </w:tc>
      </w:tr>
    </w:tbl>
    <w:p w14:paraId="737F3C06">
      <w:pPr>
        <w:pStyle w:val="57"/>
        <w:autoSpaceDE w:val="0"/>
        <w:autoSpaceDN w:val="0"/>
        <w:spacing w:before="156" w:beforeLines="50" w:line="360" w:lineRule="auto"/>
        <w:ind w:firstLine="0" w:firstLineChars="0"/>
        <w:textAlignment w:val="bottom"/>
        <w:outlineLvl w:val="2"/>
        <w:rPr>
          <w:rFonts w:ascii="宋体" w:cs="宋体"/>
          <w:color w:val="auto"/>
          <w:szCs w:val="21"/>
          <w:highlight w:val="none"/>
        </w:rPr>
      </w:pPr>
      <w:r>
        <w:rPr>
          <w:rFonts w:hint="eastAsia" w:ascii="宋体" w:hAnsi="宋体" w:cs="宋体"/>
          <w:color w:val="auto"/>
          <w:szCs w:val="21"/>
          <w:highlight w:val="none"/>
        </w:rPr>
        <w:t>【采购文件若允许以联合体形式进行政府采购的，参加联合体的供应商均应当提供以上材料】</w:t>
      </w:r>
    </w:p>
    <w:p w14:paraId="7ADF65F0">
      <w:pPr>
        <w:pStyle w:val="57"/>
        <w:numPr>
          <w:ilvl w:val="2"/>
          <w:numId w:val="4"/>
        </w:numPr>
        <w:autoSpaceDE w:val="0"/>
        <w:autoSpaceDN w:val="0"/>
        <w:spacing w:line="360" w:lineRule="auto"/>
        <w:ind w:left="0" w:firstLine="422"/>
        <w:textAlignment w:val="bottom"/>
        <w:outlineLvl w:val="2"/>
        <w:rPr>
          <w:rFonts w:ascii="宋体" w:cs="宋体"/>
          <w:b/>
          <w:bCs/>
          <w:color w:val="auto"/>
          <w:szCs w:val="21"/>
          <w:highlight w:val="none"/>
        </w:rPr>
      </w:pPr>
      <w:r>
        <w:rPr>
          <w:rFonts w:hint="eastAsia" w:ascii="宋体" w:hAnsi="宋体" w:cs="宋体"/>
          <w:b/>
          <w:bCs/>
          <w:color w:val="auto"/>
          <w:szCs w:val="21"/>
          <w:highlight w:val="none"/>
        </w:rPr>
        <w:t>商务与技术文件的组成：</w:t>
      </w:r>
    </w:p>
    <w:p w14:paraId="501EB7C1">
      <w:pPr>
        <w:pStyle w:val="58"/>
        <w:widowControl/>
        <w:numPr>
          <w:ilvl w:val="0"/>
          <w:numId w:val="7"/>
        </w:numPr>
        <w:spacing w:line="360" w:lineRule="auto"/>
        <w:ind w:left="0" w:firstLine="420"/>
        <w:rPr>
          <w:rFonts w:ascii="宋体" w:cs="宋体"/>
          <w:color w:val="auto"/>
          <w:highlight w:val="none"/>
        </w:rPr>
      </w:pPr>
      <w:r>
        <w:rPr>
          <w:rFonts w:hint="eastAsia" w:ascii="宋体" w:hAnsi="宋体" w:cs="宋体"/>
          <w:color w:val="auto"/>
          <w:highlight w:val="none"/>
        </w:rPr>
        <w:t>目录；</w:t>
      </w:r>
    </w:p>
    <w:p w14:paraId="2906CCAE">
      <w:pPr>
        <w:pStyle w:val="58"/>
        <w:widowControl/>
        <w:numPr>
          <w:ilvl w:val="0"/>
          <w:numId w:val="7"/>
        </w:numPr>
        <w:spacing w:line="360" w:lineRule="auto"/>
        <w:ind w:left="0" w:firstLine="420"/>
        <w:rPr>
          <w:rFonts w:ascii="宋体" w:cs="宋体"/>
          <w:color w:val="auto"/>
          <w:highlight w:val="none"/>
        </w:rPr>
      </w:pPr>
      <w:r>
        <w:rPr>
          <w:rFonts w:hint="eastAsia" w:ascii="宋体" w:hAnsi="宋体" w:cs="宋体"/>
          <w:color w:val="auto"/>
          <w:highlight w:val="none"/>
        </w:rPr>
        <w:t>法定代表人身份证书或授权委托书（见附件格式，二选一）；</w:t>
      </w:r>
    </w:p>
    <w:p w14:paraId="3CDA8CA7">
      <w:pPr>
        <w:pStyle w:val="58"/>
        <w:widowControl/>
        <w:numPr>
          <w:ilvl w:val="0"/>
          <w:numId w:val="7"/>
        </w:numPr>
        <w:spacing w:line="360" w:lineRule="auto"/>
        <w:ind w:left="0" w:firstLine="420"/>
        <w:rPr>
          <w:rFonts w:ascii="宋体" w:cs="宋体"/>
          <w:color w:val="auto"/>
          <w:highlight w:val="none"/>
        </w:rPr>
      </w:pPr>
      <w:r>
        <w:rPr>
          <w:rFonts w:hint="eastAsia" w:ascii="宋体" w:hAnsi="宋体" w:cs="宋体"/>
          <w:color w:val="auto"/>
          <w:highlight w:val="none"/>
        </w:rPr>
        <w:t>磋商声明书（见附件格式）；</w:t>
      </w:r>
    </w:p>
    <w:p w14:paraId="139344CC">
      <w:pPr>
        <w:pStyle w:val="58"/>
        <w:widowControl/>
        <w:numPr>
          <w:ilvl w:val="0"/>
          <w:numId w:val="7"/>
        </w:numPr>
        <w:spacing w:line="360" w:lineRule="auto"/>
        <w:ind w:left="0" w:firstLine="420"/>
        <w:rPr>
          <w:rFonts w:ascii="宋体" w:cs="宋体"/>
          <w:color w:val="auto"/>
          <w:highlight w:val="none"/>
        </w:rPr>
      </w:pPr>
      <w:r>
        <w:rPr>
          <w:rFonts w:hint="eastAsia" w:ascii="宋体" w:hAnsi="宋体" w:cs="宋体"/>
          <w:color w:val="auto"/>
          <w:highlight w:val="none"/>
        </w:rPr>
        <w:t>商务响应表（见附件格式）；</w:t>
      </w:r>
    </w:p>
    <w:p w14:paraId="2AA13E29">
      <w:pPr>
        <w:pStyle w:val="58"/>
        <w:widowControl/>
        <w:numPr>
          <w:ilvl w:val="0"/>
          <w:numId w:val="7"/>
        </w:numPr>
        <w:spacing w:line="360" w:lineRule="auto"/>
        <w:ind w:left="0" w:firstLine="420"/>
        <w:rPr>
          <w:rFonts w:ascii="宋体" w:cs="宋体"/>
          <w:color w:val="auto"/>
          <w:highlight w:val="none"/>
        </w:rPr>
      </w:pPr>
      <w:r>
        <w:rPr>
          <w:rFonts w:hint="eastAsia" w:ascii="宋体" w:hAnsi="宋体" w:cs="宋体"/>
          <w:color w:val="auto"/>
          <w:highlight w:val="none"/>
        </w:rPr>
        <w:t>类似项目业绩一览表；</w:t>
      </w:r>
    </w:p>
    <w:p w14:paraId="53E59C2C">
      <w:pPr>
        <w:pStyle w:val="58"/>
        <w:widowControl/>
        <w:numPr>
          <w:ilvl w:val="0"/>
          <w:numId w:val="7"/>
        </w:numPr>
        <w:spacing w:line="360" w:lineRule="auto"/>
        <w:ind w:left="0" w:firstLine="420"/>
        <w:rPr>
          <w:rFonts w:ascii="宋体" w:cs="宋体"/>
          <w:color w:val="auto"/>
          <w:highlight w:val="none"/>
        </w:rPr>
      </w:pPr>
      <w:r>
        <w:rPr>
          <w:rFonts w:hint="eastAsia" w:ascii="宋体" w:hAnsi="宋体" w:cs="宋体"/>
          <w:color w:val="auto"/>
          <w:highlight w:val="none"/>
        </w:rPr>
        <w:t>项目负责人简历表；</w:t>
      </w:r>
    </w:p>
    <w:p w14:paraId="151108FA">
      <w:pPr>
        <w:pStyle w:val="58"/>
        <w:widowControl/>
        <w:numPr>
          <w:ilvl w:val="0"/>
          <w:numId w:val="7"/>
        </w:numPr>
        <w:spacing w:line="360" w:lineRule="auto"/>
        <w:ind w:left="0" w:firstLine="420"/>
        <w:rPr>
          <w:rFonts w:ascii="宋体" w:cs="宋体"/>
          <w:color w:val="auto"/>
          <w:highlight w:val="none"/>
        </w:rPr>
      </w:pPr>
      <w:r>
        <w:rPr>
          <w:rFonts w:hint="eastAsia" w:ascii="宋体" w:hAnsi="宋体" w:cs="宋体"/>
          <w:color w:val="auto"/>
          <w:highlight w:val="none"/>
          <w:lang w:eastAsia="zh-CN"/>
        </w:rPr>
        <w:t>项目管理班子配备情况表</w:t>
      </w:r>
      <w:r>
        <w:rPr>
          <w:rFonts w:hint="eastAsia" w:ascii="宋体" w:hAnsi="宋体" w:cs="宋体"/>
          <w:color w:val="auto"/>
          <w:highlight w:val="none"/>
        </w:rPr>
        <w:t>；</w:t>
      </w:r>
    </w:p>
    <w:p w14:paraId="2A6DB519">
      <w:pPr>
        <w:pStyle w:val="58"/>
        <w:widowControl/>
        <w:numPr>
          <w:ilvl w:val="0"/>
          <w:numId w:val="7"/>
        </w:numPr>
        <w:spacing w:line="360" w:lineRule="auto"/>
        <w:ind w:left="0" w:firstLine="420"/>
        <w:rPr>
          <w:rFonts w:ascii="宋体" w:cs="宋体"/>
          <w:color w:val="auto"/>
          <w:highlight w:val="none"/>
        </w:rPr>
      </w:pPr>
      <w:r>
        <w:rPr>
          <w:rFonts w:hint="eastAsia" w:ascii="宋体" w:hAnsi="宋体" w:cs="宋体"/>
          <w:color w:val="auto"/>
          <w:highlight w:val="none"/>
        </w:rPr>
        <w:t>按“第四章</w:t>
      </w:r>
      <w:r>
        <w:rPr>
          <w:rFonts w:ascii="宋体" w:hAnsi="宋体" w:cs="宋体"/>
          <w:color w:val="auto"/>
          <w:highlight w:val="none"/>
        </w:rPr>
        <w:t xml:space="preserve"> </w:t>
      </w:r>
      <w:r>
        <w:rPr>
          <w:rFonts w:hint="eastAsia" w:ascii="宋体" w:hAnsi="宋体" w:cs="宋体"/>
          <w:color w:val="auto"/>
          <w:highlight w:val="none"/>
        </w:rPr>
        <w:t>磋商评审办法”中的评分标准编制，供应商认为需要提供的其他资料（包括可能影响商务资信技术文件评分的各类证明材料）。</w:t>
      </w:r>
    </w:p>
    <w:p w14:paraId="19FDFB32">
      <w:pPr>
        <w:pStyle w:val="57"/>
        <w:numPr>
          <w:ilvl w:val="2"/>
          <w:numId w:val="4"/>
        </w:numPr>
        <w:autoSpaceDE w:val="0"/>
        <w:autoSpaceDN w:val="0"/>
        <w:spacing w:line="360" w:lineRule="auto"/>
        <w:ind w:left="0" w:firstLine="422"/>
        <w:textAlignment w:val="bottom"/>
        <w:outlineLvl w:val="2"/>
        <w:rPr>
          <w:rFonts w:ascii="宋体" w:cs="宋体"/>
          <w:b/>
          <w:bCs/>
          <w:color w:val="auto"/>
          <w:szCs w:val="21"/>
          <w:highlight w:val="none"/>
        </w:rPr>
      </w:pPr>
      <w:r>
        <w:rPr>
          <w:rFonts w:hint="eastAsia" w:ascii="宋体" w:hAnsi="宋体" w:cs="宋体"/>
          <w:b/>
          <w:bCs/>
          <w:color w:val="auto"/>
          <w:szCs w:val="21"/>
          <w:highlight w:val="none"/>
        </w:rPr>
        <w:t>报价文件的组成；</w:t>
      </w:r>
    </w:p>
    <w:p w14:paraId="029038B1">
      <w:pPr>
        <w:pStyle w:val="58"/>
        <w:widowControl/>
        <w:numPr>
          <w:ilvl w:val="0"/>
          <w:numId w:val="8"/>
        </w:numPr>
        <w:spacing w:line="360" w:lineRule="auto"/>
        <w:ind w:left="0" w:firstLine="420"/>
        <w:rPr>
          <w:rFonts w:ascii="宋体" w:cs="宋体"/>
          <w:color w:val="auto"/>
          <w:highlight w:val="none"/>
        </w:rPr>
      </w:pPr>
      <w:r>
        <w:rPr>
          <w:rFonts w:hint="eastAsia" w:ascii="宋体" w:hAnsi="宋体" w:cs="宋体"/>
          <w:color w:val="auto"/>
          <w:highlight w:val="none"/>
        </w:rPr>
        <w:t>目录</w:t>
      </w:r>
    </w:p>
    <w:p w14:paraId="5A073461">
      <w:pPr>
        <w:pStyle w:val="58"/>
        <w:widowControl/>
        <w:numPr>
          <w:ilvl w:val="0"/>
          <w:numId w:val="8"/>
        </w:numPr>
        <w:spacing w:line="360" w:lineRule="auto"/>
        <w:ind w:left="0" w:firstLine="420"/>
        <w:rPr>
          <w:rFonts w:ascii="宋体" w:cs="宋体"/>
          <w:color w:val="auto"/>
          <w:highlight w:val="none"/>
        </w:rPr>
      </w:pPr>
      <w:r>
        <w:rPr>
          <w:rFonts w:hint="eastAsia" w:ascii="宋体" w:hAnsi="宋体" w:cs="宋体"/>
          <w:color w:val="auto"/>
          <w:highlight w:val="none"/>
        </w:rPr>
        <w:t>报价一览表（见附件格式）；</w:t>
      </w:r>
    </w:p>
    <w:p w14:paraId="0051B5F4">
      <w:pPr>
        <w:pStyle w:val="58"/>
        <w:widowControl/>
        <w:numPr>
          <w:ilvl w:val="0"/>
          <w:numId w:val="8"/>
        </w:numPr>
        <w:spacing w:line="360" w:lineRule="auto"/>
        <w:ind w:left="0" w:firstLine="420"/>
        <w:rPr>
          <w:rFonts w:ascii="宋体" w:cs="宋体"/>
          <w:color w:val="auto"/>
          <w:highlight w:val="none"/>
        </w:rPr>
      </w:pPr>
      <w:r>
        <w:rPr>
          <w:rFonts w:hint="eastAsia" w:ascii="宋体" w:hAnsi="宋体" w:cs="宋体"/>
          <w:color w:val="auto"/>
          <w:highlight w:val="none"/>
        </w:rPr>
        <w:t>供应商针对报价需要说明的其他文件和说明。</w:t>
      </w:r>
    </w:p>
    <w:p w14:paraId="29D18759">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bookmarkStart w:id="64" w:name="_Toc479667078"/>
      <w:bookmarkStart w:id="65" w:name="_Toc479667356"/>
      <w:r>
        <w:rPr>
          <w:rFonts w:hint="eastAsia" w:ascii="宋体" w:hAnsi="宋体" w:cs="宋体"/>
          <w:b/>
          <w:color w:val="auto"/>
          <w:szCs w:val="21"/>
          <w:highlight w:val="none"/>
        </w:rPr>
        <w:t>响应文件的编制</w:t>
      </w:r>
    </w:p>
    <w:p w14:paraId="44F74D77">
      <w:pPr>
        <w:pStyle w:val="57"/>
        <w:numPr>
          <w:ilvl w:val="1"/>
          <w:numId w:val="4"/>
        </w:numPr>
        <w:tabs>
          <w:tab w:val="left" w:pos="420"/>
        </w:tabs>
        <w:autoSpaceDE w:val="0"/>
        <w:autoSpaceDN w:val="0"/>
        <w:spacing w:line="360" w:lineRule="auto"/>
        <w:ind w:firstLine="422"/>
        <w:textAlignment w:val="bottom"/>
        <w:outlineLvl w:val="2"/>
        <w:rPr>
          <w:rFonts w:ascii="宋体" w:cs="宋体"/>
          <w:b/>
          <w:bCs/>
          <w:color w:val="auto"/>
          <w:szCs w:val="21"/>
          <w:highlight w:val="none"/>
        </w:rPr>
      </w:pPr>
      <w:r>
        <w:rPr>
          <w:rFonts w:hint="eastAsia" w:ascii="宋体" w:hAnsi="宋体" w:cs="宋体"/>
          <w:b/>
          <w:bCs/>
          <w:color w:val="auto"/>
          <w:szCs w:val="21"/>
          <w:highlight w:val="none"/>
        </w:rPr>
        <w:t>内容编制</w:t>
      </w:r>
    </w:p>
    <w:p w14:paraId="02BDD071">
      <w:pPr>
        <w:pStyle w:val="57"/>
        <w:numPr>
          <w:ilvl w:val="0"/>
          <w:numId w:val="9"/>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磋商响应文件应按照本章</w:t>
      </w:r>
      <w:r>
        <w:rPr>
          <w:rFonts w:ascii="宋体" w:hAnsi="宋体" w:cs="宋体"/>
          <w:color w:val="auto"/>
          <w:szCs w:val="21"/>
          <w:highlight w:val="none"/>
        </w:rPr>
        <w:t>23.1.1</w:t>
      </w:r>
      <w:r>
        <w:rPr>
          <w:rFonts w:hint="eastAsia" w:ascii="宋体" w:hAnsi="宋体" w:cs="宋体"/>
          <w:color w:val="auto"/>
          <w:szCs w:val="21"/>
          <w:highlight w:val="none"/>
        </w:rPr>
        <w:t>、</w:t>
      </w:r>
      <w:r>
        <w:rPr>
          <w:rFonts w:ascii="宋体" w:hAnsi="宋体" w:cs="宋体"/>
          <w:color w:val="auto"/>
          <w:szCs w:val="21"/>
          <w:highlight w:val="none"/>
        </w:rPr>
        <w:t>23.1.2</w:t>
      </w:r>
      <w:r>
        <w:rPr>
          <w:rFonts w:hint="eastAsia" w:ascii="宋体" w:hAnsi="宋体" w:cs="宋体"/>
          <w:color w:val="auto"/>
          <w:szCs w:val="21"/>
          <w:highlight w:val="none"/>
        </w:rPr>
        <w:t>、</w:t>
      </w:r>
      <w:r>
        <w:rPr>
          <w:rFonts w:ascii="宋体" w:hAnsi="宋体" w:cs="宋体"/>
          <w:color w:val="auto"/>
          <w:szCs w:val="21"/>
          <w:highlight w:val="none"/>
        </w:rPr>
        <w:t>23.1.3</w:t>
      </w:r>
      <w:r>
        <w:rPr>
          <w:rFonts w:hint="eastAsia" w:ascii="宋体" w:hAnsi="宋体" w:cs="宋体"/>
          <w:color w:val="auto"/>
          <w:szCs w:val="21"/>
          <w:highlight w:val="none"/>
        </w:rPr>
        <w:t>款中规定的顺序及采用“第六章</w:t>
      </w:r>
      <w:r>
        <w:rPr>
          <w:rFonts w:ascii="宋体" w:hAnsi="宋体" w:cs="宋体"/>
          <w:color w:val="auto"/>
          <w:szCs w:val="21"/>
          <w:highlight w:val="none"/>
        </w:rPr>
        <w:t xml:space="preserve"> </w:t>
      </w:r>
      <w:r>
        <w:rPr>
          <w:rFonts w:hint="eastAsia" w:ascii="宋体" w:hAnsi="宋体" w:cs="宋体"/>
          <w:color w:val="auto"/>
          <w:szCs w:val="21"/>
          <w:highlight w:val="none"/>
        </w:rPr>
        <w:t>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ascii="宋体" w:hAnsi="宋体" w:cs="宋体"/>
          <w:color w:val="auto"/>
          <w:szCs w:val="21"/>
          <w:highlight w:val="none"/>
        </w:rPr>
        <w:t>https://www.zcygov.cn/</w:t>
      </w:r>
      <w:r>
        <w:rPr>
          <w:rFonts w:hint="eastAsia" w:ascii="宋体" w:hAnsi="宋体" w:cs="宋体"/>
          <w:color w:val="auto"/>
          <w:szCs w:val="21"/>
          <w:highlight w:val="none"/>
        </w:rPr>
        <w:t>），从首页</w:t>
      </w:r>
      <w:r>
        <w:rPr>
          <w:rFonts w:ascii="宋体" w:cs="宋体"/>
          <w:color w:val="auto"/>
          <w:szCs w:val="21"/>
          <w:highlight w:val="none"/>
        </w:rPr>
        <w:t>-</w:t>
      </w:r>
      <w:r>
        <w:rPr>
          <w:rFonts w:hint="eastAsia" w:ascii="宋体" w:hAnsi="宋体" w:cs="宋体"/>
          <w:color w:val="auto"/>
          <w:szCs w:val="21"/>
          <w:highlight w:val="none"/>
        </w:rPr>
        <w:t>服务中心</w:t>
      </w:r>
      <w:r>
        <w:rPr>
          <w:rFonts w:ascii="宋体" w:cs="宋体"/>
          <w:color w:val="auto"/>
          <w:szCs w:val="21"/>
          <w:highlight w:val="none"/>
        </w:rPr>
        <w:t>-</w:t>
      </w:r>
      <w:r>
        <w:rPr>
          <w:rFonts w:hint="eastAsia" w:ascii="宋体" w:hAnsi="宋体" w:cs="宋体"/>
          <w:color w:val="auto"/>
          <w:szCs w:val="21"/>
          <w:highlight w:val="none"/>
        </w:rPr>
        <w:t>帮助文档</w:t>
      </w:r>
      <w:r>
        <w:rPr>
          <w:rFonts w:ascii="宋体" w:cs="宋体"/>
          <w:color w:val="auto"/>
          <w:szCs w:val="21"/>
          <w:highlight w:val="none"/>
        </w:rPr>
        <w:t>-</w:t>
      </w:r>
      <w:r>
        <w:rPr>
          <w:rFonts w:hint="eastAsia" w:ascii="宋体" w:hAnsi="宋体" w:cs="宋体"/>
          <w:color w:val="auto"/>
          <w:szCs w:val="21"/>
          <w:highlight w:val="none"/>
        </w:rPr>
        <w:t>项目采购</w:t>
      </w:r>
      <w:r>
        <w:rPr>
          <w:rFonts w:ascii="宋体" w:cs="宋体"/>
          <w:color w:val="auto"/>
          <w:szCs w:val="21"/>
          <w:highlight w:val="none"/>
        </w:rPr>
        <w:t>-</w:t>
      </w:r>
      <w:r>
        <w:rPr>
          <w:rFonts w:hint="eastAsia" w:ascii="宋体" w:hAnsi="宋体" w:cs="宋体"/>
          <w:color w:val="auto"/>
          <w:szCs w:val="21"/>
          <w:highlight w:val="none"/>
        </w:rPr>
        <w:t>电子招投标，查看文档和视频。</w:t>
      </w:r>
      <w:r>
        <w:rPr>
          <w:rFonts w:ascii="宋体" w:hAnsi="宋体" w:cs="宋体"/>
          <w:color w:val="auto"/>
          <w:szCs w:val="21"/>
          <w:highlight w:val="none"/>
        </w:rPr>
        <w:t xml:space="preserve"> </w:t>
      </w:r>
    </w:p>
    <w:p w14:paraId="34DFBB3D">
      <w:pPr>
        <w:pStyle w:val="57"/>
        <w:numPr>
          <w:ilvl w:val="0"/>
          <w:numId w:val="9"/>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关联定位规则：一个关联点只能关联一页，不能关联多页；多个关联点可以关联同一页。</w:t>
      </w:r>
      <w:r>
        <w:rPr>
          <w:rFonts w:ascii="宋体" w:hAnsi="宋体" w:cs="宋体"/>
          <w:color w:val="auto"/>
          <w:szCs w:val="21"/>
          <w:highlight w:val="none"/>
        </w:rPr>
        <w:t xml:space="preserve"> </w:t>
      </w:r>
    </w:p>
    <w:p w14:paraId="1C142162">
      <w:pPr>
        <w:pStyle w:val="57"/>
        <w:numPr>
          <w:ilvl w:val="0"/>
          <w:numId w:val="9"/>
        </w:numPr>
        <w:tabs>
          <w:tab w:val="left" w:pos="0"/>
          <w:tab w:val="left" w:pos="420"/>
        </w:tabs>
        <w:autoSpaceDE w:val="0"/>
        <w:autoSpaceDN w:val="0"/>
        <w:spacing w:line="360" w:lineRule="auto"/>
        <w:ind w:firstLine="422"/>
        <w:textAlignment w:val="bottom"/>
        <w:outlineLvl w:val="2"/>
        <w:rPr>
          <w:rFonts w:ascii="宋体" w:cs="宋体"/>
          <w:b/>
          <w:bCs/>
          <w:color w:val="auto"/>
          <w:szCs w:val="21"/>
          <w:highlight w:val="none"/>
          <w:u w:val="single"/>
        </w:rPr>
      </w:pPr>
      <w:r>
        <w:rPr>
          <w:rFonts w:hint="eastAsia" w:ascii="宋体" w:hAnsi="宋体" w:cs="宋体"/>
          <w:b/>
          <w:bCs/>
          <w:color w:val="auto"/>
          <w:szCs w:val="21"/>
          <w:highlight w:val="none"/>
          <w:u w:val="single"/>
        </w:rPr>
        <w:t>响应文件的资格文件、报价文件、商务技术文件必须分别编制，若有多个标项的，各标项的响应文件还必须单独编制。</w:t>
      </w:r>
      <w:r>
        <w:rPr>
          <w:rFonts w:ascii="宋体" w:hAnsi="宋体" w:cs="宋体"/>
          <w:b/>
          <w:bCs/>
          <w:color w:val="auto"/>
          <w:szCs w:val="21"/>
          <w:highlight w:val="none"/>
          <w:u w:val="single"/>
        </w:rPr>
        <w:t xml:space="preserve"> </w:t>
      </w:r>
    </w:p>
    <w:p w14:paraId="4BC87A64">
      <w:pPr>
        <w:spacing w:line="360" w:lineRule="auto"/>
        <w:ind w:firstLine="422" w:firstLineChars="200"/>
        <w:jc w:val="left"/>
        <w:rPr>
          <w:rFonts w:ascii="宋体" w:cs="宋体"/>
          <w:b/>
          <w:bCs/>
          <w:color w:val="auto"/>
          <w:szCs w:val="21"/>
          <w:highlight w:val="none"/>
        </w:rPr>
      </w:pPr>
      <w:r>
        <w:rPr>
          <w:rFonts w:hint="eastAsia" w:ascii="宋体" w:hAnsi="宋体" w:cs="宋体"/>
          <w:b/>
          <w:bCs/>
          <w:color w:val="auto"/>
          <w:szCs w:val="21"/>
          <w:highlight w:val="none"/>
          <w:u w:val="single"/>
        </w:rPr>
        <w:t>【注：若供应商同时参加多个标项磋商的，需要提供多个标项的响应文件；若供应商只选择其中任一标项的，仅需提供该标项的响应文件即可。】</w:t>
      </w:r>
    </w:p>
    <w:p w14:paraId="14E8A0F8">
      <w:pPr>
        <w:pStyle w:val="57"/>
        <w:numPr>
          <w:ilvl w:val="0"/>
          <w:numId w:val="9"/>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磋商响应文件应当对采购文件规定的内容进行对应明确说明，对采购文件规定的实质性内容应当作出响应。</w:t>
      </w:r>
      <w:r>
        <w:rPr>
          <w:rFonts w:ascii="宋体" w:hAnsi="宋体" w:cs="宋体"/>
          <w:color w:val="auto"/>
          <w:szCs w:val="21"/>
          <w:highlight w:val="none"/>
        </w:rPr>
        <w:t xml:space="preserve"> </w:t>
      </w:r>
    </w:p>
    <w:p w14:paraId="5D629A1F">
      <w:pPr>
        <w:pStyle w:val="57"/>
        <w:numPr>
          <w:ilvl w:val="0"/>
          <w:numId w:val="9"/>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12F451E5">
      <w:pPr>
        <w:pStyle w:val="57"/>
        <w:numPr>
          <w:ilvl w:val="0"/>
          <w:numId w:val="9"/>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由于字迹模糊或表达不清引起的后果由供应商负责。</w:t>
      </w:r>
      <w:r>
        <w:rPr>
          <w:rFonts w:ascii="宋体" w:hAnsi="宋体" w:cs="宋体"/>
          <w:color w:val="auto"/>
          <w:szCs w:val="21"/>
          <w:highlight w:val="none"/>
        </w:rPr>
        <w:t xml:space="preserve"> </w:t>
      </w:r>
    </w:p>
    <w:p w14:paraId="6C499701">
      <w:pPr>
        <w:pStyle w:val="57"/>
        <w:numPr>
          <w:ilvl w:val="0"/>
          <w:numId w:val="9"/>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编制磋商响应文件时建议选用“谷歌或火狐浏览器”。</w:t>
      </w:r>
      <w:r>
        <w:rPr>
          <w:rFonts w:ascii="宋体" w:hAnsi="宋体" w:cs="宋体"/>
          <w:color w:val="auto"/>
          <w:szCs w:val="21"/>
          <w:highlight w:val="none"/>
        </w:rPr>
        <w:t xml:space="preserve"> </w:t>
      </w:r>
    </w:p>
    <w:p w14:paraId="0470F1DC">
      <w:pPr>
        <w:pStyle w:val="57"/>
        <w:numPr>
          <w:ilvl w:val="0"/>
          <w:numId w:val="9"/>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磋商响应文件可以线下完成盖章后传输提交政府采购云平台（也可在政采云平台通过单位</w:t>
      </w:r>
      <w:r>
        <w:rPr>
          <w:rFonts w:ascii="宋体" w:hAnsi="宋体" w:cs="宋体"/>
          <w:color w:val="auto"/>
          <w:szCs w:val="21"/>
          <w:highlight w:val="none"/>
        </w:rPr>
        <w:t>CA</w:t>
      </w:r>
      <w:r>
        <w:rPr>
          <w:rFonts w:hint="eastAsia" w:ascii="宋体" w:hAnsi="宋体" w:cs="宋体"/>
          <w:color w:val="auto"/>
          <w:szCs w:val="21"/>
          <w:highlight w:val="none"/>
        </w:rPr>
        <w:t>签章完成盖章提交）。</w:t>
      </w:r>
      <w:r>
        <w:rPr>
          <w:rFonts w:ascii="宋体" w:hAnsi="宋体" w:cs="宋体"/>
          <w:color w:val="auto"/>
          <w:szCs w:val="21"/>
          <w:highlight w:val="none"/>
        </w:rPr>
        <w:t xml:space="preserve"> </w:t>
      </w:r>
    </w:p>
    <w:p w14:paraId="26ED240E">
      <w:pPr>
        <w:pStyle w:val="57"/>
        <w:numPr>
          <w:ilvl w:val="0"/>
          <w:numId w:val="9"/>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通过政采云平台电子投标工具（政采云电子交易客户端）生成的电子磋商响应文件的文件后缀名为【</w:t>
      </w:r>
      <w:r>
        <w:rPr>
          <w:rFonts w:ascii="宋体" w:hAnsi="宋体" w:cs="宋体"/>
          <w:color w:val="auto"/>
          <w:szCs w:val="21"/>
          <w:highlight w:val="none"/>
        </w:rPr>
        <w:t>.jmbs</w:t>
      </w:r>
      <w:r>
        <w:rPr>
          <w:rFonts w:hint="eastAsia" w:ascii="宋体" w:hAnsi="宋体" w:cs="宋体"/>
          <w:color w:val="auto"/>
          <w:szCs w:val="21"/>
          <w:highlight w:val="none"/>
        </w:rPr>
        <w:t>】，备份电子磋商响应文件的文件后缀名为【</w:t>
      </w:r>
      <w:r>
        <w:rPr>
          <w:rFonts w:ascii="宋体" w:hAnsi="宋体" w:cs="宋体"/>
          <w:color w:val="auto"/>
          <w:szCs w:val="21"/>
          <w:highlight w:val="none"/>
        </w:rPr>
        <w:t>.bfbs</w:t>
      </w:r>
      <w:r>
        <w:rPr>
          <w:rFonts w:hint="eastAsia" w:ascii="宋体" w:hAnsi="宋体" w:cs="宋体"/>
          <w:color w:val="auto"/>
          <w:szCs w:val="21"/>
          <w:highlight w:val="none"/>
        </w:rPr>
        <w:t>】。</w:t>
      </w:r>
    </w:p>
    <w:p w14:paraId="70E011CA">
      <w:pPr>
        <w:pStyle w:val="57"/>
        <w:numPr>
          <w:ilvl w:val="1"/>
          <w:numId w:val="4"/>
        </w:numPr>
        <w:tabs>
          <w:tab w:val="left" w:pos="420"/>
        </w:tabs>
        <w:autoSpaceDE w:val="0"/>
        <w:autoSpaceDN w:val="0"/>
        <w:spacing w:line="360" w:lineRule="auto"/>
        <w:ind w:firstLine="422"/>
        <w:textAlignment w:val="bottom"/>
        <w:outlineLvl w:val="2"/>
        <w:rPr>
          <w:rFonts w:ascii="宋体" w:cs="宋体"/>
          <w:b/>
          <w:bCs/>
          <w:color w:val="auto"/>
          <w:szCs w:val="21"/>
          <w:highlight w:val="none"/>
        </w:rPr>
      </w:pPr>
      <w:r>
        <w:rPr>
          <w:rFonts w:hint="eastAsia" w:ascii="宋体" w:hAnsi="宋体" w:cs="宋体"/>
          <w:b/>
          <w:bCs/>
          <w:color w:val="auto"/>
          <w:szCs w:val="21"/>
          <w:highlight w:val="none"/>
        </w:rPr>
        <w:t>格式要求</w:t>
      </w:r>
      <w:r>
        <w:rPr>
          <w:rFonts w:ascii="宋体" w:hAnsi="宋体" w:cs="宋体"/>
          <w:b/>
          <w:bCs/>
          <w:color w:val="auto"/>
          <w:szCs w:val="21"/>
          <w:highlight w:val="none"/>
        </w:rPr>
        <w:t xml:space="preserve"> </w:t>
      </w:r>
    </w:p>
    <w:p w14:paraId="1DCB585A">
      <w:pPr>
        <w:pStyle w:val="57"/>
        <w:numPr>
          <w:ilvl w:val="0"/>
          <w:numId w:val="10"/>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磋商响应文件应编制目录。</w:t>
      </w:r>
      <w:r>
        <w:rPr>
          <w:rFonts w:ascii="宋体" w:hAnsi="宋体" w:cs="宋体"/>
          <w:color w:val="auto"/>
          <w:szCs w:val="21"/>
          <w:highlight w:val="none"/>
        </w:rPr>
        <w:t xml:space="preserve"> </w:t>
      </w:r>
    </w:p>
    <w:p w14:paraId="61AEC32A">
      <w:pPr>
        <w:pStyle w:val="57"/>
        <w:numPr>
          <w:ilvl w:val="0"/>
          <w:numId w:val="10"/>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磋商响应文件应按“磋商须知前附表”要求盖章。</w:t>
      </w:r>
      <w:r>
        <w:rPr>
          <w:rFonts w:ascii="宋体" w:hAnsi="宋体" w:cs="宋体"/>
          <w:color w:val="auto"/>
          <w:szCs w:val="21"/>
          <w:highlight w:val="none"/>
        </w:rPr>
        <w:t xml:space="preserve"> </w:t>
      </w:r>
    </w:p>
    <w:p w14:paraId="08AB2822">
      <w:pPr>
        <w:pStyle w:val="57"/>
        <w:numPr>
          <w:ilvl w:val="0"/>
          <w:numId w:val="10"/>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磋商响应文件装订要求详见“磋商须知前附表”。</w:t>
      </w:r>
      <w:r>
        <w:rPr>
          <w:rFonts w:ascii="宋体" w:hAnsi="宋体" w:cs="宋体"/>
          <w:color w:val="auto"/>
          <w:szCs w:val="21"/>
          <w:highlight w:val="none"/>
        </w:rPr>
        <w:t xml:space="preserve"> </w:t>
      </w:r>
    </w:p>
    <w:p w14:paraId="2CF07C55">
      <w:pPr>
        <w:pStyle w:val="57"/>
        <w:numPr>
          <w:ilvl w:val="0"/>
          <w:numId w:val="10"/>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磋商响应文件格式为</w:t>
      </w:r>
      <w:r>
        <w:rPr>
          <w:rFonts w:ascii="宋体" w:hAnsi="宋体" w:cs="宋体"/>
          <w:color w:val="auto"/>
          <w:szCs w:val="21"/>
          <w:highlight w:val="none"/>
        </w:rPr>
        <w:t>PDF</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41603925">
      <w:pPr>
        <w:pStyle w:val="57"/>
        <w:numPr>
          <w:ilvl w:val="0"/>
          <w:numId w:val="10"/>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单个文件上传大小上限为</w:t>
      </w:r>
      <w:r>
        <w:rPr>
          <w:rFonts w:ascii="宋体" w:hAnsi="宋体" w:cs="宋体"/>
          <w:color w:val="auto"/>
          <w:szCs w:val="21"/>
          <w:highlight w:val="none"/>
        </w:rPr>
        <w:t>300M</w:t>
      </w:r>
      <w:r>
        <w:rPr>
          <w:rFonts w:hint="eastAsia" w:ascii="宋体" w:hAnsi="宋体" w:cs="宋体"/>
          <w:color w:val="auto"/>
          <w:szCs w:val="21"/>
          <w:highlight w:val="none"/>
        </w:rPr>
        <w:t>。</w:t>
      </w:r>
    </w:p>
    <w:p w14:paraId="6F39981A">
      <w:pPr>
        <w:pStyle w:val="57"/>
        <w:numPr>
          <w:ilvl w:val="0"/>
          <w:numId w:val="10"/>
        </w:numPr>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建议正文字体为四号宋体，行距</w:t>
      </w:r>
      <w:r>
        <w:rPr>
          <w:rFonts w:ascii="宋体" w:hAnsi="宋体" w:cs="宋体"/>
          <w:color w:val="auto"/>
          <w:szCs w:val="21"/>
          <w:highlight w:val="none"/>
        </w:rPr>
        <w:t>1.5</w:t>
      </w:r>
      <w:r>
        <w:rPr>
          <w:rFonts w:hint="eastAsia" w:ascii="宋体" w:hAnsi="宋体" w:cs="宋体"/>
          <w:color w:val="auto"/>
          <w:szCs w:val="21"/>
          <w:highlight w:val="none"/>
        </w:rPr>
        <w:t>倍，单个文件不超过</w:t>
      </w:r>
      <w:r>
        <w:rPr>
          <w:rFonts w:ascii="宋体" w:hAnsi="宋体" w:cs="宋体"/>
          <w:color w:val="auto"/>
          <w:szCs w:val="21"/>
          <w:highlight w:val="none"/>
        </w:rPr>
        <w:t>300</w:t>
      </w:r>
      <w:r>
        <w:rPr>
          <w:rFonts w:hint="eastAsia" w:ascii="宋体" w:hAnsi="宋体" w:cs="宋体"/>
          <w:color w:val="auto"/>
          <w:szCs w:val="21"/>
          <w:highlight w:val="none"/>
        </w:rPr>
        <w:t>页。</w:t>
      </w:r>
    </w:p>
    <w:p w14:paraId="099AB6A1">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▲磋商报价</w:t>
      </w:r>
      <w:bookmarkEnd w:id="64"/>
      <w:bookmarkEnd w:id="65"/>
    </w:p>
    <w:p w14:paraId="5C07FC6D">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磋商报价要求：</w:t>
      </w:r>
    </w:p>
    <w:p w14:paraId="19F1E5F5">
      <w:pPr>
        <w:pStyle w:val="57"/>
        <w:numPr>
          <w:ilvl w:val="2"/>
          <w:numId w:val="4"/>
        </w:numPr>
        <w:autoSpaceDE w:val="0"/>
        <w:autoSpaceDN w:val="0"/>
        <w:spacing w:line="360" w:lineRule="auto"/>
        <w:ind w:left="0" w:firstLine="420"/>
        <w:textAlignment w:val="bottom"/>
        <w:outlineLvl w:val="2"/>
        <w:rPr>
          <w:rFonts w:ascii="宋体" w:cs="宋体"/>
          <w:color w:val="auto"/>
          <w:szCs w:val="21"/>
          <w:highlight w:val="none"/>
        </w:rPr>
      </w:pPr>
      <w:r>
        <w:rPr>
          <w:rFonts w:hint="eastAsia" w:ascii="宋体" w:hAnsi="宋体" w:cs="宋体"/>
          <w:color w:val="auto"/>
          <w:szCs w:val="21"/>
          <w:highlight w:val="none"/>
        </w:rPr>
        <w:t>磋商供应商应考虑企业自身实力、经验及项目实施过程中的各种因素，根据采购要求，详细说明所能提供的各项具体服务内容，自主确定报价，实行固定单价按实结算。</w:t>
      </w:r>
    </w:p>
    <w:p w14:paraId="2E4F0BF0">
      <w:pPr>
        <w:pStyle w:val="57"/>
        <w:numPr>
          <w:ilvl w:val="2"/>
          <w:numId w:val="4"/>
        </w:numPr>
        <w:autoSpaceDE w:val="0"/>
        <w:autoSpaceDN w:val="0"/>
        <w:spacing w:line="360" w:lineRule="auto"/>
        <w:ind w:left="0" w:firstLine="420"/>
        <w:textAlignment w:val="bottom"/>
        <w:outlineLvl w:val="2"/>
        <w:rPr>
          <w:rFonts w:ascii="宋体" w:cs="宋体"/>
          <w:color w:val="auto"/>
          <w:szCs w:val="21"/>
          <w:highlight w:val="none"/>
        </w:rPr>
      </w:pPr>
      <w:r>
        <w:rPr>
          <w:rFonts w:hint="eastAsia" w:ascii="宋体" w:hAnsi="宋体" w:cs="宋体"/>
          <w:color w:val="auto"/>
          <w:szCs w:val="21"/>
          <w:highlight w:val="none"/>
        </w:rPr>
        <w:t>磋商供应商的报价应包括为完成本项目服务可能发生的全部费用及企业的利润和应交纳的税金等（包含但不限于机械设备、人员工资、社会保险、人员食宿与交通、技术服务、中标服务费等）。磋商供应商对合同内容的费用、质量、安全、技术服务等实行全面承包。</w:t>
      </w:r>
    </w:p>
    <w:p w14:paraId="46E836EB">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报价表格要求</w:t>
      </w:r>
    </w:p>
    <w:p w14:paraId="46D1FA80">
      <w:pPr>
        <w:pStyle w:val="57"/>
        <w:numPr>
          <w:ilvl w:val="2"/>
          <w:numId w:val="4"/>
        </w:numPr>
        <w:autoSpaceDE w:val="0"/>
        <w:autoSpaceDN w:val="0"/>
        <w:spacing w:line="360" w:lineRule="auto"/>
        <w:ind w:left="0" w:firstLine="420"/>
        <w:textAlignment w:val="bottom"/>
        <w:outlineLvl w:val="2"/>
        <w:rPr>
          <w:rFonts w:ascii="宋体" w:cs="宋体"/>
          <w:color w:val="auto"/>
          <w:szCs w:val="21"/>
          <w:highlight w:val="none"/>
        </w:rPr>
      </w:pPr>
      <w:r>
        <w:rPr>
          <w:rFonts w:hint="eastAsia" w:ascii="宋体" w:hAnsi="宋体" w:cs="宋体"/>
          <w:color w:val="auto"/>
          <w:szCs w:val="21"/>
          <w:highlight w:val="none"/>
        </w:rPr>
        <w:t>投标报价应按照采购文件中相关附表格式填写。</w:t>
      </w:r>
    </w:p>
    <w:p w14:paraId="5F133018">
      <w:pPr>
        <w:pStyle w:val="57"/>
        <w:numPr>
          <w:ilvl w:val="2"/>
          <w:numId w:val="4"/>
        </w:numPr>
        <w:autoSpaceDE w:val="0"/>
        <w:autoSpaceDN w:val="0"/>
        <w:spacing w:line="360" w:lineRule="auto"/>
        <w:ind w:left="0" w:firstLine="420"/>
        <w:textAlignment w:val="bottom"/>
        <w:outlineLvl w:val="2"/>
        <w:rPr>
          <w:rFonts w:ascii="宋体" w:cs="宋体"/>
          <w:color w:val="auto"/>
          <w:szCs w:val="21"/>
          <w:highlight w:val="none"/>
        </w:rPr>
      </w:pPr>
      <w:r>
        <w:rPr>
          <w:rFonts w:hint="eastAsia" w:ascii="宋体" w:hAnsi="宋体" w:cs="宋体"/>
          <w:color w:val="auto"/>
          <w:szCs w:val="21"/>
          <w:highlight w:val="none"/>
        </w:rPr>
        <w:t>供应商应在“政府采购云平台”中填写报价，报价应与上传的报价文件一致，如有不一致，以上传的报价文件中报价为准。</w:t>
      </w:r>
      <w:r>
        <w:rPr>
          <w:rFonts w:ascii="宋体" w:hAnsi="宋体" w:cs="宋体"/>
          <w:color w:val="auto"/>
          <w:szCs w:val="21"/>
          <w:highlight w:val="none"/>
        </w:rPr>
        <w:t xml:space="preserve"> </w:t>
      </w:r>
    </w:p>
    <w:p w14:paraId="4E50643E">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报价方式</w:t>
      </w:r>
    </w:p>
    <w:p w14:paraId="14651C02">
      <w:pPr>
        <w:pStyle w:val="57"/>
        <w:numPr>
          <w:ilvl w:val="2"/>
          <w:numId w:val="4"/>
        </w:numPr>
        <w:autoSpaceDE w:val="0"/>
        <w:autoSpaceDN w:val="0"/>
        <w:spacing w:line="360" w:lineRule="auto"/>
        <w:ind w:left="0" w:firstLine="420"/>
        <w:textAlignment w:val="bottom"/>
        <w:outlineLvl w:val="2"/>
        <w:rPr>
          <w:rFonts w:ascii="宋体" w:cs="宋体"/>
          <w:color w:val="auto"/>
          <w:szCs w:val="21"/>
          <w:highlight w:val="none"/>
        </w:rPr>
      </w:pPr>
      <w:r>
        <w:rPr>
          <w:rFonts w:hint="eastAsia" w:ascii="宋体" w:hAnsi="宋体" w:cs="宋体"/>
          <w:color w:val="auto"/>
          <w:szCs w:val="21"/>
          <w:highlight w:val="none"/>
        </w:rPr>
        <w:t>本项目报价即为完成项目实施所需要的全部费用。</w:t>
      </w:r>
    </w:p>
    <w:p w14:paraId="2888AB0C">
      <w:pPr>
        <w:pStyle w:val="57"/>
        <w:numPr>
          <w:ilvl w:val="2"/>
          <w:numId w:val="4"/>
        </w:numPr>
        <w:autoSpaceDE w:val="0"/>
        <w:autoSpaceDN w:val="0"/>
        <w:spacing w:line="360" w:lineRule="auto"/>
        <w:ind w:left="0" w:firstLine="420"/>
        <w:textAlignment w:val="bottom"/>
        <w:outlineLvl w:val="2"/>
        <w:rPr>
          <w:rFonts w:ascii="宋体" w:cs="宋体"/>
          <w:color w:val="auto"/>
          <w:szCs w:val="21"/>
          <w:highlight w:val="none"/>
        </w:rPr>
      </w:pPr>
      <w:r>
        <w:rPr>
          <w:rFonts w:hint="eastAsia" w:ascii="宋体" w:hAnsi="宋体" w:cs="宋体"/>
          <w:color w:val="auto"/>
          <w:szCs w:val="21"/>
          <w:highlight w:val="none"/>
        </w:rPr>
        <w:t>本项目设有最高限价详见</w:t>
      </w:r>
      <w:r>
        <w:rPr>
          <w:rFonts w:hint="eastAsia" w:ascii="宋体" w:hAnsi="宋体" w:cs="宋体"/>
          <w:color w:val="auto"/>
          <w:szCs w:val="21"/>
          <w:highlight w:val="none"/>
          <w:u w:val="single"/>
        </w:rPr>
        <w:t>“磋商须知前附表”</w:t>
      </w:r>
      <w:r>
        <w:rPr>
          <w:rFonts w:hint="eastAsia" w:ascii="宋体" w:hAnsi="宋体" w:cs="宋体"/>
          <w:color w:val="auto"/>
          <w:szCs w:val="21"/>
          <w:highlight w:val="none"/>
        </w:rPr>
        <w:t>，如供应商的投标报价超过最高限价，其响应文件作无效标处理。</w:t>
      </w:r>
    </w:p>
    <w:p w14:paraId="19E6586E">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磋商保证金</w:t>
      </w:r>
    </w:p>
    <w:p w14:paraId="1C19A432">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本项目磋商保证金要求：</w:t>
      </w:r>
      <w:r>
        <w:rPr>
          <w:rFonts w:hint="eastAsia" w:ascii="宋体" w:hAnsi="宋体" w:cs="宋体"/>
          <w:color w:val="auto"/>
          <w:szCs w:val="21"/>
          <w:highlight w:val="none"/>
          <w:u w:val="single"/>
        </w:rPr>
        <w:t>详见“磋商须知前附表”</w:t>
      </w:r>
      <w:r>
        <w:rPr>
          <w:rFonts w:hint="eastAsia" w:ascii="宋体" w:hAnsi="宋体" w:cs="宋体"/>
          <w:color w:val="auto"/>
          <w:szCs w:val="21"/>
          <w:highlight w:val="none"/>
        </w:rPr>
        <w:t>。</w:t>
      </w:r>
    </w:p>
    <w:p w14:paraId="10ED5AC1">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响应文件的有效期</w:t>
      </w:r>
    </w:p>
    <w:p w14:paraId="7DA44D02">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▲磋商响应文件有效期按“磋商须知前附表”规定，磋商响应文件应在该有效期内保持有效。合同签订后，磋商响应文件作为合同附件，磋商响应文件有效期同合同有效期。</w:t>
      </w:r>
    </w:p>
    <w:p w14:paraId="4440DD0F">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在特殊情况下，采购人可与磋商响应方协商延长竞标书的有效期，这种要求和答复均以书面形式进行。</w:t>
      </w:r>
    </w:p>
    <w:p w14:paraId="2D6475D6">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bookmarkStart w:id="66" w:name="_Toc479667357"/>
      <w:bookmarkStart w:id="67" w:name="_Toc482195575"/>
      <w:bookmarkStart w:id="68" w:name="_Toc479667079"/>
      <w:r>
        <w:rPr>
          <w:rFonts w:hint="eastAsia" w:ascii="宋体" w:hAnsi="宋体" w:cs="宋体"/>
          <w:color w:val="auto"/>
          <w:szCs w:val="21"/>
          <w:highlight w:val="none"/>
        </w:rPr>
        <w:t>磋商响应方可拒绝接受延期要求而不会导致磋商保证金被没收。同意延长有效期的磋商响应方需要相应延长磋商保证金的有效期，但不能修改响应文件。</w:t>
      </w:r>
      <w:bookmarkEnd w:id="66"/>
      <w:bookmarkEnd w:id="67"/>
      <w:bookmarkEnd w:id="68"/>
    </w:p>
    <w:p w14:paraId="7888BA92">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成交供应商的响应文件自磋商之日起至合同履行完毕止均应保持有效。</w:t>
      </w:r>
    </w:p>
    <w:p w14:paraId="731C7CAC">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磋商响应文件有效期内，供应商撤销响应文件的，应向采购人交纳项目预算金额的</w:t>
      </w:r>
      <w:r>
        <w:rPr>
          <w:rFonts w:ascii="宋体" w:hAnsi="宋体" w:cs="宋体"/>
          <w:color w:val="auto"/>
          <w:szCs w:val="21"/>
          <w:highlight w:val="none"/>
        </w:rPr>
        <w:t>2%</w:t>
      </w:r>
      <w:r>
        <w:rPr>
          <w:rFonts w:hint="eastAsia" w:ascii="宋体" w:hAnsi="宋体" w:cs="宋体"/>
          <w:color w:val="auto"/>
          <w:szCs w:val="21"/>
          <w:highlight w:val="none"/>
        </w:rPr>
        <w:t>。</w:t>
      </w:r>
    </w:p>
    <w:p w14:paraId="5A229C36">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bookmarkStart w:id="69" w:name="_Toc479667081"/>
      <w:bookmarkStart w:id="70" w:name="_Toc482195577"/>
      <w:bookmarkStart w:id="71" w:name="_Toc479667359"/>
      <w:r>
        <w:rPr>
          <w:rFonts w:hint="eastAsia" w:ascii="宋体" w:hAnsi="宋体" w:cs="宋体"/>
          <w:b/>
          <w:color w:val="auto"/>
          <w:szCs w:val="21"/>
          <w:highlight w:val="none"/>
        </w:rPr>
        <w:t>响应文件的</w:t>
      </w:r>
      <w:bookmarkEnd w:id="69"/>
      <w:bookmarkEnd w:id="70"/>
      <w:bookmarkEnd w:id="71"/>
      <w:r>
        <w:rPr>
          <w:rFonts w:hint="eastAsia" w:ascii="宋体" w:hAnsi="宋体" w:cs="宋体"/>
          <w:b/>
          <w:color w:val="auto"/>
          <w:szCs w:val="21"/>
          <w:highlight w:val="none"/>
        </w:rPr>
        <w:t>密封及标记</w:t>
      </w:r>
    </w:p>
    <w:p w14:paraId="70CA6BBA">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磋商响应文件应按以下方法密封及标记</w:t>
      </w:r>
      <w:r>
        <w:rPr>
          <w:rFonts w:ascii="宋体" w:hAnsi="宋体" w:cs="宋体"/>
          <w:bCs/>
          <w:color w:val="auto"/>
          <w:szCs w:val="21"/>
          <w:highlight w:val="none"/>
        </w:rPr>
        <w:t xml:space="preserve"> </w:t>
      </w:r>
    </w:p>
    <w:p w14:paraId="4B8AC350">
      <w:pPr>
        <w:pStyle w:val="57"/>
        <w:tabs>
          <w:tab w:val="left" w:pos="0"/>
          <w:tab w:val="left" w:pos="420"/>
        </w:tabs>
        <w:autoSpaceDE w:val="0"/>
        <w:autoSpaceDN w:val="0"/>
        <w:spacing w:line="360" w:lineRule="auto"/>
        <w:ind w:left="420" w:leftChars="200" w:firstLine="0" w:firstLineChars="0"/>
        <w:textAlignment w:val="bottom"/>
        <w:outlineLvl w:val="2"/>
        <w:rPr>
          <w:rFonts w:ascii="宋体" w:cs="宋体"/>
          <w:bCs/>
          <w:color w:val="auto"/>
          <w:szCs w:val="21"/>
          <w:highlight w:val="none"/>
        </w:rPr>
      </w:pPr>
      <w:r>
        <w:rPr>
          <w:rFonts w:hint="eastAsia" w:ascii="宋体" w:hAnsi="宋体" w:cs="宋体"/>
          <w:bCs/>
          <w:color w:val="auto"/>
          <w:szCs w:val="21"/>
          <w:highlight w:val="none"/>
        </w:rPr>
        <w:t>磋商响应文件密封及标记要求见</w:t>
      </w:r>
      <w:r>
        <w:rPr>
          <w:rFonts w:hint="eastAsia" w:ascii="宋体" w:hAnsi="宋体" w:cs="宋体"/>
          <w:bCs/>
          <w:color w:val="auto"/>
          <w:szCs w:val="21"/>
          <w:highlight w:val="none"/>
          <w:u w:val="single"/>
        </w:rPr>
        <w:t>“磋商须知前附表”</w:t>
      </w:r>
      <w:r>
        <w:rPr>
          <w:rFonts w:hint="eastAsia" w:ascii="宋体" w:hAnsi="宋体" w:cs="宋体"/>
          <w:bCs/>
          <w:color w:val="auto"/>
          <w:szCs w:val="21"/>
          <w:highlight w:val="none"/>
        </w:rPr>
        <w:t>。</w:t>
      </w:r>
    </w:p>
    <w:p w14:paraId="3D2A0E77">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磋商响应文件的提交</w:t>
      </w:r>
      <w:r>
        <w:rPr>
          <w:rFonts w:ascii="宋体" w:hAnsi="宋体" w:cs="宋体"/>
          <w:b/>
          <w:color w:val="auto"/>
          <w:szCs w:val="21"/>
          <w:highlight w:val="none"/>
        </w:rPr>
        <w:t xml:space="preserve"> </w:t>
      </w:r>
    </w:p>
    <w:p w14:paraId="7D654BF4">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提交磋商响应文件</w:t>
      </w:r>
      <w:r>
        <w:rPr>
          <w:rFonts w:ascii="宋体" w:hAnsi="宋体" w:cs="宋体"/>
          <w:bCs/>
          <w:color w:val="auto"/>
          <w:szCs w:val="21"/>
          <w:highlight w:val="none"/>
        </w:rPr>
        <w:t xml:space="preserve"> </w:t>
      </w:r>
    </w:p>
    <w:p w14:paraId="6725FE4B">
      <w:pPr>
        <w:pStyle w:val="57"/>
        <w:tabs>
          <w:tab w:val="left" w:pos="0"/>
          <w:tab w:val="left" w:pos="420"/>
        </w:tabs>
        <w:autoSpaceDE w:val="0"/>
        <w:autoSpaceDN w:val="0"/>
        <w:spacing w:line="360" w:lineRule="auto"/>
        <w:ind w:left="420" w:leftChars="200" w:firstLine="0" w:firstLineChars="0"/>
        <w:textAlignment w:val="bottom"/>
        <w:outlineLvl w:val="2"/>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）电子磋商响应文件传输提交</w:t>
      </w:r>
      <w:r>
        <w:rPr>
          <w:rFonts w:ascii="宋体" w:hAnsi="宋体" w:cs="宋体"/>
          <w:bCs/>
          <w:color w:val="auto"/>
          <w:szCs w:val="21"/>
          <w:highlight w:val="none"/>
        </w:rPr>
        <w:t xml:space="preserve"> </w:t>
      </w:r>
    </w:p>
    <w:p w14:paraId="78AA9A63">
      <w:pPr>
        <w:pStyle w:val="57"/>
        <w:tabs>
          <w:tab w:val="left" w:pos="0"/>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供应商应当在磋商响应文件提交截止时间（详见</w:t>
      </w:r>
      <w:r>
        <w:rPr>
          <w:rFonts w:hint="eastAsia" w:ascii="宋体" w:hAnsi="宋体" w:cs="宋体"/>
          <w:bCs/>
          <w:color w:val="auto"/>
          <w:szCs w:val="21"/>
          <w:highlight w:val="none"/>
          <w:u w:val="single"/>
        </w:rPr>
        <w:t>“磋商须知前附表”，下同</w:t>
      </w:r>
      <w:r>
        <w:rPr>
          <w:rFonts w:hint="eastAsia" w:ascii="宋体" w:hAnsi="宋体" w:cs="宋体"/>
          <w:bCs/>
          <w:color w:val="auto"/>
          <w:szCs w:val="21"/>
          <w:highlight w:val="none"/>
        </w:rPr>
        <w:t>）前完成电子磋商响应文件的传输提交至政府采购云平台（</w:t>
      </w:r>
      <w:r>
        <w:rPr>
          <w:rFonts w:ascii="宋体" w:hAnsi="宋体" w:cs="宋体"/>
          <w:bCs/>
          <w:color w:val="auto"/>
          <w:szCs w:val="21"/>
          <w:highlight w:val="none"/>
        </w:rPr>
        <w:t>https://www.zcygov.cn</w:t>
      </w:r>
      <w:r>
        <w:rPr>
          <w:rFonts w:hint="eastAsia" w:ascii="宋体" w:hAnsi="宋体" w:cs="宋体"/>
          <w:bCs/>
          <w:color w:val="auto"/>
          <w:szCs w:val="21"/>
          <w:highlight w:val="none"/>
        </w:rPr>
        <w:t>），磋商响应文件提交截止时间前未完成传输提交的，视为未提交磋商响应文件。磋商响应文件提交截止时间以后传输提交的磋商响应文件，将被拒收。</w:t>
      </w:r>
      <w:r>
        <w:rPr>
          <w:rFonts w:ascii="宋体" w:hAnsi="宋体" w:cs="宋体"/>
          <w:bCs/>
          <w:color w:val="auto"/>
          <w:szCs w:val="21"/>
          <w:highlight w:val="none"/>
        </w:rPr>
        <w:t xml:space="preserve"> </w:t>
      </w:r>
    </w:p>
    <w:p w14:paraId="41EC7F9F">
      <w:pPr>
        <w:pStyle w:val="57"/>
        <w:tabs>
          <w:tab w:val="left" w:pos="0"/>
          <w:tab w:val="left" w:pos="420"/>
        </w:tabs>
        <w:autoSpaceDE w:val="0"/>
        <w:autoSpaceDN w:val="0"/>
        <w:spacing w:line="360" w:lineRule="auto"/>
        <w:ind w:left="420" w:leftChars="200" w:firstLine="0" w:firstLineChars="0"/>
        <w:textAlignment w:val="bottom"/>
        <w:outlineLvl w:val="2"/>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）备份电子磋商响应文件提交</w:t>
      </w:r>
      <w:r>
        <w:rPr>
          <w:rFonts w:ascii="宋体" w:hAnsi="宋体" w:cs="宋体"/>
          <w:bCs/>
          <w:color w:val="auto"/>
          <w:szCs w:val="21"/>
          <w:highlight w:val="none"/>
        </w:rPr>
        <w:t xml:space="preserve"> </w:t>
      </w:r>
    </w:p>
    <w:p w14:paraId="42B812C0">
      <w:pPr>
        <w:pStyle w:val="57"/>
        <w:tabs>
          <w:tab w:val="left" w:pos="0"/>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供应商可以提交备份电子投标文件，若提交请将备份电子响应文件打包压缩加密（未加密造成泄密的由投标人自行承担）后以电子邮件的形式发送至</w:t>
      </w:r>
      <w:r>
        <w:rPr>
          <w:rFonts w:ascii="宋体" w:hAnsi="宋体" w:cs="宋体"/>
          <w:bCs/>
          <w:color w:val="auto"/>
          <w:szCs w:val="21"/>
          <w:highlight w:val="none"/>
          <w:u w:val="single"/>
        </w:rPr>
        <w:t xml:space="preserve">sha7479@qq.com </w:t>
      </w:r>
      <w:r>
        <w:rPr>
          <w:rFonts w:hint="eastAsia" w:ascii="宋体" w:hAnsi="宋体" w:cs="宋体"/>
          <w:bCs/>
          <w:color w:val="auto"/>
          <w:szCs w:val="21"/>
          <w:highlight w:val="none"/>
        </w:rPr>
        <w:t>，备份电子响应文件在“电子加密投标文件”在线解密失败后启用，否则不予以启用；投标人确认“电子加密投标文件”在线解密失败后，将打包压缩加密的备份电子响应文件的解密密码在解密规定的时间（开标时间后</w:t>
      </w:r>
      <w:r>
        <w:rPr>
          <w:rFonts w:ascii="宋体" w:hAnsi="宋体" w:cs="宋体"/>
          <w:bCs/>
          <w:color w:val="auto"/>
          <w:szCs w:val="21"/>
          <w:highlight w:val="none"/>
        </w:rPr>
        <w:t>60</w:t>
      </w:r>
      <w:r>
        <w:rPr>
          <w:rFonts w:hint="eastAsia" w:ascii="宋体" w:hAnsi="宋体" w:cs="宋体"/>
          <w:bCs/>
          <w:color w:val="auto"/>
          <w:szCs w:val="21"/>
          <w:highlight w:val="none"/>
        </w:rPr>
        <w:t>分钟内）发送至上述邮箱内，未在规定时间内发送造成的投标无效或失败由投标人自行承担。</w:t>
      </w:r>
    </w:p>
    <w:p w14:paraId="218CA531">
      <w:pPr>
        <w:pStyle w:val="57"/>
        <w:tabs>
          <w:tab w:val="left" w:pos="0"/>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备份电子磋商响应文件仅在在线解密异常处理时使用。磋商响应文件已按时解密的，备份电子磋商响应文件自动失效。</w:t>
      </w:r>
      <w:r>
        <w:rPr>
          <w:rFonts w:ascii="宋体" w:hAnsi="宋体" w:cs="宋体"/>
          <w:bCs/>
          <w:color w:val="auto"/>
          <w:szCs w:val="21"/>
          <w:highlight w:val="none"/>
        </w:rPr>
        <w:t xml:space="preserve"> </w:t>
      </w:r>
    </w:p>
    <w:p w14:paraId="0DB8B450">
      <w:pPr>
        <w:pStyle w:val="57"/>
        <w:tabs>
          <w:tab w:val="left" w:pos="0"/>
          <w:tab w:val="left" w:pos="420"/>
        </w:tabs>
        <w:autoSpaceDE w:val="0"/>
        <w:autoSpaceDN w:val="0"/>
        <w:spacing w:line="360" w:lineRule="auto"/>
        <w:textAlignment w:val="bottom"/>
        <w:outlineLvl w:val="2"/>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w:t>
      </w:r>
      <w:r>
        <w:rPr>
          <w:rFonts w:hint="eastAsia" w:ascii="宋体" w:hAnsi="宋体"/>
          <w:b/>
          <w:bCs/>
          <w:color w:val="auto"/>
          <w:szCs w:val="21"/>
          <w:highlight w:val="none"/>
        </w:rPr>
        <w:t>中标供应商应提供与</w:t>
      </w:r>
      <w:r>
        <w:rPr>
          <w:rFonts w:hint="eastAsia" w:ascii="宋体" w:hAnsi="宋体"/>
          <w:b/>
          <w:color w:val="auto"/>
          <w:highlight w:val="none"/>
        </w:rPr>
        <w:t>电子磋商响应文件</w:t>
      </w:r>
      <w:r>
        <w:rPr>
          <w:rFonts w:hint="eastAsia" w:ascii="宋体" w:hAnsi="宋体"/>
          <w:b/>
          <w:bCs/>
          <w:color w:val="auto"/>
          <w:szCs w:val="21"/>
          <w:highlight w:val="none"/>
        </w:rPr>
        <w:t>内容一致的纸质磋商响应文件各一正二副，装订成册，采用胶订或线订，不得采用活页夹等可随时拆换的方式装订。（胶订或线订以外装订形式视为活页装订）中标人在领取中标通知书时提供纸质纸质磋商响应文件</w:t>
      </w:r>
      <w:r>
        <w:rPr>
          <w:rFonts w:hint="eastAsia" w:ascii="宋体" w:hAnsi="宋体"/>
          <w:b/>
          <w:color w:val="auto"/>
          <w:highlight w:val="none"/>
        </w:rPr>
        <w:t>。</w:t>
      </w:r>
    </w:p>
    <w:p w14:paraId="6015D56E">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供应商提交的磋商响应文件均不予退还。</w:t>
      </w:r>
      <w:r>
        <w:rPr>
          <w:rFonts w:ascii="宋体" w:hAnsi="宋体" w:cs="宋体"/>
          <w:bCs/>
          <w:color w:val="auto"/>
          <w:szCs w:val="21"/>
          <w:highlight w:val="none"/>
        </w:rPr>
        <w:t xml:space="preserve"> </w:t>
      </w:r>
    </w:p>
    <w:p w14:paraId="61A27ACA">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逾期传输的或逾期送达的或者未送达指定地点的磋商响应文件，采购人将不予受理。</w:t>
      </w:r>
      <w:r>
        <w:rPr>
          <w:rFonts w:ascii="宋体" w:hAnsi="宋体" w:cs="宋体"/>
          <w:bCs/>
          <w:color w:val="auto"/>
          <w:szCs w:val="21"/>
          <w:highlight w:val="none"/>
        </w:rPr>
        <w:t xml:space="preserve"> </w:t>
      </w:r>
    </w:p>
    <w:p w14:paraId="5C306584">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采购人如因故推迟磋商响应文件提交截止时间，应以书面形式通知所有供应商。在这种情况下，采购人和供应商的权利和义务将受到新的磋商响应文件提交截止时间的约束。</w:t>
      </w:r>
      <w:r>
        <w:rPr>
          <w:rFonts w:ascii="宋体" w:hAnsi="宋体" w:cs="宋体"/>
          <w:bCs/>
          <w:color w:val="auto"/>
          <w:szCs w:val="21"/>
          <w:highlight w:val="none"/>
        </w:rPr>
        <w:t xml:space="preserve"> </w:t>
      </w:r>
    </w:p>
    <w:p w14:paraId="107B3A99">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磋商响应文件的补充、修改和撤回</w:t>
      </w:r>
      <w:r>
        <w:rPr>
          <w:rFonts w:ascii="宋体" w:hAnsi="宋体" w:cs="宋体"/>
          <w:b/>
          <w:color w:val="auto"/>
          <w:szCs w:val="21"/>
          <w:highlight w:val="none"/>
        </w:rPr>
        <w:t xml:space="preserve"> </w:t>
      </w:r>
    </w:p>
    <w:p w14:paraId="70E7816F">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r>
        <w:rPr>
          <w:rFonts w:ascii="宋体" w:hAnsi="宋体" w:cs="宋体"/>
          <w:bCs/>
          <w:color w:val="auto"/>
          <w:szCs w:val="21"/>
          <w:highlight w:val="none"/>
        </w:rPr>
        <w:t xml:space="preserve"> </w:t>
      </w:r>
    </w:p>
    <w:p w14:paraId="71729498">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备选磋商响应方案</w:t>
      </w:r>
      <w:r>
        <w:rPr>
          <w:rFonts w:ascii="宋体" w:hAnsi="宋体" w:cs="宋体"/>
          <w:b/>
          <w:color w:val="auto"/>
          <w:szCs w:val="21"/>
          <w:highlight w:val="none"/>
        </w:rPr>
        <w:t xml:space="preserve"> </w:t>
      </w:r>
    </w:p>
    <w:p w14:paraId="67B396AE">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供应商不得提交备选磋商响应方案，否则，磋商响应文件将被判定为无效标。</w:t>
      </w:r>
    </w:p>
    <w:p w14:paraId="09F69FBA">
      <w:pPr>
        <w:pStyle w:val="57"/>
        <w:tabs>
          <w:tab w:val="left" w:pos="0"/>
          <w:tab w:val="left" w:pos="420"/>
        </w:tabs>
        <w:autoSpaceDE w:val="0"/>
        <w:autoSpaceDN w:val="0"/>
        <w:spacing w:line="360" w:lineRule="auto"/>
        <w:ind w:left="420" w:leftChars="200" w:firstLine="0" w:firstLineChars="0"/>
        <w:textAlignment w:val="bottom"/>
        <w:outlineLvl w:val="2"/>
        <w:rPr>
          <w:rFonts w:ascii="宋体" w:cs="宋体"/>
          <w:bCs/>
          <w:color w:val="auto"/>
          <w:szCs w:val="21"/>
          <w:highlight w:val="none"/>
        </w:rPr>
      </w:pPr>
      <w:r>
        <w:rPr>
          <w:rFonts w:hint="eastAsia" w:ascii="宋体" w:hAnsi="宋体" w:cs="宋体"/>
          <w:bCs/>
          <w:color w:val="auto"/>
          <w:szCs w:val="21"/>
          <w:highlight w:val="none"/>
        </w:rPr>
        <w:t>【注：备选磋商响应方案不是指备份磋商响应文件】</w:t>
      </w:r>
      <w:r>
        <w:rPr>
          <w:rFonts w:ascii="宋体" w:hAnsi="宋体" w:cs="宋体"/>
          <w:bCs/>
          <w:color w:val="auto"/>
          <w:szCs w:val="21"/>
          <w:highlight w:val="none"/>
        </w:rPr>
        <w:t xml:space="preserve"> </w:t>
      </w:r>
    </w:p>
    <w:p w14:paraId="052FE50F">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不予受理的磋商响应文件</w:t>
      </w:r>
      <w:r>
        <w:rPr>
          <w:rFonts w:ascii="宋体" w:hAnsi="宋体" w:cs="宋体"/>
          <w:b/>
          <w:color w:val="auto"/>
          <w:szCs w:val="21"/>
          <w:highlight w:val="none"/>
        </w:rPr>
        <w:t xml:space="preserve"> </w:t>
      </w:r>
    </w:p>
    <w:p w14:paraId="523C3D1E">
      <w:pPr>
        <w:pStyle w:val="57"/>
        <w:numPr>
          <w:ilvl w:val="1"/>
          <w:numId w:val="4"/>
        </w:numPr>
        <w:tabs>
          <w:tab w:val="left" w:pos="420"/>
        </w:tabs>
        <w:autoSpaceDE w:val="0"/>
        <w:autoSpaceDN w:val="0"/>
        <w:spacing w:line="360" w:lineRule="auto"/>
        <w:textAlignment w:val="bottom"/>
        <w:outlineLvl w:val="2"/>
        <w:rPr>
          <w:rFonts w:ascii="宋体" w:cs="宋体"/>
          <w:bCs/>
          <w:color w:val="auto"/>
          <w:szCs w:val="21"/>
          <w:highlight w:val="none"/>
        </w:rPr>
      </w:pPr>
      <w:r>
        <w:rPr>
          <w:rFonts w:hint="eastAsia" w:ascii="宋体" w:hAnsi="宋体" w:cs="宋体"/>
          <w:bCs/>
          <w:color w:val="auto"/>
          <w:szCs w:val="21"/>
          <w:highlight w:val="none"/>
        </w:rPr>
        <w:t>逾期传输的或逾期送达的或者未送达指定地点的磋商响应文件；</w:t>
      </w:r>
      <w:r>
        <w:rPr>
          <w:rFonts w:ascii="宋体" w:hAnsi="宋体" w:cs="宋体"/>
          <w:bCs/>
          <w:color w:val="auto"/>
          <w:szCs w:val="21"/>
          <w:highlight w:val="none"/>
        </w:rPr>
        <w:t xml:space="preserve"> </w:t>
      </w:r>
    </w:p>
    <w:p w14:paraId="16CFBC5B">
      <w:pPr>
        <w:pStyle w:val="4"/>
        <w:spacing w:before="156" w:beforeLines="50" w:after="156" w:afterLines="50" w:line="360" w:lineRule="auto"/>
        <w:jc w:val="center"/>
        <w:rPr>
          <w:rFonts w:hint="eastAsia" w:ascii="宋体" w:hAnsi="宋体" w:eastAsia="宋体" w:cs="宋体"/>
          <w:color w:val="auto"/>
          <w:sz w:val="24"/>
          <w:szCs w:val="24"/>
          <w:highlight w:val="none"/>
        </w:rPr>
      </w:pPr>
      <w:bookmarkStart w:id="72" w:name="_Toc528927418"/>
      <w:bookmarkStart w:id="73" w:name="_Toc508888790"/>
      <w:bookmarkStart w:id="74" w:name="_Toc27904"/>
      <w:r>
        <w:rPr>
          <w:rFonts w:hint="eastAsia" w:ascii="宋体" w:hAnsi="宋体" w:eastAsia="宋体" w:cs="宋体"/>
          <w:color w:val="auto"/>
          <w:sz w:val="24"/>
          <w:szCs w:val="24"/>
          <w:highlight w:val="none"/>
        </w:rPr>
        <w:t>四、</w:t>
      </w:r>
      <w:bookmarkEnd w:id="72"/>
      <w:bookmarkEnd w:id="73"/>
      <w:r>
        <w:rPr>
          <w:rFonts w:hint="eastAsia" w:ascii="宋体" w:hAnsi="宋体" w:eastAsia="宋体" w:cs="宋体"/>
          <w:color w:val="auto"/>
          <w:sz w:val="24"/>
          <w:szCs w:val="24"/>
          <w:highlight w:val="none"/>
        </w:rPr>
        <w:t>磋商程序</w:t>
      </w:r>
      <w:bookmarkEnd w:id="74"/>
    </w:p>
    <w:p w14:paraId="36974F18">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bookmarkStart w:id="75" w:name="_Toc479667367"/>
      <w:bookmarkStart w:id="76" w:name="_Toc482195585"/>
      <w:bookmarkStart w:id="77" w:name="_Toc479667089"/>
      <w:bookmarkStart w:id="78" w:name="_Toc482195587"/>
      <w:bookmarkStart w:id="79" w:name="_Toc479667369"/>
      <w:bookmarkStart w:id="80" w:name="_Toc479667091"/>
      <w:r>
        <w:rPr>
          <w:rFonts w:hint="eastAsia" w:ascii="宋体" w:hAnsi="宋体" w:cs="宋体"/>
          <w:b/>
          <w:color w:val="auto"/>
          <w:szCs w:val="21"/>
          <w:highlight w:val="none"/>
        </w:rPr>
        <w:t>磋商小组</w:t>
      </w:r>
      <w:bookmarkEnd w:id="75"/>
      <w:bookmarkEnd w:id="76"/>
      <w:bookmarkEnd w:id="77"/>
      <w:r>
        <w:rPr>
          <w:rFonts w:hint="eastAsia" w:ascii="宋体" w:hAnsi="宋体" w:cs="宋体"/>
          <w:b/>
          <w:color w:val="auto"/>
          <w:szCs w:val="21"/>
          <w:highlight w:val="none"/>
        </w:rPr>
        <w:t>组建</w:t>
      </w:r>
    </w:p>
    <w:p w14:paraId="64D9312C">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磋商小组由采购人依法组建，其成员可以由采购方代表及政府采购评审专家组成，磋商小组对采购响应文件进行审查、质疑、评估和比较。</w:t>
      </w:r>
    </w:p>
    <w:p w14:paraId="27A46496">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磋商小组成员要严格遵守评审工作纪律、保密、回避等相关规定，依法独立履行评审职责，客观、公正、审慎参与评审工作，自觉签订《政府采购评审人员廉洁自律承诺书》。</w:t>
      </w:r>
    </w:p>
    <w:p w14:paraId="6348429D">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磋商准备</w:t>
      </w:r>
    </w:p>
    <w:p w14:paraId="7B05D0A4">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采购人按</w:t>
      </w:r>
      <w:r>
        <w:rPr>
          <w:rFonts w:hint="eastAsia" w:ascii="宋体" w:hAnsi="宋体" w:cs="宋体"/>
          <w:color w:val="auto"/>
          <w:szCs w:val="21"/>
          <w:highlight w:val="none"/>
          <w:u w:val="single"/>
        </w:rPr>
        <w:t>磋商须知前附表</w:t>
      </w:r>
      <w:r>
        <w:rPr>
          <w:rFonts w:hint="eastAsia" w:ascii="宋体" w:hAnsi="宋体" w:cs="宋体"/>
          <w:color w:val="auto"/>
          <w:szCs w:val="21"/>
          <w:highlight w:val="none"/>
        </w:rPr>
        <w:t>规定的时间、地点公开开启磋商响应文件，并邀请所有供应商代表准时在线参加。</w:t>
      </w:r>
      <w:r>
        <w:rPr>
          <w:rFonts w:ascii="宋体" w:hAnsi="宋体" w:cs="宋体"/>
          <w:color w:val="auto"/>
          <w:szCs w:val="21"/>
          <w:highlight w:val="none"/>
        </w:rPr>
        <w:t xml:space="preserve"> </w:t>
      </w:r>
    </w:p>
    <w:p w14:paraId="3CC557D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供应商代表应在线参加磋商活动。</w:t>
      </w:r>
      <w:r>
        <w:rPr>
          <w:rFonts w:ascii="宋体" w:hAnsi="宋体" w:cs="宋体"/>
          <w:color w:val="auto"/>
          <w:szCs w:val="21"/>
          <w:highlight w:val="none"/>
        </w:rPr>
        <w:t xml:space="preserve"> </w:t>
      </w:r>
    </w:p>
    <w:p w14:paraId="5569BF97">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磋商活动组织人员告知所有供应商磋商活动组织人员情况，已提交磋商响应文件的供应商名单、应当回避的情形、开启最终报价文件的预计时间等，组织供应商签署《政府采购活动现场确认声明书》。</w:t>
      </w:r>
    </w:p>
    <w:p w14:paraId="220EC326">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在线解密</w:t>
      </w:r>
    </w:p>
    <w:p w14:paraId="30F61179">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在线解密开始时间</w:t>
      </w:r>
      <w:r>
        <w:rPr>
          <w:rFonts w:ascii="宋体" w:hAnsi="宋体" w:cs="宋体"/>
          <w:color w:val="auto"/>
          <w:szCs w:val="21"/>
          <w:highlight w:val="none"/>
        </w:rPr>
        <w:t xml:space="preserve"> </w:t>
      </w:r>
    </w:p>
    <w:p w14:paraId="40755555">
      <w:pPr>
        <w:pStyle w:val="57"/>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至磋商响应文件提交截止时间，磋商活动组织人员启动在线解密程序，供应商应登录政府采购云平台在在线解密时间内对已提交的电子磋商响应文件进行解密。</w:t>
      </w:r>
      <w:r>
        <w:rPr>
          <w:rFonts w:ascii="宋体" w:hAnsi="宋体" w:cs="宋体"/>
          <w:color w:val="auto"/>
          <w:szCs w:val="21"/>
          <w:highlight w:val="none"/>
        </w:rPr>
        <w:t xml:space="preserve"> </w:t>
      </w:r>
    </w:p>
    <w:p w14:paraId="3028C44C">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解密异常处理</w:t>
      </w:r>
      <w:r>
        <w:rPr>
          <w:rFonts w:ascii="宋体" w:hAnsi="宋体" w:cs="宋体"/>
          <w:color w:val="auto"/>
          <w:szCs w:val="21"/>
          <w:highlight w:val="none"/>
        </w:rPr>
        <w:t xml:space="preserve"> </w:t>
      </w:r>
    </w:p>
    <w:p w14:paraId="6DCA585B">
      <w:pPr>
        <w:pStyle w:val="57"/>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如在线解密失败，磋商活动组织人员将启动异常处理，上传供应商在磋商响应文件提交截止时间前提交的备份电子磋商响应文件进行再次解密，如未提供备份电子磋商响应文件，将不进行再次解密程序。无法在线解密视为供应商放弃磋商响应。</w:t>
      </w:r>
      <w:r>
        <w:rPr>
          <w:rFonts w:ascii="宋体" w:hAnsi="宋体" w:cs="宋体"/>
          <w:color w:val="auto"/>
          <w:szCs w:val="21"/>
          <w:highlight w:val="none"/>
        </w:rPr>
        <w:t xml:space="preserve"> </w:t>
      </w:r>
    </w:p>
    <w:p w14:paraId="0FCF0BA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在线解密时间</w:t>
      </w:r>
      <w:r>
        <w:rPr>
          <w:rFonts w:ascii="宋体" w:hAnsi="宋体" w:cs="宋体"/>
          <w:color w:val="auto"/>
          <w:szCs w:val="21"/>
          <w:highlight w:val="none"/>
        </w:rPr>
        <w:t xml:space="preserve"> </w:t>
      </w:r>
    </w:p>
    <w:p w14:paraId="2C046918">
      <w:pPr>
        <w:pStyle w:val="57"/>
        <w:tabs>
          <w:tab w:val="left" w:pos="0"/>
          <w:tab w:val="left" w:pos="420"/>
        </w:tabs>
        <w:autoSpaceDE w:val="0"/>
        <w:autoSpaceDN w:val="0"/>
        <w:spacing w:line="360" w:lineRule="auto"/>
        <w:ind w:left="420" w:leftChars="200" w:firstLine="0" w:firstLineChars="0"/>
        <w:textAlignment w:val="bottom"/>
        <w:outlineLvl w:val="2"/>
        <w:rPr>
          <w:rFonts w:ascii="宋体" w:cs="宋体"/>
          <w:color w:val="auto"/>
          <w:szCs w:val="21"/>
          <w:highlight w:val="none"/>
        </w:rPr>
      </w:pPr>
      <w:r>
        <w:rPr>
          <w:rFonts w:hint="eastAsia" w:ascii="宋体" w:hAnsi="宋体" w:cs="宋体"/>
          <w:color w:val="auto"/>
          <w:szCs w:val="21"/>
          <w:highlight w:val="none"/>
        </w:rPr>
        <w:t>在线解密时间详见</w:t>
      </w:r>
      <w:r>
        <w:rPr>
          <w:rFonts w:hint="eastAsia" w:ascii="宋体" w:hAnsi="宋体" w:cs="宋体"/>
          <w:color w:val="auto"/>
          <w:szCs w:val="21"/>
          <w:highlight w:val="none"/>
          <w:u w:val="single"/>
        </w:rPr>
        <w:t>“磋商须知前附表”</w:t>
      </w:r>
      <w:r>
        <w:rPr>
          <w:rFonts w:hint="eastAsia" w:ascii="宋体" w:hAnsi="宋体" w:cs="宋体"/>
          <w:color w:val="auto"/>
          <w:szCs w:val="21"/>
          <w:highlight w:val="none"/>
        </w:rPr>
        <w:t>规定。</w:t>
      </w:r>
      <w:r>
        <w:rPr>
          <w:rFonts w:ascii="宋体" w:hAnsi="宋体" w:cs="宋体"/>
          <w:color w:val="auto"/>
          <w:szCs w:val="21"/>
          <w:highlight w:val="none"/>
        </w:rPr>
        <w:t xml:space="preserve"> </w:t>
      </w:r>
    </w:p>
    <w:p w14:paraId="67AF00A7">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在线开启磋商响应文件</w:t>
      </w:r>
      <w:r>
        <w:rPr>
          <w:rFonts w:ascii="宋体" w:hAnsi="宋体" w:cs="宋体"/>
          <w:b/>
          <w:color w:val="auto"/>
          <w:szCs w:val="21"/>
          <w:highlight w:val="none"/>
        </w:rPr>
        <w:t xml:space="preserve"> </w:t>
      </w:r>
    </w:p>
    <w:p w14:paraId="27762854">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待所有供应商在线解密结束后，磋商活动组织人员在线开启磋商响应文件。</w:t>
      </w:r>
    </w:p>
    <w:p w14:paraId="46BDDA9E">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组织磋商活动</w:t>
      </w:r>
    </w:p>
    <w:p w14:paraId="6082361F">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磋商小组所有成员应当集中与单一供应商分别进行磋商，并将给予所有参加磋商的供应商平等的磋商机会。</w:t>
      </w:r>
      <w:r>
        <w:rPr>
          <w:rFonts w:ascii="宋体" w:hAnsi="宋体" w:cs="宋体"/>
          <w:color w:val="auto"/>
          <w:szCs w:val="21"/>
          <w:highlight w:val="none"/>
        </w:rPr>
        <w:t xml:space="preserve"> </w:t>
      </w:r>
    </w:p>
    <w:p w14:paraId="72C4CFF8">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在磋商过程中，磋商小组经采购人代表确认后可以根据采购文件和磋商情况实质性变动采购需求中的技术、服务要求以及合同草案条款。对采购文件作出的实质性变动是采购文件的有效组成部分，</w:t>
      </w:r>
      <w:r>
        <w:rPr>
          <w:rFonts w:hint="eastAsia" w:ascii="宋体" w:hAnsi="宋体" w:cs="宋体"/>
          <w:b/>
          <w:bCs/>
          <w:color w:val="auto"/>
          <w:szCs w:val="21"/>
          <w:highlight w:val="none"/>
          <w:u w:val="single"/>
        </w:rPr>
        <w:t>磋商小组以书面形式通过政府采购云平台通知所有参加磋商的供应商。</w:t>
      </w:r>
      <w:r>
        <w:rPr>
          <w:rFonts w:ascii="宋体" w:hAnsi="宋体" w:cs="宋体"/>
          <w:color w:val="auto"/>
          <w:szCs w:val="21"/>
          <w:highlight w:val="none"/>
        </w:rPr>
        <w:t xml:space="preserve"> </w:t>
      </w:r>
    </w:p>
    <w:p w14:paraId="3A3508C7">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供应商按照采购文件的变动情况和磋商小组的要求进行承诺并作为磋商响应文件的一部分，并加盖单位公章（或</w:t>
      </w:r>
      <w:r>
        <w:rPr>
          <w:rFonts w:ascii="宋体" w:hAnsi="宋体" w:cs="宋体"/>
          <w:color w:val="auto"/>
          <w:szCs w:val="21"/>
          <w:highlight w:val="none"/>
        </w:rPr>
        <w:t>CA</w:t>
      </w:r>
      <w:r>
        <w:rPr>
          <w:rFonts w:hint="eastAsia" w:ascii="宋体" w:hAnsi="宋体" w:cs="宋体"/>
          <w:color w:val="auto"/>
          <w:szCs w:val="21"/>
          <w:highlight w:val="none"/>
        </w:rPr>
        <w:t>签章），上传政府采购云平台。</w:t>
      </w:r>
      <w:r>
        <w:rPr>
          <w:rFonts w:ascii="宋体" w:hAnsi="宋体" w:cs="宋体"/>
          <w:color w:val="auto"/>
          <w:szCs w:val="21"/>
          <w:highlight w:val="none"/>
        </w:rPr>
        <w:t xml:space="preserve"> </w:t>
      </w:r>
    </w:p>
    <w:p w14:paraId="6F9FEE2B">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已提交响应文件的供应商，在提交最终报价之前，可以根据磋商情况退出磋商。</w:t>
      </w:r>
      <w:r>
        <w:rPr>
          <w:rFonts w:ascii="宋体" w:hAnsi="宋体" w:cs="宋体"/>
          <w:color w:val="auto"/>
          <w:szCs w:val="21"/>
          <w:highlight w:val="none"/>
        </w:rPr>
        <w:t xml:space="preserve"> </w:t>
      </w:r>
    </w:p>
    <w:p w14:paraId="2D519A88">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在政府采购云平台中汇总各供应商的得分，通知供应商经评审无效的理由。</w:t>
      </w:r>
      <w:r>
        <w:rPr>
          <w:rFonts w:ascii="宋体" w:hAnsi="宋体" w:cs="宋体"/>
          <w:color w:val="auto"/>
          <w:szCs w:val="21"/>
          <w:highlight w:val="none"/>
        </w:rPr>
        <w:t xml:space="preserve"> </w:t>
      </w:r>
    </w:p>
    <w:p w14:paraId="2B5DD209">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磋商结束后，磋商小组将要求所有实质性响应的供应商按政府采购云平台规定时间内分别进行最终报价，最终报价是供应商响应文件的有效组成部分。各供应商在规定时间之后的报价将被视为无效。</w:t>
      </w:r>
      <w:r>
        <w:rPr>
          <w:rFonts w:ascii="宋体" w:hAnsi="宋体" w:cs="宋体"/>
          <w:color w:val="auto"/>
          <w:szCs w:val="21"/>
          <w:highlight w:val="none"/>
        </w:rPr>
        <w:t xml:space="preserve"> </w:t>
      </w:r>
    </w:p>
    <w:p w14:paraId="16421340">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待所有供应商报价上传政府采购云平台完成后，统一开启供应商的最终报价，同时当场制作并打印开标记录表，由供应商代表、唱标人、记录人和现场监督员在开标记录表上签字确认（不予确认的应说明理由，否则视为无异议）。磋商小组对报价的合理性进行审查核实、评分，政府采购云平台汇总各供应商最终得分，并在政府采购云平台上公布得分结果。</w:t>
      </w:r>
      <w:r>
        <w:rPr>
          <w:rFonts w:ascii="宋体" w:hAnsi="宋体" w:cs="宋体"/>
          <w:color w:val="auto"/>
          <w:szCs w:val="21"/>
          <w:highlight w:val="none"/>
        </w:rPr>
        <w:t xml:space="preserve"> </w:t>
      </w:r>
    </w:p>
    <w:p w14:paraId="5720B8E2">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磋商的任何一方不得透露与磋商有关的其他供应商的技术资料、价格和其他信息。</w:t>
      </w:r>
      <w:r>
        <w:rPr>
          <w:rFonts w:ascii="宋体" w:hAnsi="宋体" w:cs="宋体"/>
          <w:color w:val="auto"/>
          <w:szCs w:val="21"/>
          <w:highlight w:val="none"/>
        </w:rPr>
        <w:t xml:space="preserve"> </w:t>
      </w:r>
    </w:p>
    <w:p w14:paraId="37A5017A">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采购代理机构对相关磋商内容进行记录，以存档备查。</w:t>
      </w:r>
      <w:r>
        <w:rPr>
          <w:rFonts w:ascii="宋体" w:hAnsi="宋体" w:cs="宋体"/>
          <w:color w:val="auto"/>
          <w:szCs w:val="21"/>
          <w:highlight w:val="none"/>
        </w:rPr>
        <w:t xml:space="preserve"> </w:t>
      </w:r>
    </w:p>
    <w:p w14:paraId="6C8936AE">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磋商评审期间，供应商应随时随地答复磋商小组的提出的问题，解答包括有关的商务、技术问题等，并按磋商小组要求及时形成磋商承诺。</w:t>
      </w:r>
      <w:r>
        <w:rPr>
          <w:rFonts w:ascii="宋体" w:hAnsi="宋体" w:cs="宋体"/>
          <w:color w:val="auto"/>
          <w:szCs w:val="21"/>
          <w:highlight w:val="none"/>
        </w:rPr>
        <w:t xml:space="preserve"> </w:t>
      </w:r>
    </w:p>
    <w:p w14:paraId="22C23451">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磋商活动异议</w:t>
      </w:r>
      <w:r>
        <w:rPr>
          <w:rFonts w:ascii="宋体" w:hAnsi="宋体" w:cs="宋体"/>
          <w:b/>
          <w:color w:val="auto"/>
          <w:szCs w:val="21"/>
          <w:highlight w:val="none"/>
        </w:rPr>
        <w:t xml:space="preserve"> </w:t>
      </w:r>
    </w:p>
    <w:p w14:paraId="667EE9D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供应商如对磋商活动有异议，应当在活动现场提出，磋商活动组织人员将当场作出答复，并制作记录。</w:t>
      </w:r>
    </w:p>
    <w:p w14:paraId="72843E9A">
      <w:pPr>
        <w:pStyle w:val="57"/>
        <w:numPr>
          <w:ilvl w:val="1"/>
          <w:numId w:val="4"/>
        </w:numPr>
        <w:tabs>
          <w:tab w:val="left" w:pos="420"/>
        </w:tabs>
        <w:autoSpaceDE w:val="0"/>
        <w:autoSpaceDN w:val="0"/>
        <w:spacing w:line="360" w:lineRule="auto"/>
        <w:ind w:firstLine="422"/>
        <w:textAlignment w:val="bottom"/>
        <w:outlineLvl w:val="2"/>
        <w:rPr>
          <w:rFonts w:ascii="宋体" w:cs="宋体"/>
          <w:color w:val="auto"/>
          <w:szCs w:val="21"/>
          <w:highlight w:val="none"/>
        </w:rPr>
      </w:pPr>
      <w:r>
        <w:rPr>
          <w:rFonts w:hint="eastAsia" w:ascii="宋体" w:hAnsi="宋体" w:cs="宋体"/>
          <w:b/>
          <w:color w:val="auto"/>
          <w:szCs w:val="21"/>
          <w:highlight w:val="none"/>
          <w:lang w:val="zh-CN"/>
        </w:rPr>
        <w:t>政采云平台如对电子开评标程序有调整的，按调整后的程序操作</w:t>
      </w:r>
      <w:r>
        <w:rPr>
          <w:rFonts w:hint="eastAsia" w:ascii="宋体" w:hAnsi="Times New Roman"/>
          <w:b/>
          <w:bCs/>
          <w:color w:val="auto"/>
          <w:sz w:val="24"/>
          <w:szCs w:val="24"/>
          <w:highlight w:val="none"/>
          <w:lang w:val="zh-CN"/>
        </w:rPr>
        <w:t>。</w:t>
      </w:r>
    </w:p>
    <w:p w14:paraId="60F4A1A8">
      <w:pPr>
        <w:pStyle w:val="4"/>
        <w:spacing w:before="156" w:beforeLines="50" w:after="156" w:afterLines="50" w:line="360" w:lineRule="auto"/>
        <w:jc w:val="center"/>
        <w:rPr>
          <w:rFonts w:hint="eastAsia" w:ascii="宋体" w:hAnsi="宋体" w:eastAsia="宋体" w:cs="宋体"/>
          <w:color w:val="auto"/>
          <w:sz w:val="24"/>
          <w:szCs w:val="24"/>
          <w:highlight w:val="none"/>
        </w:rPr>
      </w:pPr>
      <w:bookmarkStart w:id="81" w:name="_Toc13204"/>
      <w:bookmarkStart w:id="82" w:name="_Toc7190438"/>
      <w:bookmarkStart w:id="83" w:name="_Toc497398771"/>
      <w:r>
        <w:rPr>
          <w:rFonts w:hint="eastAsia" w:ascii="宋体" w:hAnsi="宋体" w:eastAsia="宋体" w:cs="宋体"/>
          <w:color w:val="auto"/>
          <w:sz w:val="24"/>
          <w:szCs w:val="24"/>
          <w:highlight w:val="none"/>
        </w:rPr>
        <w:t>五、资格审查</w:t>
      </w:r>
      <w:bookmarkEnd w:id="81"/>
      <w:bookmarkEnd w:id="82"/>
      <w:bookmarkEnd w:id="83"/>
    </w:p>
    <w:p w14:paraId="25ED9CAF">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资格审查方式</w:t>
      </w:r>
    </w:p>
    <w:p w14:paraId="732DFDFC">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本项目采用的资格审查方式详见：</w:t>
      </w:r>
      <w:r>
        <w:rPr>
          <w:rFonts w:hint="eastAsia" w:ascii="宋体" w:hAnsi="宋体" w:cs="宋体"/>
          <w:color w:val="auto"/>
          <w:szCs w:val="21"/>
          <w:highlight w:val="none"/>
          <w:u w:val="single"/>
        </w:rPr>
        <w:t>“磋商须知前附表”</w:t>
      </w:r>
      <w:r>
        <w:rPr>
          <w:rFonts w:hint="eastAsia" w:ascii="宋体" w:hAnsi="宋体" w:cs="宋体"/>
          <w:color w:val="auto"/>
          <w:szCs w:val="21"/>
          <w:highlight w:val="none"/>
        </w:rPr>
        <w:t>规定。</w:t>
      </w:r>
    </w:p>
    <w:p w14:paraId="7F6BC685">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资格审查</w:t>
      </w:r>
    </w:p>
    <w:p w14:paraId="7A917A3D">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开标后，采购人或采购代理机构将依法对供应商的资格进行审查。</w:t>
      </w:r>
    </w:p>
    <w:p w14:paraId="348E641E">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采购人或采购代理机构依据法律法规和采购文件的规定，对供应商的基本资格条件、特定资格条件进行审查。</w:t>
      </w:r>
    </w:p>
    <w:p w14:paraId="105D6ED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供应商未按照采购文件要求提供与基本资格条件、特定资格条件相应的有效资格证明材料的，视为供应商不具备采购文件中规定的资格要求，其磋商响应无效。</w:t>
      </w:r>
    </w:p>
    <w:p w14:paraId="2FCBBD46">
      <w:pPr>
        <w:pStyle w:val="4"/>
        <w:spacing w:before="156" w:beforeLines="50" w:after="156" w:afterLines="50" w:line="360" w:lineRule="auto"/>
        <w:jc w:val="center"/>
        <w:rPr>
          <w:rFonts w:hint="eastAsia" w:ascii="宋体" w:hAnsi="宋体" w:eastAsia="宋体" w:cs="宋体"/>
          <w:color w:val="auto"/>
          <w:szCs w:val="21"/>
          <w:highlight w:val="none"/>
        </w:rPr>
      </w:pPr>
      <w:bookmarkStart w:id="84" w:name="_Toc16273"/>
      <w:r>
        <w:rPr>
          <w:rFonts w:hint="eastAsia" w:ascii="宋体" w:hAnsi="宋体" w:eastAsia="宋体" w:cs="宋体"/>
          <w:color w:val="auto"/>
          <w:sz w:val="24"/>
          <w:szCs w:val="24"/>
          <w:highlight w:val="none"/>
        </w:rPr>
        <w:t>六、评审</w:t>
      </w:r>
      <w:bookmarkEnd w:id="84"/>
    </w:p>
    <w:p w14:paraId="4D325AA0">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评审原则及程序</w:t>
      </w:r>
    </w:p>
    <w:p w14:paraId="6E662E44">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小组必须公平、公正、客观，不带任何倾向性和启发性；不得向外界透露任何与评标、磋商有关的内容；任何单位和个人不得干扰、影响评标与磋商的正常进行；磋商小组及有关工作人员不得私下与磋商供应商接触。</w:t>
      </w:r>
    </w:p>
    <w:p w14:paraId="626F82E0">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在评审专家中推选评标委员会组长，优先推选资深专家为组长。</w:t>
      </w:r>
    </w:p>
    <w:p w14:paraId="460B259D">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评审人员应认真阅读采购文件以及相关补充、质疑、答复文件、项目书面说明等材料，熟悉采购项目的基本概况，采购项目的质量要求、数量、主要技术标准或服务需求，采购合同主要条款，响应文件无效情形，评审方法、评审依据、评审标准等。</w:t>
      </w:r>
    </w:p>
    <w:p w14:paraId="173912A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评审人员对各供应商响应文件的有效性、完整性和响应程度进行审查，确定是否对采购文件作出实质性响应。</w:t>
      </w:r>
    </w:p>
    <w:p w14:paraId="31F36B5D">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评审人员按采购文件规定的评审方法和评审标准，依法独立对各供应商响应文件进行评估、比较，并给予评价或打分，不受任何单位和个人的干预。</w:t>
      </w:r>
    </w:p>
    <w:p w14:paraId="2C800B47">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评审人员对各供应商响应文件非实质性内容有疑议或异议，或者审查发现明显的文字或计算错误等，及时向评标委员会组长提出。经评标委员会商议认为需要供应商作出必要澄清或说明的，应通知该供应商以书面形式作出澄清或说明。</w:t>
      </w:r>
    </w:p>
    <w:p w14:paraId="48F5C1F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评审人员需对采购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A0B1A8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磋商小组根据综合评分情况，将供应商的评审得分由高到低顺序，并推荐</w:t>
      </w:r>
      <w:r>
        <w:rPr>
          <w:rFonts w:ascii="宋体" w:hAnsi="宋体" w:cs="宋体"/>
          <w:color w:val="auto"/>
          <w:szCs w:val="21"/>
          <w:highlight w:val="none"/>
        </w:rPr>
        <w:t>3</w:t>
      </w:r>
      <w:r>
        <w:rPr>
          <w:rFonts w:hint="eastAsia" w:ascii="宋体" w:hAnsi="宋体" w:cs="宋体"/>
          <w:color w:val="auto"/>
          <w:szCs w:val="21"/>
          <w:highlight w:val="none"/>
        </w:rPr>
        <w:t>名以上成交候选供应商，并编写评审报告。符合《政府采购竞争性磋商采购方式管理暂行办法》第二十一条第三款情形的和《关于政府采购竞争性磋商采购方式管理暂行办法有关问题的补充通知》（财库〔</w:t>
      </w:r>
      <w:r>
        <w:rPr>
          <w:rFonts w:ascii="宋体" w:hAnsi="宋体" w:cs="宋体"/>
          <w:color w:val="auto"/>
          <w:szCs w:val="21"/>
          <w:highlight w:val="none"/>
        </w:rPr>
        <w:t>2015</w:t>
      </w:r>
      <w:r>
        <w:rPr>
          <w:rFonts w:hint="eastAsia" w:ascii="宋体" w:hAnsi="宋体" w:cs="宋体"/>
          <w:color w:val="auto"/>
          <w:szCs w:val="21"/>
          <w:highlight w:val="none"/>
        </w:rPr>
        <w:t>〕</w:t>
      </w:r>
      <w:r>
        <w:rPr>
          <w:rFonts w:ascii="宋体" w:hAnsi="宋体" w:cs="宋体"/>
          <w:color w:val="auto"/>
          <w:szCs w:val="21"/>
          <w:highlight w:val="none"/>
        </w:rPr>
        <w:t xml:space="preserve">124 </w:t>
      </w:r>
      <w:r>
        <w:rPr>
          <w:rFonts w:hint="eastAsia" w:ascii="宋体" w:hAnsi="宋体" w:cs="宋体"/>
          <w:color w:val="auto"/>
          <w:szCs w:val="21"/>
          <w:highlight w:val="none"/>
        </w:rPr>
        <w:t>号），可以推荐</w:t>
      </w:r>
      <w:r>
        <w:rPr>
          <w:rFonts w:ascii="宋体" w:hAnsi="宋体" w:cs="宋体"/>
          <w:color w:val="auto"/>
          <w:szCs w:val="21"/>
          <w:highlight w:val="none"/>
        </w:rPr>
        <w:t>2</w:t>
      </w:r>
      <w:r>
        <w:rPr>
          <w:rFonts w:hint="eastAsia" w:ascii="宋体" w:hAnsi="宋体" w:cs="宋体"/>
          <w:color w:val="auto"/>
          <w:szCs w:val="21"/>
          <w:highlight w:val="none"/>
        </w:rPr>
        <w:t>家成交候选供应商。评审得分相同的，按照最终报价由低到高的顺序推荐。评审得分且最终报价相同的，按照技术服务水平优劣顺序推荐。</w:t>
      </w:r>
    </w:p>
    <w:p w14:paraId="06322372">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评审办法</w:t>
      </w:r>
    </w:p>
    <w:p w14:paraId="7F02DDC0">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本项目采用综合评分法。</w:t>
      </w:r>
      <w:r>
        <w:rPr>
          <w:rFonts w:ascii="宋体" w:hAnsi="宋体" w:cs="宋体"/>
          <w:color w:val="auto"/>
          <w:szCs w:val="21"/>
          <w:highlight w:val="none"/>
        </w:rPr>
        <w:t xml:space="preserve">  </w:t>
      </w:r>
    </w:p>
    <w:p w14:paraId="3FC55FBD">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政府采购云平台汇总各供应商的商务技术分、报价分作为各供应商的评审得分。</w:t>
      </w:r>
      <w:r>
        <w:rPr>
          <w:rFonts w:ascii="宋体" w:hAnsi="宋体" w:cs="宋体"/>
          <w:color w:val="auto"/>
          <w:szCs w:val="21"/>
          <w:highlight w:val="none"/>
        </w:rPr>
        <w:t xml:space="preserve"> </w:t>
      </w:r>
    </w:p>
    <w:p w14:paraId="543C06C4">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具体评审办法详见“第四章</w:t>
      </w:r>
      <w:r>
        <w:rPr>
          <w:rFonts w:ascii="宋体" w:hAnsi="宋体" w:cs="宋体"/>
          <w:color w:val="auto"/>
          <w:szCs w:val="21"/>
          <w:highlight w:val="none"/>
        </w:rPr>
        <w:t xml:space="preserve"> </w:t>
      </w:r>
      <w:r>
        <w:rPr>
          <w:rFonts w:hint="eastAsia" w:ascii="宋体" w:hAnsi="宋体" w:cs="宋体"/>
          <w:color w:val="auto"/>
          <w:szCs w:val="21"/>
          <w:highlight w:val="none"/>
        </w:rPr>
        <w:t>磋商评审办法”。本项目原则上采用电子评审方法。</w:t>
      </w:r>
    </w:p>
    <w:p w14:paraId="499D1710">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出现下列情形之一的，采购组织机构将终止竞争性磋商采购活动：</w:t>
      </w:r>
    </w:p>
    <w:p w14:paraId="0DD84E04">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因情况变化，不再符合规定的竞争性磋商采购方式适用情形的；；</w:t>
      </w:r>
    </w:p>
    <w:p w14:paraId="0F939813">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出现影响采购公正的违法、违规行为的；</w:t>
      </w:r>
    </w:p>
    <w:p w14:paraId="47E4F15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所有报价经磋商小组认定明显高于市场价格；</w:t>
      </w:r>
    </w:p>
    <w:p w14:paraId="478ADA79">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除《政府采购竞争性磋商采购方式管理暂行办法》第二十一条第三款和《关于政府采购竞争性磋商采购方式管理暂行办法有关问题的补充通知》（财库〔</w:t>
      </w:r>
      <w:r>
        <w:rPr>
          <w:rFonts w:ascii="宋体" w:hAnsi="宋体" w:cs="宋体"/>
          <w:color w:val="auto"/>
          <w:szCs w:val="21"/>
          <w:highlight w:val="none"/>
        </w:rPr>
        <w:t>2015</w:t>
      </w:r>
      <w:r>
        <w:rPr>
          <w:rFonts w:hint="eastAsia" w:ascii="宋体" w:hAnsi="宋体" w:cs="宋体"/>
          <w:color w:val="auto"/>
          <w:szCs w:val="21"/>
          <w:highlight w:val="none"/>
        </w:rPr>
        <w:t>〕</w:t>
      </w:r>
      <w:r>
        <w:rPr>
          <w:rFonts w:ascii="宋体" w:hAnsi="宋体" w:cs="宋体"/>
          <w:color w:val="auto"/>
          <w:szCs w:val="21"/>
          <w:highlight w:val="none"/>
        </w:rPr>
        <w:t xml:space="preserve">124 </w:t>
      </w:r>
      <w:r>
        <w:rPr>
          <w:rFonts w:hint="eastAsia" w:ascii="宋体" w:hAnsi="宋体" w:cs="宋体"/>
          <w:color w:val="auto"/>
          <w:szCs w:val="21"/>
          <w:highlight w:val="none"/>
        </w:rPr>
        <w:t>号）规定情形外，在采购过程中符合要求的供应商或者报价未超过采购预算的供应商不足</w:t>
      </w:r>
      <w:r>
        <w:rPr>
          <w:rFonts w:ascii="宋体" w:hAnsi="宋体" w:cs="宋体"/>
          <w:color w:val="auto"/>
          <w:szCs w:val="21"/>
          <w:highlight w:val="none"/>
        </w:rPr>
        <w:t>3</w:t>
      </w:r>
      <w:r>
        <w:rPr>
          <w:rFonts w:hint="eastAsia" w:ascii="宋体" w:hAnsi="宋体" w:cs="宋体"/>
          <w:color w:val="auto"/>
          <w:szCs w:val="21"/>
          <w:highlight w:val="none"/>
        </w:rPr>
        <w:t>家的；</w:t>
      </w:r>
      <w:r>
        <w:rPr>
          <w:rFonts w:ascii="宋体" w:hAnsi="宋体" w:cs="宋体"/>
          <w:color w:val="auto"/>
          <w:szCs w:val="21"/>
          <w:highlight w:val="none"/>
        </w:rPr>
        <w:t xml:space="preserve"> </w:t>
      </w:r>
    </w:p>
    <w:p w14:paraId="7527620D">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符合《政府采购竞争性磋商采购方式管理暂行办法》第二十一条第三款和《关于政府采购竞争性磋商采购方式管理暂行办法有关问题的补充通知》（财库〔</w:t>
      </w:r>
      <w:r>
        <w:rPr>
          <w:rFonts w:ascii="宋体" w:hAnsi="宋体" w:cs="宋体"/>
          <w:color w:val="auto"/>
          <w:szCs w:val="21"/>
          <w:highlight w:val="none"/>
        </w:rPr>
        <w:t>2015</w:t>
      </w:r>
      <w:r>
        <w:rPr>
          <w:rFonts w:hint="eastAsia" w:ascii="宋体" w:hAnsi="宋体" w:cs="宋体"/>
          <w:color w:val="auto"/>
          <w:szCs w:val="21"/>
          <w:highlight w:val="none"/>
        </w:rPr>
        <w:t>〕</w:t>
      </w:r>
      <w:r>
        <w:rPr>
          <w:rFonts w:ascii="宋体" w:hAnsi="宋体" w:cs="宋体"/>
          <w:color w:val="auto"/>
          <w:szCs w:val="21"/>
          <w:highlight w:val="none"/>
        </w:rPr>
        <w:t xml:space="preserve">124 </w:t>
      </w:r>
      <w:r>
        <w:rPr>
          <w:rFonts w:hint="eastAsia" w:ascii="宋体" w:hAnsi="宋体" w:cs="宋体"/>
          <w:color w:val="auto"/>
          <w:szCs w:val="21"/>
          <w:highlight w:val="none"/>
        </w:rPr>
        <w:t>号）规定情形，但在采购过程中符合要求的供应商或者报价未超过采购预算的供应商不足</w:t>
      </w:r>
      <w:r>
        <w:rPr>
          <w:rFonts w:ascii="宋体" w:hAnsi="宋体" w:cs="宋体"/>
          <w:color w:val="auto"/>
          <w:szCs w:val="21"/>
          <w:highlight w:val="none"/>
        </w:rPr>
        <w:t>2</w:t>
      </w:r>
      <w:r>
        <w:rPr>
          <w:rFonts w:hint="eastAsia" w:ascii="宋体" w:hAnsi="宋体" w:cs="宋体"/>
          <w:color w:val="auto"/>
          <w:szCs w:val="21"/>
          <w:highlight w:val="none"/>
        </w:rPr>
        <w:t>家的；</w:t>
      </w:r>
      <w:r>
        <w:rPr>
          <w:rFonts w:ascii="宋体" w:hAnsi="宋体" w:cs="宋体"/>
          <w:color w:val="auto"/>
          <w:szCs w:val="21"/>
          <w:highlight w:val="none"/>
        </w:rPr>
        <w:t xml:space="preserve"> </w:t>
      </w:r>
    </w:p>
    <w:p w14:paraId="6110306F">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因重大变故，采购任务取消的。</w:t>
      </w:r>
    </w:p>
    <w:p w14:paraId="15193970">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法律、法规和采购文件规定的其他导致评审结果无效的。</w:t>
      </w:r>
    </w:p>
    <w:p w14:paraId="51458240">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采购过程中出现以下情形，导致电子交易平台无法正常运行，或者无法保证电子交易的公平、公正和安全时，采购组织机构将中止电子交易活动：</w:t>
      </w:r>
      <w:r>
        <w:rPr>
          <w:rFonts w:ascii="宋体" w:hAnsi="宋体" w:cs="宋体"/>
          <w:b/>
          <w:color w:val="auto"/>
          <w:szCs w:val="21"/>
          <w:highlight w:val="none"/>
        </w:rPr>
        <w:t xml:space="preserve"> </w:t>
      </w:r>
    </w:p>
    <w:p w14:paraId="1D74241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电子交易平台发生故障而无法登录访问的；</w:t>
      </w:r>
      <w:r>
        <w:rPr>
          <w:rFonts w:ascii="宋体" w:hAnsi="宋体" w:cs="宋体"/>
          <w:color w:val="auto"/>
          <w:szCs w:val="21"/>
          <w:highlight w:val="none"/>
        </w:rPr>
        <w:t xml:space="preserve"> </w:t>
      </w:r>
    </w:p>
    <w:p w14:paraId="1803232E">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电子交易平台应用或数据库出现错误，不能进行正常操作的；</w:t>
      </w:r>
      <w:r>
        <w:rPr>
          <w:rFonts w:ascii="宋体" w:hAnsi="宋体" w:cs="宋体"/>
          <w:color w:val="auto"/>
          <w:szCs w:val="21"/>
          <w:highlight w:val="none"/>
        </w:rPr>
        <w:t xml:space="preserve"> </w:t>
      </w:r>
    </w:p>
    <w:p w14:paraId="3CB2455F">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电子交易平台发现严重安全漏洞，有潜在泄密危险的；</w:t>
      </w:r>
      <w:r>
        <w:rPr>
          <w:rFonts w:ascii="宋体" w:hAnsi="宋体" w:cs="宋体"/>
          <w:color w:val="auto"/>
          <w:szCs w:val="21"/>
          <w:highlight w:val="none"/>
        </w:rPr>
        <w:t xml:space="preserve"> </w:t>
      </w:r>
    </w:p>
    <w:p w14:paraId="2F9A8ABF">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病毒发作导致不能进行正常操作的；</w:t>
      </w:r>
      <w:r>
        <w:rPr>
          <w:rFonts w:ascii="宋体" w:hAnsi="宋体" w:cs="宋体"/>
          <w:color w:val="auto"/>
          <w:szCs w:val="21"/>
          <w:highlight w:val="none"/>
        </w:rPr>
        <w:t xml:space="preserve"> </w:t>
      </w:r>
    </w:p>
    <w:p w14:paraId="56D4AE34">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其他无法保证电子交易的公平、公正和安全的情况。</w:t>
      </w:r>
      <w:r>
        <w:rPr>
          <w:rFonts w:ascii="宋体" w:hAnsi="宋体" w:cs="宋体"/>
          <w:color w:val="auto"/>
          <w:szCs w:val="21"/>
          <w:highlight w:val="none"/>
        </w:rPr>
        <w:t xml:space="preserve"> </w:t>
      </w:r>
    </w:p>
    <w:p w14:paraId="03598B89">
      <w:pPr>
        <w:pStyle w:val="57"/>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14:paraId="494E51AC">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磋商过程的监控</w:t>
      </w:r>
    </w:p>
    <w:p w14:paraId="28E1673B">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本项目评标过程实行全程录音、录像监控，供应商在评标过程中所进行的试图影响评标结果的不公正活动，可能导致其投标被拒绝。</w:t>
      </w:r>
    </w:p>
    <w:p w14:paraId="74A66990">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评审过程中出现录音录像采集设备不能正常运行的，应当立即封存评审资料、中止评审活动，直至设备（或替代设备）运转正常或转移至符合条件的场所后继续进行评审工作。</w:t>
      </w:r>
    </w:p>
    <w:bookmarkEnd w:id="78"/>
    <w:bookmarkEnd w:id="79"/>
    <w:bookmarkEnd w:id="80"/>
    <w:p w14:paraId="3A171508">
      <w:pPr>
        <w:pStyle w:val="4"/>
        <w:spacing w:before="156" w:beforeLines="50" w:after="0" w:line="360" w:lineRule="auto"/>
        <w:jc w:val="center"/>
        <w:rPr>
          <w:rFonts w:hint="eastAsia" w:ascii="宋体" w:hAnsi="宋体" w:eastAsia="宋体" w:cs="宋体"/>
          <w:color w:val="auto"/>
          <w:sz w:val="24"/>
          <w:szCs w:val="24"/>
          <w:highlight w:val="none"/>
        </w:rPr>
      </w:pPr>
      <w:bookmarkStart w:id="85" w:name="_Toc15004"/>
      <w:bookmarkStart w:id="86" w:name="_Toc528927419"/>
      <w:bookmarkStart w:id="87" w:name="_Toc508888791"/>
      <w:r>
        <w:rPr>
          <w:rFonts w:hint="eastAsia" w:ascii="宋体" w:hAnsi="宋体" w:eastAsia="宋体" w:cs="宋体"/>
          <w:color w:val="auto"/>
          <w:sz w:val="24"/>
          <w:szCs w:val="24"/>
          <w:highlight w:val="none"/>
        </w:rPr>
        <w:t>七、定标</w:t>
      </w:r>
      <w:bookmarkEnd w:id="85"/>
      <w:bookmarkEnd w:id="86"/>
      <w:bookmarkEnd w:id="87"/>
    </w:p>
    <w:p w14:paraId="416AEE64">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定标</w:t>
      </w:r>
    </w:p>
    <w:p w14:paraId="498B2B98">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bookmarkStart w:id="88" w:name="_Toc170792772"/>
      <w:bookmarkStart w:id="89" w:name="_Toc107820051"/>
      <w:r>
        <w:rPr>
          <w:rFonts w:hint="eastAsia" w:ascii="宋体" w:hAnsi="宋体" w:cs="宋体"/>
          <w:color w:val="auto"/>
          <w:szCs w:val="21"/>
          <w:highlight w:val="none"/>
        </w:rPr>
        <w:t>采购代理机构在评审结束之日起</w:t>
      </w:r>
      <w:r>
        <w:rPr>
          <w:rFonts w:ascii="宋体" w:hAnsi="宋体" w:cs="宋体"/>
          <w:color w:val="auto"/>
          <w:szCs w:val="21"/>
          <w:highlight w:val="none"/>
        </w:rPr>
        <w:t>2</w:t>
      </w:r>
      <w:r>
        <w:rPr>
          <w:rFonts w:hint="eastAsia" w:ascii="宋体" w:hAnsi="宋体" w:cs="宋体"/>
          <w:color w:val="auto"/>
          <w:szCs w:val="21"/>
          <w:highlight w:val="none"/>
        </w:rPr>
        <w:t>个工作日内将评审报告送交采购人确认。</w:t>
      </w:r>
    </w:p>
    <w:p w14:paraId="21EF5F1A">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采购人自收到评审报告之日起</w:t>
      </w:r>
      <w:r>
        <w:rPr>
          <w:rFonts w:ascii="宋体" w:hAnsi="宋体" w:cs="宋体"/>
          <w:color w:val="auto"/>
          <w:szCs w:val="21"/>
          <w:highlight w:val="none"/>
        </w:rPr>
        <w:t>5</w:t>
      </w:r>
      <w:r>
        <w:rPr>
          <w:rFonts w:hint="eastAsia" w:ascii="宋体" w:hAnsi="宋体" w:cs="宋体"/>
          <w:color w:val="auto"/>
          <w:szCs w:val="21"/>
          <w:highlight w:val="none"/>
        </w:rPr>
        <w:t>个工作日内在评审报告推荐的中标候选人中按顺序确定中标（成交）供应商。</w:t>
      </w:r>
    </w:p>
    <w:p w14:paraId="2B6A2541">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在采购人确认采购结果后，采购代理机构将成交结果发布在政府采购网上进行公告。采购人、采购代理机构及磋商小组对未成交的供应商不作落标原因解释。</w:t>
      </w:r>
    </w:p>
    <w:p w14:paraId="7E81CD68">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结果公告</w:t>
      </w:r>
    </w:p>
    <w:p w14:paraId="09B8281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采购人确定中标（成交）供应商之日起</w:t>
      </w:r>
      <w:r>
        <w:rPr>
          <w:rFonts w:ascii="宋体" w:hAnsi="宋体" w:cs="宋体"/>
          <w:color w:val="auto"/>
          <w:szCs w:val="21"/>
          <w:highlight w:val="none"/>
        </w:rPr>
        <w:t>2</w:t>
      </w:r>
      <w:r>
        <w:rPr>
          <w:rFonts w:hint="eastAsia" w:ascii="宋体" w:hAnsi="宋体" w:cs="宋体"/>
          <w:color w:val="auto"/>
          <w:szCs w:val="21"/>
          <w:highlight w:val="none"/>
        </w:rPr>
        <w:t>个工作日内，采购代理机构在“浙江政府采购网”上发布中标结果公告。中标结果公告将包括中标人名称、地址和中标金额，主要中标标的的名称、规格型号、数量、单价、服务要求以及评审专家名单等内容，但不包括国家秘密、商业秘密。</w:t>
      </w:r>
    </w:p>
    <w:p w14:paraId="40C5B6D6">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代理机构将在中标结果公告中附中标（成交）通知书，视同向中标（成交）供应商发出中标（成交）通知书，同时中标（成交）供应商应在中标结果公告发布后签订合同前，赴采购代理机构项目负责人处领取中标（成交）通知书。</w:t>
      </w:r>
    </w:p>
    <w:p w14:paraId="64B3F3C2">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中标（成交）通知书发出之日起至合同签订前，中标（成交）供应商不得开展项目实质性工作（如订货、施工等）。否则，造成的有关损失由中标（成交）供应商自行承担。</w:t>
      </w:r>
    </w:p>
    <w:p w14:paraId="0045C491">
      <w:pPr>
        <w:pStyle w:val="4"/>
        <w:spacing w:before="156" w:beforeLines="50" w:after="156" w:afterLines="50" w:line="360" w:lineRule="auto"/>
        <w:jc w:val="center"/>
        <w:rPr>
          <w:rFonts w:hint="eastAsia" w:ascii="宋体" w:hAnsi="宋体" w:eastAsia="宋体" w:cs="宋体"/>
          <w:color w:val="auto"/>
          <w:sz w:val="24"/>
          <w:szCs w:val="24"/>
          <w:highlight w:val="none"/>
        </w:rPr>
      </w:pPr>
      <w:bookmarkStart w:id="90" w:name="_Toc29156"/>
      <w:bookmarkStart w:id="91" w:name="_Toc528927420"/>
      <w:bookmarkStart w:id="92" w:name="_Toc508888792"/>
      <w:r>
        <w:rPr>
          <w:rFonts w:hint="eastAsia" w:ascii="宋体" w:hAnsi="宋体" w:eastAsia="宋体" w:cs="宋体"/>
          <w:color w:val="auto"/>
          <w:sz w:val="24"/>
          <w:szCs w:val="24"/>
          <w:highlight w:val="none"/>
        </w:rPr>
        <w:t>八、</w:t>
      </w:r>
      <w:bookmarkStart w:id="93" w:name="_Toc177870556"/>
      <w:r>
        <w:rPr>
          <w:rFonts w:hint="eastAsia" w:ascii="宋体" w:hAnsi="宋体" w:eastAsia="宋体" w:cs="宋体"/>
          <w:color w:val="auto"/>
          <w:sz w:val="24"/>
          <w:szCs w:val="24"/>
          <w:highlight w:val="none"/>
        </w:rPr>
        <w:t>合同</w:t>
      </w:r>
      <w:bookmarkEnd w:id="88"/>
      <w:bookmarkEnd w:id="89"/>
      <w:r>
        <w:rPr>
          <w:rFonts w:hint="eastAsia" w:ascii="宋体" w:hAnsi="宋体" w:eastAsia="宋体" w:cs="宋体"/>
          <w:color w:val="auto"/>
          <w:sz w:val="24"/>
          <w:szCs w:val="24"/>
          <w:highlight w:val="none"/>
        </w:rPr>
        <w:t>授予</w:t>
      </w:r>
      <w:bookmarkEnd w:id="90"/>
      <w:bookmarkEnd w:id="91"/>
      <w:bookmarkEnd w:id="92"/>
      <w:bookmarkEnd w:id="93"/>
    </w:p>
    <w:p w14:paraId="5CB2EDBA">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签订合同</w:t>
      </w:r>
    </w:p>
    <w:p w14:paraId="2BE3323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采购人与中标（成交）供应商应当在中标（成交）通知书发出之日起</w:t>
      </w:r>
      <w:r>
        <w:rPr>
          <w:rFonts w:ascii="宋体" w:hAnsi="宋体" w:cs="宋体"/>
          <w:color w:val="auto"/>
          <w:szCs w:val="21"/>
          <w:highlight w:val="none"/>
        </w:rPr>
        <w:t>30</w:t>
      </w:r>
      <w:r>
        <w:rPr>
          <w:rFonts w:hint="eastAsia" w:ascii="宋体" w:hAnsi="宋体" w:cs="宋体"/>
          <w:color w:val="auto"/>
          <w:szCs w:val="21"/>
          <w:highlight w:val="none"/>
        </w:rPr>
        <w:t>日内到采购人或采购代理机构处签订政府采购合同。</w:t>
      </w:r>
    </w:p>
    <w:p w14:paraId="20D02B01">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采购文件及补充文件、磋商修改文件、成交供应商的磋商响应文件及磋商响应修改文件、磋商</w:t>
      </w:r>
      <w:r>
        <w:rPr>
          <w:rFonts w:ascii="宋体" w:hAnsi="宋体" w:cs="宋体"/>
          <w:color w:val="auto"/>
          <w:szCs w:val="21"/>
          <w:highlight w:val="none"/>
        </w:rPr>
        <w:t xml:space="preserve"> </w:t>
      </w:r>
      <w:r>
        <w:rPr>
          <w:rFonts w:hint="eastAsia" w:ascii="宋体" w:hAnsi="宋体" w:cs="宋体"/>
          <w:color w:val="auto"/>
          <w:szCs w:val="21"/>
          <w:highlight w:val="none"/>
        </w:rPr>
        <w:t>过程中有关承诺文件和成交通知书均作为合同附件。</w:t>
      </w:r>
      <w:r>
        <w:rPr>
          <w:rFonts w:ascii="宋体" w:hAnsi="宋体" w:cs="宋体"/>
          <w:color w:val="auto"/>
          <w:szCs w:val="21"/>
          <w:highlight w:val="none"/>
        </w:rPr>
        <w:t xml:space="preserve"> </w:t>
      </w:r>
    </w:p>
    <w:p w14:paraId="71D01E7C">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同时，采购代理机构对合同内容进行审查，如发现与采购结果和磋商承诺内容不一致的，应予以纠正。</w:t>
      </w:r>
    </w:p>
    <w:p w14:paraId="7F2B0667">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询问或者质疑事项可能影响中标结果的，采购人应当暂停签订合同，已经签订合同的，应当中止履行合同（中标结果的质疑期为中标结果公告期限届满之日起七个工作日）。</w:t>
      </w:r>
    </w:p>
    <w:p w14:paraId="5F06D221">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合同公告</w:t>
      </w:r>
    </w:p>
    <w:p w14:paraId="48A99D6C">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采购人应当自项目合同签订之日起</w:t>
      </w:r>
      <w:r>
        <w:rPr>
          <w:rFonts w:ascii="宋体" w:hAnsi="宋体" w:cs="宋体"/>
          <w:color w:val="auto"/>
          <w:szCs w:val="21"/>
          <w:highlight w:val="none"/>
        </w:rPr>
        <w:t>2</w:t>
      </w:r>
      <w:r>
        <w:rPr>
          <w:rFonts w:hint="eastAsia" w:ascii="宋体" w:hAnsi="宋体" w:cs="宋体"/>
          <w:color w:val="auto"/>
          <w:szCs w:val="21"/>
          <w:highlight w:val="none"/>
        </w:rPr>
        <w:t>个工作日内，将项目合同在浙江省政府采购网公告，但项目合同中涉及国家秘密、商业秘密的内容除外。如合同签订方（采购人或中标（成交）供应商）认为合同内容涉及国家秘密、商业秘密的，请在采购人将合同送采购代理机构鉴证的同时附书面说明告知，否则相关责任由合同签订方自行承担。</w:t>
      </w:r>
    </w:p>
    <w:p w14:paraId="3084E6D0">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拒签合同</w:t>
      </w:r>
    </w:p>
    <w:p w14:paraId="5EC77D9C">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中标（成交）供应商无故拖延、拒签合同的，采购代理机构和采购人有权取消其中标资格。</w:t>
      </w:r>
    </w:p>
    <w:p w14:paraId="171370FB">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中标（成交）供应商拒绝与采购人签订合同的，采购人可以按照评审报告推荐的中标候选人名单排序，确定下一候选人为中标（成交）供应商，也可以重新开展采购活动。同时，拒绝与采购人签订合同的供应商，由同级财政部门依法作出处理。</w:t>
      </w:r>
    </w:p>
    <w:p w14:paraId="745EB8BB">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▲履约保证金</w:t>
      </w:r>
    </w:p>
    <w:p w14:paraId="6D96E424">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中标人应在中标（成交）通知书规定的签订合同时间内向采购人提供</w:t>
      </w:r>
      <w:r>
        <w:rPr>
          <w:rFonts w:hint="eastAsia" w:ascii="宋体" w:hAnsi="宋体" w:cs="宋体"/>
          <w:color w:val="auto"/>
          <w:szCs w:val="21"/>
          <w:highlight w:val="none"/>
          <w:u w:val="single"/>
        </w:rPr>
        <w:t>“磋商须知前附表”规定</w:t>
      </w:r>
      <w:r>
        <w:rPr>
          <w:rFonts w:hint="eastAsia" w:ascii="宋体" w:hAnsi="宋体" w:cs="宋体"/>
          <w:color w:val="auto"/>
          <w:szCs w:val="21"/>
          <w:highlight w:val="none"/>
        </w:rPr>
        <w:t>数额的履约保证金。</w:t>
      </w:r>
    </w:p>
    <w:p w14:paraId="2F602D57">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履约保证金支付形式：银行转账或银行保函或保险保函等方式。</w:t>
      </w:r>
    </w:p>
    <w:p w14:paraId="3D608C0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签订合同后，如中标人不按双方签订合同约定履约，则不予返还其全部履约保证金，履约保证金不足以赔偿损失的，按实际损失赔偿。</w:t>
      </w:r>
    </w:p>
    <w:p w14:paraId="308ACA3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履约保证金在中标人将项目投入正常运营（或通过项目验收）后凭合法收据向采购人申请无息退还（出现违约情况除外）。</w:t>
      </w:r>
    </w:p>
    <w:p w14:paraId="29A75E93">
      <w:pPr>
        <w:pStyle w:val="4"/>
        <w:spacing w:before="0" w:after="0" w:line="360" w:lineRule="auto"/>
        <w:jc w:val="center"/>
        <w:rPr>
          <w:rFonts w:hint="eastAsia" w:ascii="宋体" w:hAnsi="宋体" w:eastAsia="宋体" w:cs="宋体"/>
          <w:color w:val="auto"/>
          <w:sz w:val="24"/>
          <w:szCs w:val="24"/>
          <w:highlight w:val="none"/>
        </w:rPr>
      </w:pPr>
      <w:bookmarkStart w:id="94" w:name="_Toc644"/>
      <w:bookmarkStart w:id="95" w:name="_Toc528927421"/>
      <w:bookmarkStart w:id="96" w:name="_Toc528578384"/>
      <w:r>
        <w:rPr>
          <w:rFonts w:hint="eastAsia" w:ascii="宋体" w:hAnsi="宋体" w:eastAsia="宋体" w:cs="宋体"/>
          <w:color w:val="auto"/>
          <w:sz w:val="24"/>
          <w:szCs w:val="24"/>
          <w:highlight w:val="none"/>
        </w:rPr>
        <w:t>九、供应商信用信息事项</w:t>
      </w:r>
      <w:bookmarkEnd w:id="94"/>
      <w:bookmarkEnd w:id="95"/>
      <w:bookmarkEnd w:id="96"/>
    </w:p>
    <w:p w14:paraId="26AEB780">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供应商信用记录查询及使用</w:t>
      </w:r>
    </w:p>
    <w:p w14:paraId="6569727C">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根据《关于在政府采购活动中查询及使用信用记录有关问题的通知》（财库</w:t>
      </w:r>
      <w:r>
        <w:rPr>
          <w:rFonts w:ascii="宋体" w:hAnsi="宋体" w:cs="宋体"/>
          <w:color w:val="auto"/>
          <w:szCs w:val="21"/>
          <w:highlight w:val="none"/>
        </w:rPr>
        <w:t>[2016]125</w:t>
      </w:r>
      <w:r>
        <w:rPr>
          <w:rFonts w:hint="eastAsia" w:ascii="宋体" w:hAnsi="宋体" w:cs="宋体"/>
          <w:color w:val="auto"/>
          <w:szCs w:val="21"/>
          <w:highlight w:val="none"/>
        </w:rPr>
        <w:t>号文件）规定，在开标前实施政府采购活动中查询及使用信用记录事项。</w:t>
      </w:r>
    </w:p>
    <w:p w14:paraId="135C1709">
      <w:pPr>
        <w:pStyle w:val="57"/>
        <w:numPr>
          <w:ilvl w:val="2"/>
          <w:numId w:val="4"/>
        </w:numPr>
        <w:autoSpaceDE w:val="0"/>
        <w:autoSpaceDN w:val="0"/>
        <w:spacing w:line="360" w:lineRule="auto"/>
        <w:ind w:left="0" w:firstLine="420"/>
        <w:textAlignment w:val="bottom"/>
        <w:outlineLvl w:val="2"/>
        <w:rPr>
          <w:rFonts w:ascii="宋体" w:cs="宋体"/>
          <w:color w:val="auto"/>
          <w:szCs w:val="21"/>
          <w:highlight w:val="none"/>
        </w:rPr>
      </w:pPr>
      <w:r>
        <w:rPr>
          <w:rFonts w:hint="eastAsia" w:ascii="宋体" w:hAnsi="宋体" w:cs="宋体"/>
          <w:color w:val="auto"/>
          <w:szCs w:val="21"/>
          <w:highlight w:val="none"/>
        </w:rPr>
        <w:t>采购代理机构通过“信用中国”网站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等渠道查询相关主体信用记录。</w:t>
      </w:r>
    </w:p>
    <w:p w14:paraId="49CA02DE">
      <w:pPr>
        <w:pStyle w:val="57"/>
        <w:numPr>
          <w:ilvl w:val="2"/>
          <w:numId w:val="4"/>
        </w:numPr>
        <w:autoSpaceDE w:val="0"/>
        <w:autoSpaceDN w:val="0"/>
        <w:spacing w:line="360" w:lineRule="auto"/>
        <w:ind w:left="0" w:firstLine="420"/>
        <w:textAlignment w:val="bottom"/>
        <w:outlineLvl w:val="2"/>
        <w:rPr>
          <w:rFonts w:ascii="宋体" w:cs="宋体"/>
          <w:color w:val="auto"/>
          <w:szCs w:val="21"/>
          <w:highlight w:val="none"/>
        </w:rPr>
      </w:pPr>
      <w:r>
        <w:rPr>
          <w:rFonts w:hint="eastAsia" w:ascii="宋体" w:hAnsi="宋体" w:cs="宋体"/>
          <w:color w:val="auto"/>
          <w:szCs w:val="21"/>
          <w:highlight w:val="none"/>
        </w:rPr>
        <w:t>截止时点：提交响应文件（响应文件）截止时间前</w:t>
      </w:r>
      <w:r>
        <w:rPr>
          <w:rFonts w:ascii="宋体" w:hAnsi="宋体" w:cs="宋体"/>
          <w:color w:val="auto"/>
          <w:szCs w:val="21"/>
          <w:highlight w:val="none"/>
        </w:rPr>
        <w:t>3</w:t>
      </w:r>
      <w:r>
        <w:rPr>
          <w:rFonts w:hint="eastAsia" w:ascii="宋体" w:hAnsi="宋体" w:cs="宋体"/>
          <w:color w:val="auto"/>
          <w:szCs w:val="21"/>
          <w:highlight w:val="none"/>
        </w:rPr>
        <w:t>年内；</w:t>
      </w:r>
    </w:p>
    <w:p w14:paraId="7BD3802E">
      <w:pPr>
        <w:pStyle w:val="57"/>
        <w:numPr>
          <w:ilvl w:val="2"/>
          <w:numId w:val="4"/>
        </w:numPr>
        <w:autoSpaceDE w:val="0"/>
        <w:autoSpaceDN w:val="0"/>
        <w:spacing w:line="360" w:lineRule="auto"/>
        <w:ind w:left="0" w:firstLine="420"/>
        <w:textAlignment w:val="bottom"/>
        <w:outlineLvl w:val="2"/>
        <w:rPr>
          <w:rFonts w:ascii="宋体" w:cs="宋体"/>
          <w:color w:val="auto"/>
          <w:szCs w:val="21"/>
          <w:highlight w:val="none"/>
        </w:rPr>
      </w:pPr>
      <w:r>
        <w:rPr>
          <w:rFonts w:hint="eastAsia" w:ascii="宋体" w:hAnsi="宋体" w:cs="宋体"/>
          <w:color w:val="auto"/>
          <w:szCs w:val="21"/>
          <w:highlight w:val="none"/>
        </w:rPr>
        <w:t>查询记录和证据的留存：信用信息查询记录和证据以网页截图等方式留存。</w:t>
      </w:r>
    </w:p>
    <w:p w14:paraId="7770FC46">
      <w:pPr>
        <w:pStyle w:val="57"/>
        <w:numPr>
          <w:ilvl w:val="2"/>
          <w:numId w:val="4"/>
        </w:numPr>
        <w:autoSpaceDE w:val="0"/>
        <w:autoSpaceDN w:val="0"/>
        <w:spacing w:line="360" w:lineRule="auto"/>
        <w:ind w:left="0" w:firstLine="420"/>
        <w:textAlignment w:val="bottom"/>
        <w:outlineLvl w:val="2"/>
        <w:rPr>
          <w:rFonts w:ascii="宋体" w:cs="宋体"/>
          <w:color w:val="auto"/>
          <w:szCs w:val="21"/>
          <w:highlight w:val="none"/>
        </w:rPr>
      </w:pPr>
      <w:r>
        <w:rPr>
          <w:rFonts w:hint="eastAsia" w:ascii="宋体" w:hAnsi="宋体" w:cs="宋体"/>
          <w:color w:val="auto"/>
          <w:szCs w:val="21"/>
          <w:highlight w:val="none"/>
        </w:rPr>
        <w:t>采购人或者采购代理机构应当对供应商信用记录进行甄别，对列入失信被执行人、重大税收违法案件当事人名单、政府采购严重违法失信行为记录名单及其他不符合《中华人民共和国政府采购法》第二十二条规定条件的供应商，将被拒绝参与本次政府采购活动。</w:t>
      </w:r>
    </w:p>
    <w:p w14:paraId="5C93B983">
      <w:pPr>
        <w:pStyle w:val="57"/>
        <w:numPr>
          <w:ilvl w:val="2"/>
          <w:numId w:val="4"/>
        </w:numPr>
        <w:autoSpaceDE w:val="0"/>
        <w:autoSpaceDN w:val="0"/>
        <w:spacing w:line="360" w:lineRule="auto"/>
        <w:ind w:left="0" w:firstLine="420"/>
        <w:textAlignment w:val="bottom"/>
        <w:outlineLvl w:val="2"/>
        <w:rPr>
          <w:rFonts w:asci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bookmarkStart w:id="97" w:name="_Toc528927423"/>
      <w:bookmarkStart w:id="98" w:name="_Toc9657"/>
    </w:p>
    <w:p w14:paraId="38737765">
      <w:pPr>
        <w:pStyle w:val="4"/>
        <w:spacing w:before="0" w:after="0" w:line="360" w:lineRule="auto"/>
        <w:jc w:val="center"/>
        <w:rPr>
          <w:rFonts w:hint="eastAsia" w:ascii="宋体" w:hAnsi="宋体" w:eastAsia="宋体" w:cs="宋体"/>
          <w:color w:val="auto"/>
          <w:sz w:val="24"/>
          <w:szCs w:val="24"/>
          <w:highlight w:val="none"/>
        </w:rPr>
      </w:pPr>
      <w:bookmarkStart w:id="99" w:name="_Toc20419"/>
      <w:bookmarkStart w:id="100" w:name="_Toc528578385"/>
      <w:bookmarkStart w:id="101" w:name="_Toc528927422"/>
      <w:r>
        <w:rPr>
          <w:rFonts w:hint="eastAsia" w:ascii="宋体" w:hAnsi="宋体" w:eastAsia="宋体" w:cs="宋体"/>
          <w:color w:val="auto"/>
          <w:sz w:val="24"/>
          <w:szCs w:val="24"/>
          <w:highlight w:val="none"/>
        </w:rPr>
        <w:t>十、其他事项</w:t>
      </w:r>
      <w:bookmarkEnd w:id="99"/>
      <w:bookmarkEnd w:id="100"/>
      <w:bookmarkEnd w:id="101"/>
    </w:p>
    <w:p w14:paraId="65AC50D8">
      <w:pPr>
        <w:pStyle w:val="57"/>
        <w:numPr>
          <w:ilvl w:val="0"/>
          <w:numId w:val="4"/>
        </w:numPr>
        <w:autoSpaceDE w:val="0"/>
        <w:autoSpaceDN w:val="0"/>
        <w:spacing w:line="360" w:lineRule="auto"/>
        <w:ind w:left="0" w:firstLine="422"/>
        <w:textAlignment w:val="bottom"/>
        <w:outlineLvl w:val="2"/>
        <w:rPr>
          <w:rFonts w:ascii="宋体" w:cs="宋体"/>
          <w:b/>
          <w:color w:val="auto"/>
          <w:szCs w:val="21"/>
          <w:highlight w:val="none"/>
        </w:rPr>
      </w:pPr>
      <w:r>
        <w:rPr>
          <w:rFonts w:hint="eastAsia" w:ascii="宋体" w:hAnsi="宋体" w:cs="宋体"/>
          <w:b/>
          <w:color w:val="auto"/>
          <w:szCs w:val="21"/>
          <w:highlight w:val="none"/>
        </w:rPr>
        <w:t>采购代理服务费</w:t>
      </w:r>
      <w:r>
        <w:rPr>
          <w:rFonts w:ascii="宋体" w:hAnsi="宋体" w:cs="宋体"/>
          <w:b/>
          <w:color w:val="auto"/>
          <w:szCs w:val="21"/>
          <w:highlight w:val="none"/>
        </w:rPr>
        <w:t xml:space="preserve"> </w:t>
      </w:r>
    </w:p>
    <w:p w14:paraId="6338A095">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采购代理服务费</w:t>
      </w:r>
    </w:p>
    <w:p w14:paraId="4489E06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80" w:lineRule="exact"/>
        <w:ind w:firstLine="454"/>
        <w:rPr>
          <w:color w:val="auto"/>
          <w:szCs w:val="21"/>
          <w:highlight w:val="none"/>
          <w:lang w:val="zh-CN"/>
        </w:rPr>
      </w:pPr>
      <w:r>
        <w:rPr>
          <w:rFonts w:ascii="宋体" w:hAnsi="宋体" w:cs="宋体"/>
          <w:color w:val="auto"/>
          <w:sz w:val="21"/>
          <w:szCs w:val="21"/>
          <w:highlight w:val="none"/>
        </w:rPr>
        <w:t>1</w:t>
      </w:r>
      <w:r>
        <w:rPr>
          <w:rFonts w:hint="eastAsia" w:ascii="宋体" w:hAnsi="宋体" w:cs="宋体"/>
          <w:color w:val="auto"/>
          <w:sz w:val="21"/>
          <w:szCs w:val="21"/>
          <w:highlight w:val="none"/>
        </w:rPr>
        <w:t>、</w:t>
      </w:r>
      <w:r>
        <w:rPr>
          <w:rFonts w:hint="eastAsia" w:ascii="宋体" w:hAnsi="宋体" w:cs="宋体"/>
          <w:color w:val="auto"/>
          <w:szCs w:val="21"/>
          <w:highlight w:val="none"/>
        </w:rPr>
        <w:t>本项目采购代理服务费由</w:t>
      </w:r>
      <w:r>
        <w:rPr>
          <w:rFonts w:hint="eastAsia" w:ascii="宋体" w:hAnsi="宋体" w:cs="宋体"/>
          <w:color w:val="auto"/>
          <w:szCs w:val="21"/>
          <w:highlight w:val="none"/>
          <w:lang w:val="en-US" w:eastAsia="zh-CN"/>
        </w:rPr>
        <w:t>中标单位</w:t>
      </w:r>
      <w:r>
        <w:rPr>
          <w:rFonts w:hint="eastAsia" w:ascii="宋体" w:hAnsi="宋体" w:cs="宋体"/>
          <w:color w:val="auto"/>
          <w:szCs w:val="21"/>
          <w:highlight w:val="none"/>
        </w:rPr>
        <w:t>支付，</w:t>
      </w:r>
      <w:bookmarkStart w:id="102" w:name="OLE_LINK1"/>
      <w:r>
        <w:rPr>
          <w:rFonts w:hint="eastAsia" w:ascii="宋体" w:hAnsi="宋体" w:cs="宋体"/>
          <w:color w:val="auto"/>
          <w:szCs w:val="21"/>
          <w:highlight w:val="none"/>
        </w:rPr>
        <w:t>以中标价为计算基数，按</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类标准费率计算值的</w:t>
      </w:r>
      <w:r>
        <w:rPr>
          <w:rFonts w:ascii="宋体" w:hAnsi="宋体" w:cs="宋体"/>
          <w:color w:val="auto"/>
          <w:szCs w:val="21"/>
          <w:highlight w:val="none"/>
          <w:u w:val="single"/>
        </w:rPr>
        <w:t>70%</w:t>
      </w:r>
      <w:r>
        <w:rPr>
          <w:rFonts w:hint="eastAsia" w:ascii="宋体" w:hAnsi="宋体" w:cs="宋体"/>
          <w:color w:val="auto"/>
          <w:szCs w:val="21"/>
          <w:highlight w:val="none"/>
        </w:rPr>
        <w:t>的计取</w:t>
      </w:r>
      <w:r>
        <w:rPr>
          <w:rFonts w:hint="eastAsia"/>
          <w:color w:val="auto"/>
          <w:szCs w:val="21"/>
          <w:highlight w:val="none"/>
          <w:lang w:val="zh-CN"/>
        </w:rPr>
        <w:t>。</w:t>
      </w:r>
      <w:bookmarkEnd w:id="102"/>
    </w:p>
    <w:tbl>
      <w:tblPr>
        <w:tblStyle w:val="2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259"/>
        <w:gridCol w:w="2739"/>
        <w:gridCol w:w="1469"/>
      </w:tblGrid>
      <w:tr w14:paraId="615C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23" w:type="dxa"/>
            <w:gridSpan w:val="4"/>
            <w:vAlign w:val="center"/>
          </w:tcPr>
          <w:p w14:paraId="385B51D6">
            <w:pPr>
              <w:spacing w:line="360" w:lineRule="auto"/>
              <w:ind w:firstLine="422" w:firstLineChars="200"/>
              <w:jc w:val="center"/>
              <w:rPr>
                <w:rFonts w:ascii="宋体" w:cs="宋体"/>
                <w:b/>
                <w:color w:val="auto"/>
                <w:szCs w:val="21"/>
                <w:highlight w:val="none"/>
              </w:rPr>
            </w:pPr>
            <w:r>
              <w:rPr>
                <w:rFonts w:hint="eastAsia" w:ascii="宋体" w:hAnsi="宋体" w:cs="宋体"/>
                <w:b/>
                <w:color w:val="auto"/>
                <w:szCs w:val="21"/>
                <w:highlight w:val="none"/>
              </w:rPr>
              <w:t>代理服务费率类型</w:t>
            </w:r>
          </w:p>
        </w:tc>
      </w:tr>
      <w:tr w14:paraId="7883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6" w:type="dxa"/>
            <w:vAlign w:val="center"/>
          </w:tcPr>
          <w:p w14:paraId="4372F186">
            <w:pPr>
              <w:spacing w:line="400" w:lineRule="exact"/>
              <w:jc w:val="center"/>
              <w:rPr>
                <w:rFonts w:ascii="宋体" w:cs="宋体"/>
                <w:color w:val="auto"/>
                <w:szCs w:val="21"/>
                <w:highlight w:val="none"/>
              </w:rPr>
            </w:pPr>
            <w:r>
              <w:rPr>
                <w:rFonts w:hint="eastAsia" w:ascii="宋体" w:hAnsi="宋体" w:cs="宋体"/>
                <w:color w:val="auto"/>
                <w:szCs w:val="21"/>
                <w:highlight w:val="none"/>
              </w:rPr>
              <w:t>中标金额（万元）</w:t>
            </w:r>
          </w:p>
        </w:tc>
        <w:tc>
          <w:tcPr>
            <w:tcW w:w="2259" w:type="dxa"/>
            <w:vAlign w:val="center"/>
          </w:tcPr>
          <w:p w14:paraId="6D9E8791">
            <w:pPr>
              <w:spacing w:line="400" w:lineRule="exact"/>
              <w:jc w:val="center"/>
              <w:rPr>
                <w:rFonts w:ascii="宋体" w:cs="宋体"/>
                <w:strike/>
                <w:color w:val="auto"/>
                <w:szCs w:val="21"/>
                <w:highlight w:val="none"/>
              </w:rPr>
            </w:pPr>
            <w:r>
              <w:rPr>
                <w:rFonts w:hint="eastAsia" w:ascii="宋体" w:hAnsi="宋体" w:cs="宋体"/>
                <w:strike/>
                <w:color w:val="auto"/>
                <w:szCs w:val="21"/>
                <w:highlight w:val="none"/>
              </w:rPr>
              <w:t>货物招标</w:t>
            </w:r>
          </w:p>
        </w:tc>
        <w:tc>
          <w:tcPr>
            <w:tcW w:w="2739" w:type="dxa"/>
            <w:vAlign w:val="center"/>
          </w:tcPr>
          <w:p w14:paraId="216F641F">
            <w:pPr>
              <w:spacing w:line="400" w:lineRule="exact"/>
              <w:jc w:val="center"/>
              <w:rPr>
                <w:rFonts w:ascii="宋体" w:cs="宋体"/>
                <w:strike/>
                <w:dstrike w:val="0"/>
                <w:color w:val="auto"/>
                <w:szCs w:val="21"/>
                <w:highlight w:val="none"/>
              </w:rPr>
            </w:pPr>
            <w:r>
              <w:rPr>
                <w:rFonts w:hint="eastAsia" w:ascii="宋体" w:hAnsi="宋体" w:cs="宋体"/>
                <w:strike/>
                <w:dstrike w:val="0"/>
                <w:color w:val="auto"/>
                <w:szCs w:val="21"/>
                <w:highlight w:val="none"/>
              </w:rPr>
              <w:t>服务招标（适用本项目）</w:t>
            </w:r>
          </w:p>
        </w:tc>
        <w:tc>
          <w:tcPr>
            <w:tcW w:w="1469" w:type="dxa"/>
            <w:vAlign w:val="center"/>
          </w:tcPr>
          <w:p w14:paraId="3722A40D">
            <w:pPr>
              <w:spacing w:line="400" w:lineRule="exact"/>
              <w:jc w:val="center"/>
              <w:rPr>
                <w:rFonts w:ascii="宋体" w:cs="宋体"/>
                <w:strike w:val="0"/>
                <w:color w:val="auto"/>
                <w:szCs w:val="21"/>
                <w:highlight w:val="none"/>
              </w:rPr>
            </w:pPr>
            <w:r>
              <w:rPr>
                <w:rFonts w:hint="eastAsia" w:ascii="宋体" w:hAnsi="宋体" w:cs="宋体"/>
                <w:strike w:val="0"/>
                <w:color w:val="auto"/>
                <w:szCs w:val="21"/>
                <w:highlight w:val="none"/>
              </w:rPr>
              <w:t>工程招标</w:t>
            </w:r>
          </w:p>
        </w:tc>
      </w:tr>
      <w:tr w14:paraId="59B0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56" w:type="dxa"/>
            <w:vAlign w:val="center"/>
          </w:tcPr>
          <w:p w14:paraId="5C8B8A8B">
            <w:pPr>
              <w:spacing w:line="400" w:lineRule="exact"/>
              <w:jc w:val="center"/>
              <w:rPr>
                <w:rFonts w:ascii="宋体" w:cs="宋体"/>
                <w:color w:val="auto"/>
                <w:szCs w:val="21"/>
                <w:highlight w:val="none"/>
              </w:rPr>
            </w:pPr>
            <w:r>
              <w:rPr>
                <w:rFonts w:ascii="宋体" w:hAnsi="宋体" w:cs="宋体"/>
                <w:color w:val="auto"/>
                <w:szCs w:val="21"/>
                <w:highlight w:val="none"/>
              </w:rPr>
              <w:t xml:space="preserve">100 </w:t>
            </w:r>
            <w:r>
              <w:rPr>
                <w:rFonts w:hint="eastAsia" w:ascii="宋体" w:hAnsi="宋体" w:cs="宋体"/>
                <w:color w:val="auto"/>
                <w:szCs w:val="21"/>
                <w:highlight w:val="none"/>
              </w:rPr>
              <w:t>以下</w:t>
            </w:r>
          </w:p>
        </w:tc>
        <w:tc>
          <w:tcPr>
            <w:tcW w:w="2259" w:type="dxa"/>
            <w:vAlign w:val="center"/>
          </w:tcPr>
          <w:p w14:paraId="19DBB5B9">
            <w:pPr>
              <w:spacing w:line="400" w:lineRule="exact"/>
              <w:jc w:val="center"/>
              <w:rPr>
                <w:rFonts w:ascii="宋体" w:cs="宋体"/>
                <w:strike/>
                <w:color w:val="auto"/>
                <w:szCs w:val="21"/>
                <w:highlight w:val="none"/>
              </w:rPr>
            </w:pPr>
            <w:r>
              <w:rPr>
                <w:rFonts w:ascii="宋体" w:hAnsi="宋体" w:cs="宋体"/>
                <w:strike/>
                <w:color w:val="auto"/>
                <w:szCs w:val="21"/>
                <w:highlight w:val="none"/>
              </w:rPr>
              <w:t>1.5%</w:t>
            </w:r>
          </w:p>
        </w:tc>
        <w:tc>
          <w:tcPr>
            <w:tcW w:w="2739" w:type="dxa"/>
            <w:vAlign w:val="center"/>
          </w:tcPr>
          <w:p w14:paraId="700D2CCC">
            <w:pPr>
              <w:spacing w:line="400" w:lineRule="exact"/>
              <w:jc w:val="center"/>
              <w:rPr>
                <w:rFonts w:ascii="宋体" w:cs="宋体"/>
                <w:strike/>
                <w:dstrike w:val="0"/>
                <w:color w:val="auto"/>
                <w:szCs w:val="21"/>
                <w:highlight w:val="none"/>
              </w:rPr>
            </w:pPr>
            <w:r>
              <w:rPr>
                <w:rFonts w:ascii="宋体" w:hAnsi="宋体" w:cs="宋体"/>
                <w:strike/>
                <w:dstrike w:val="0"/>
                <w:color w:val="auto"/>
                <w:szCs w:val="21"/>
                <w:highlight w:val="none"/>
              </w:rPr>
              <w:t>1.5%</w:t>
            </w:r>
          </w:p>
        </w:tc>
        <w:tc>
          <w:tcPr>
            <w:tcW w:w="1469" w:type="dxa"/>
            <w:vAlign w:val="center"/>
          </w:tcPr>
          <w:p w14:paraId="2E50830D">
            <w:pPr>
              <w:spacing w:line="400" w:lineRule="exact"/>
              <w:jc w:val="center"/>
              <w:rPr>
                <w:rFonts w:ascii="宋体" w:cs="宋体"/>
                <w:strike w:val="0"/>
                <w:color w:val="auto"/>
                <w:szCs w:val="21"/>
                <w:highlight w:val="none"/>
              </w:rPr>
            </w:pPr>
            <w:r>
              <w:rPr>
                <w:rFonts w:ascii="宋体" w:hAnsi="宋体" w:cs="宋体"/>
                <w:strike w:val="0"/>
                <w:color w:val="auto"/>
                <w:szCs w:val="21"/>
                <w:highlight w:val="none"/>
              </w:rPr>
              <w:t>1.0%</w:t>
            </w:r>
          </w:p>
        </w:tc>
      </w:tr>
      <w:tr w14:paraId="59BF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56" w:type="dxa"/>
            <w:vAlign w:val="center"/>
          </w:tcPr>
          <w:p w14:paraId="21FE5A98">
            <w:pPr>
              <w:spacing w:line="400" w:lineRule="exact"/>
              <w:jc w:val="center"/>
              <w:rPr>
                <w:rFonts w:ascii="宋体" w:cs="宋体"/>
                <w:color w:val="auto"/>
                <w:szCs w:val="21"/>
                <w:highlight w:val="none"/>
              </w:rPr>
            </w:pPr>
            <w:r>
              <w:rPr>
                <w:rFonts w:ascii="宋体" w:hAnsi="宋体" w:cs="宋体"/>
                <w:color w:val="auto"/>
                <w:szCs w:val="21"/>
                <w:highlight w:val="none"/>
              </w:rPr>
              <w:t>100-500</w:t>
            </w:r>
          </w:p>
        </w:tc>
        <w:tc>
          <w:tcPr>
            <w:tcW w:w="2259" w:type="dxa"/>
            <w:vAlign w:val="center"/>
          </w:tcPr>
          <w:p w14:paraId="70F94A55">
            <w:pPr>
              <w:spacing w:line="400" w:lineRule="exact"/>
              <w:jc w:val="center"/>
              <w:rPr>
                <w:rFonts w:ascii="宋体" w:cs="宋体"/>
                <w:strike/>
                <w:color w:val="auto"/>
                <w:szCs w:val="21"/>
                <w:highlight w:val="none"/>
              </w:rPr>
            </w:pPr>
            <w:r>
              <w:rPr>
                <w:rFonts w:ascii="宋体" w:hAnsi="宋体" w:cs="宋体"/>
                <w:strike/>
                <w:color w:val="auto"/>
                <w:szCs w:val="21"/>
                <w:highlight w:val="none"/>
              </w:rPr>
              <w:t>1.1%</w:t>
            </w:r>
          </w:p>
        </w:tc>
        <w:tc>
          <w:tcPr>
            <w:tcW w:w="2739" w:type="dxa"/>
            <w:vAlign w:val="center"/>
          </w:tcPr>
          <w:p w14:paraId="3ECCADA9">
            <w:pPr>
              <w:spacing w:line="400" w:lineRule="exact"/>
              <w:jc w:val="center"/>
              <w:rPr>
                <w:rFonts w:ascii="宋体" w:cs="宋体"/>
                <w:strike/>
                <w:dstrike w:val="0"/>
                <w:color w:val="auto"/>
                <w:szCs w:val="21"/>
                <w:highlight w:val="none"/>
              </w:rPr>
            </w:pPr>
            <w:r>
              <w:rPr>
                <w:rFonts w:ascii="宋体" w:hAnsi="宋体" w:cs="宋体"/>
                <w:strike/>
                <w:dstrike w:val="0"/>
                <w:color w:val="auto"/>
                <w:szCs w:val="21"/>
                <w:highlight w:val="none"/>
              </w:rPr>
              <w:t>0.8%</w:t>
            </w:r>
          </w:p>
        </w:tc>
        <w:tc>
          <w:tcPr>
            <w:tcW w:w="1469" w:type="dxa"/>
            <w:vAlign w:val="center"/>
          </w:tcPr>
          <w:p w14:paraId="024A14B1">
            <w:pPr>
              <w:spacing w:line="400" w:lineRule="exact"/>
              <w:jc w:val="center"/>
              <w:rPr>
                <w:rFonts w:ascii="宋体" w:cs="宋体"/>
                <w:strike w:val="0"/>
                <w:color w:val="auto"/>
                <w:szCs w:val="21"/>
                <w:highlight w:val="none"/>
              </w:rPr>
            </w:pPr>
            <w:r>
              <w:rPr>
                <w:rFonts w:ascii="宋体" w:hAnsi="宋体" w:cs="宋体"/>
                <w:strike w:val="0"/>
                <w:color w:val="auto"/>
                <w:szCs w:val="21"/>
                <w:highlight w:val="none"/>
              </w:rPr>
              <w:t>0.7%</w:t>
            </w:r>
          </w:p>
        </w:tc>
      </w:tr>
      <w:tr w14:paraId="271E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56" w:type="dxa"/>
            <w:vAlign w:val="center"/>
          </w:tcPr>
          <w:p w14:paraId="43D665B9">
            <w:pPr>
              <w:spacing w:line="400" w:lineRule="exact"/>
              <w:jc w:val="center"/>
              <w:rPr>
                <w:rFonts w:ascii="宋体" w:cs="宋体"/>
                <w:color w:val="auto"/>
                <w:szCs w:val="21"/>
                <w:highlight w:val="none"/>
              </w:rPr>
            </w:pPr>
            <w:r>
              <w:rPr>
                <w:rFonts w:ascii="宋体" w:hAnsi="宋体" w:cs="宋体"/>
                <w:color w:val="auto"/>
                <w:szCs w:val="21"/>
                <w:highlight w:val="none"/>
              </w:rPr>
              <w:t>500-1000</w:t>
            </w:r>
          </w:p>
        </w:tc>
        <w:tc>
          <w:tcPr>
            <w:tcW w:w="2259" w:type="dxa"/>
            <w:vAlign w:val="center"/>
          </w:tcPr>
          <w:p w14:paraId="38AEED00">
            <w:pPr>
              <w:spacing w:line="400" w:lineRule="exact"/>
              <w:jc w:val="center"/>
              <w:rPr>
                <w:rFonts w:ascii="宋体" w:cs="宋体"/>
                <w:strike/>
                <w:color w:val="auto"/>
                <w:szCs w:val="21"/>
                <w:highlight w:val="none"/>
              </w:rPr>
            </w:pPr>
            <w:r>
              <w:rPr>
                <w:rFonts w:ascii="宋体" w:hAnsi="宋体" w:cs="宋体"/>
                <w:strike/>
                <w:color w:val="auto"/>
                <w:szCs w:val="21"/>
                <w:highlight w:val="none"/>
              </w:rPr>
              <w:t>0.8%</w:t>
            </w:r>
          </w:p>
        </w:tc>
        <w:tc>
          <w:tcPr>
            <w:tcW w:w="2739" w:type="dxa"/>
            <w:vAlign w:val="center"/>
          </w:tcPr>
          <w:p w14:paraId="4E3D12FF">
            <w:pPr>
              <w:spacing w:line="400" w:lineRule="exact"/>
              <w:jc w:val="center"/>
              <w:rPr>
                <w:rFonts w:ascii="宋体" w:cs="宋体"/>
                <w:strike/>
                <w:dstrike w:val="0"/>
                <w:color w:val="auto"/>
                <w:szCs w:val="21"/>
                <w:highlight w:val="none"/>
              </w:rPr>
            </w:pPr>
            <w:r>
              <w:rPr>
                <w:rFonts w:ascii="宋体" w:hAnsi="宋体" w:cs="宋体"/>
                <w:strike/>
                <w:dstrike w:val="0"/>
                <w:color w:val="auto"/>
                <w:szCs w:val="21"/>
                <w:highlight w:val="none"/>
              </w:rPr>
              <w:t>0.45%</w:t>
            </w:r>
          </w:p>
        </w:tc>
        <w:tc>
          <w:tcPr>
            <w:tcW w:w="1469" w:type="dxa"/>
            <w:vAlign w:val="center"/>
          </w:tcPr>
          <w:p w14:paraId="14D085A7">
            <w:pPr>
              <w:spacing w:line="400" w:lineRule="exact"/>
              <w:jc w:val="center"/>
              <w:rPr>
                <w:rFonts w:ascii="宋体" w:cs="宋体"/>
                <w:strike w:val="0"/>
                <w:color w:val="auto"/>
                <w:szCs w:val="21"/>
                <w:highlight w:val="none"/>
              </w:rPr>
            </w:pPr>
            <w:r>
              <w:rPr>
                <w:rFonts w:ascii="宋体" w:hAnsi="宋体" w:cs="宋体"/>
                <w:strike w:val="0"/>
                <w:color w:val="auto"/>
                <w:szCs w:val="21"/>
                <w:highlight w:val="none"/>
              </w:rPr>
              <w:t>0.55%</w:t>
            </w:r>
          </w:p>
        </w:tc>
      </w:tr>
    </w:tbl>
    <w:p w14:paraId="36F4119B">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政采贷相关说明：</w:t>
      </w:r>
    </w:p>
    <w:p w14:paraId="454CD5D8">
      <w:pPr>
        <w:pStyle w:val="57"/>
        <w:tabs>
          <w:tab w:val="left" w:pos="0"/>
          <w:tab w:val="left" w:pos="420"/>
        </w:tabs>
        <w:autoSpaceDE w:val="0"/>
        <w:autoSpaceDN w:val="0"/>
        <w:spacing w:line="360" w:lineRule="auto"/>
        <w:textAlignment w:val="bottom"/>
        <w:outlineLvl w:val="2"/>
        <w:rPr>
          <w:rFonts w:ascii="宋体" w:cs="宋体"/>
          <w:color w:val="auto"/>
          <w:szCs w:val="21"/>
          <w:highlight w:val="none"/>
        </w:rPr>
      </w:pPr>
      <w:r>
        <w:rPr>
          <w:rFonts w:hint="eastAsia" w:ascii="宋体" w:hAnsi="宋体" w:cs="宋体"/>
          <w:color w:val="auto"/>
          <w:szCs w:val="21"/>
          <w:highlight w:val="none"/>
        </w:rPr>
        <w:t>为优化政府采购营商环境，缓解供应商资金难题，政采云平台已推广应用“政采贷”服务，中标供应商如有融资需求，可使用以下银行的政采贷服务（详见投标人须知详见前附表）。</w:t>
      </w:r>
    </w:p>
    <w:p w14:paraId="5D0BD388">
      <w:pPr>
        <w:pStyle w:val="57"/>
        <w:numPr>
          <w:ilvl w:val="1"/>
          <w:numId w:val="4"/>
        </w:numPr>
        <w:tabs>
          <w:tab w:val="left" w:pos="420"/>
        </w:tabs>
        <w:autoSpaceDE w:val="0"/>
        <w:autoSpaceDN w:val="0"/>
        <w:spacing w:line="360" w:lineRule="auto"/>
        <w:textAlignment w:val="bottom"/>
        <w:outlineLvl w:val="2"/>
        <w:rPr>
          <w:rFonts w:ascii="宋体" w:cs="宋体"/>
          <w:color w:val="auto"/>
          <w:szCs w:val="21"/>
          <w:highlight w:val="none"/>
        </w:rPr>
        <w:sectPr>
          <w:footerReference r:id="rId7" w:type="default"/>
          <w:pgSz w:w="11906" w:h="16838"/>
          <w:pgMar w:top="1440" w:right="1080" w:bottom="1440" w:left="1080" w:header="851" w:footer="992" w:gutter="0"/>
          <w:pgNumType w:start="1"/>
          <w:cols w:space="720" w:num="1"/>
          <w:docGrid w:type="lines" w:linePitch="312" w:charSpace="0"/>
        </w:sectPr>
      </w:pPr>
      <w:r>
        <w:rPr>
          <w:rFonts w:hint="eastAsia" w:ascii="宋体" w:hAnsi="宋体" w:cs="宋体"/>
          <w:color w:val="auto"/>
          <w:szCs w:val="21"/>
          <w:highlight w:val="none"/>
        </w:rPr>
        <w:t>其他内容：磋商须知详见前附表</w:t>
      </w:r>
    </w:p>
    <w:p w14:paraId="79B4035A">
      <w:pPr>
        <w:pStyle w:val="3"/>
        <w:spacing w:before="0" w:after="156" w:afterLines="50" w:line="360" w:lineRule="auto"/>
        <w:jc w:val="center"/>
        <w:rPr>
          <w:rFonts w:ascii="宋体" w:cs="宋体"/>
          <w:color w:val="auto"/>
          <w:sz w:val="32"/>
          <w:szCs w:val="32"/>
          <w:highlight w:val="none"/>
        </w:rPr>
      </w:pPr>
      <w:r>
        <w:rPr>
          <w:rFonts w:hint="eastAsia" w:ascii="宋体" w:hAnsi="宋体" w:cs="宋体"/>
          <w:color w:val="auto"/>
          <w:sz w:val="32"/>
          <w:szCs w:val="32"/>
          <w:highlight w:val="none"/>
        </w:rPr>
        <w:t>第四章</w:t>
      </w:r>
      <w:r>
        <w:rPr>
          <w:rFonts w:ascii="宋体" w:hAnsi="宋体" w:cs="宋体"/>
          <w:color w:val="auto"/>
          <w:sz w:val="32"/>
          <w:szCs w:val="32"/>
          <w:highlight w:val="none"/>
        </w:rPr>
        <w:t xml:space="preserve">  </w:t>
      </w:r>
      <w:bookmarkEnd w:id="97"/>
      <w:r>
        <w:rPr>
          <w:rFonts w:hint="eastAsia" w:ascii="宋体" w:hAnsi="宋体" w:cs="宋体"/>
          <w:color w:val="auto"/>
          <w:sz w:val="32"/>
          <w:szCs w:val="32"/>
          <w:highlight w:val="none"/>
        </w:rPr>
        <w:t>磋商评审办法</w:t>
      </w:r>
      <w:bookmarkEnd w:id="98"/>
    </w:p>
    <w:p w14:paraId="241428A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本办法严格遵照《中华人民共和国政府采购法》、《中华人民共和国政府采购法实施条例》、《政府采购竞争性磋商采购方式管理暂行办法》，结合项目所在地政府有关政府采购规定和项目的实际情况制定。</w:t>
      </w:r>
    </w:p>
    <w:p w14:paraId="75D72A4D">
      <w:pPr>
        <w:pStyle w:val="4"/>
        <w:numPr>
          <w:ilvl w:val="0"/>
          <w:numId w:val="11"/>
        </w:numPr>
        <w:spacing w:before="0" w:after="0" w:line="360" w:lineRule="auto"/>
        <w:jc w:val="left"/>
        <w:rPr>
          <w:rFonts w:hint="eastAsia" w:ascii="宋体" w:hAnsi="宋体" w:eastAsia="宋体" w:cs="宋体"/>
          <w:color w:val="auto"/>
          <w:sz w:val="21"/>
          <w:szCs w:val="21"/>
          <w:highlight w:val="none"/>
        </w:rPr>
      </w:pPr>
      <w:bookmarkStart w:id="103" w:name="_Toc508888801"/>
      <w:bookmarkStart w:id="104" w:name="_Toc14951"/>
      <w:bookmarkStart w:id="105" w:name="_Toc528927424"/>
      <w:r>
        <w:rPr>
          <w:rFonts w:hint="eastAsia" w:ascii="宋体" w:hAnsi="宋体" w:eastAsia="宋体" w:cs="宋体"/>
          <w:color w:val="auto"/>
          <w:sz w:val="21"/>
          <w:szCs w:val="21"/>
          <w:highlight w:val="none"/>
        </w:rPr>
        <w:t>总则</w:t>
      </w:r>
      <w:bookmarkEnd w:id="103"/>
      <w:bookmarkEnd w:id="104"/>
      <w:bookmarkEnd w:id="105"/>
    </w:p>
    <w:p w14:paraId="2EA1EFD9">
      <w:pPr>
        <w:spacing w:line="360" w:lineRule="auto"/>
        <w:ind w:firstLine="420" w:firstLineChars="200"/>
        <w:rPr>
          <w:rFonts w:ascii="宋体" w:cs="宋体"/>
          <w:color w:val="auto"/>
          <w:szCs w:val="21"/>
          <w:highlight w:val="none"/>
        </w:rPr>
      </w:pPr>
      <w:bookmarkStart w:id="106" w:name="_Toc508888802"/>
      <w:r>
        <w:rPr>
          <w:rFonts w:hint="eastAsia" w:ascii="宋体" w:hAnsi="宋体" w:cs="宋体"/>
          <w:color w:val="auto"/>
          <w:szCs w:val="21"/>
          <w:highlight w:val="none"/>
        </w:rPr>
        <w:t>采购活动遵循公平、公正、科学、择优的原则依法进行，磋商小组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4FB1D80F">
      <w:pPr>
        <w:pStyle w:val="4"/>
        <w:numPr>
          <w:ilvl w:val="0"/>
          <w:numId w:val="11"/>
        </w:numPr>
        <w:spacing w:before="156" w:beforeLines="50" w:after="0" w:line="360" w:lineRule="auto"/>
        <w:jc w:val="left"/>
        <w:rPr>
          <w:rFonts w:hint="eastAsia" w:ascii="宋体" w:hAnsi="宋体" w:eastAsia="宋体" w:cs="宋体"/>
          <w:color w:val="auto"/>
          <w:sz w:val="21"/>
          <w:szCs w:val="21"/>
          <w:highlight w:val="none"/>
        </w:rPr>
      </w:pPr>
      <w:bookmarkStart w:id="107" w:name="_Toc528927425"/>
      <w:bookmarkStart w:id="108" w:name="_Toc13474"/>
      <w:r>
        <w:rPr>
          <w:rFonts w:hint="eastAsia" w:ascii="宋体" w:hAnsi="宋体" w:eastAsia="宋体" w:cs="宋体"/>
          <w:color w:val="auto"/>
          <w:sz w:val="21"/>
          <w:szCs w:val="21"/>
          <w:highlight w:val="none"/>
        </w:rPr>
        <w:t>评标组织</w:t>
      </w:r>
      <w:bookmarkEnd w:id="106"/>
      <w:bookmarkEnd w:id="107"/>
      <w:bookmarkEnd w:id="108"/>
    </w:p>
    <w:p w14:paraId="5056FDE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评标工作由采购人依法组建的磋商小组负责，磋商小组由采购人代表和政府采购评审专家等有关人员组成，评标全过程接受有关部门监督指导。</w:t>
      </w:r>
      <w:bookmarkStart w:id="109" w:name="_Toc528927426"/>
      <w:bookmarkStart w:id="110" w:name="_Toc508888803"/>
    </w:p>
    <w:p w14:paraId="1EA312B0">
      <w:pPr>
        <w:pStyle w:val="4"/>
        <w:numPr>
          <w:ilvl w:val="0"/>
          <w:numId w:val="11"/>
        </w:numPr>
        <w:spacing w:before="156" w:beforeLines="50" w:after="0" w:line="360" w:lineRule="auto"/>
        <w:jc w:val="left"/>
        <w:rPr>
          <w:rFonts w:hint="eastAsia" w:ascii="宋体" w:hAnsi="宋体" w:eastAsia="宋体" w:cs="宋体"/>
          <w:color w:val="auto"/>
          <w:sz w:val="21"/>
          <w:szCs w:val="21"/>
          <w:highlight w:val="none"/>
        </w:rPr>
      </w:pPr>
      <w:bookmarkStart w:id="111" w:name="_Toc528927427"/>
      <w:bookmarkStart w:id="112" w:name="_Toc26959"/>
      <w:bookmarkStart w:id="113" w:name="_Toc508888804"/>
      <w:r>
        <w:rPr>
          <w:rFonts w:hint="eastAsia" w:ascii="宋体" w:hAnsi="宋体" w:eastAsia="宋体" w:cs="宋体"/>
          <w:color w:val="auto"/>
          <w:sz w:val="21"/>
          <w:szCs w:val="21"/>
          <w:highlight w:val="none"/>
        </w:rPr>
        <w:t>评标办法</w:t>
      </w:r>
      <w:bookmarkEnd w:id="111"/>
      <w:bookmarkEnd w:id="112"/>
      <w:bookmarkEnd w:id="113"/>
    </w:p>
    <w:p w14:paraId="66F6EB2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本评标方法采用百分制</w:t>
      </w:r>
      <w:r>
        <w:rPr>
          <w:rFonts w:hint="eastAsia" w:ascii="宋体" w:hAnsi="宋体" w:cs="宋体"/>
          <w:b/>
          <w:bCs/>
          <w:color w:val="auto"/>
          <w:szCs w:val="21"/>
          <w:highlight w:val="none"/>
          <w:u w:val="single"/>
        </w:rPr>
        <w:t>综合评分法</w:t>
      </w:r>
      <w:r>
        <w:rPr>
          <w:rFonts w:hint="eastAsia" w:ascii="宋体" w:hAnsi="宋体" w:cs="宋体"/>
          <w:color w:val="auto"/>
          <w:szCs w:val="21"/>
          <w:highlight w:val="none"/>
        </w:rPr>
        <w:t>，是指供应商最大限度满足采购文件实质性要求的基础上，按照采购文件各项评审因素进行综合评审后，以评标综合得分由高至低推荐中标候选人的评标办法。</w:t>
      </w:r>
    </w:p>
    <w:p w14:paraId="2B16F497">
      <w:pPr>
        <w:autoSpaceDE w:val="0"/>
        <w:autoSpaceDN w:val="0"/>
        <w:spacing w:line="360" w:lineRule="auto"/>
        <w:ind w:firstLine="420" w:firstLineChars="200"/>
        <w:rPr>
          <w:rFonts w:ascii="宋体" w:cs="宋体"/>
          <w:color w:val="auto"/>
          <w:szCs w:val="21"/>
          <w:highlight w:val="none"/>
        </w:rPr>
      </w:pPr>
      <w:r>
        <w:rPr>
          <w:rFonts w:hint="eastAsia" w:ascii="宋体" w:hAnsi="宋体" w:cs="宋体"/>
          <w:bCs/>
          <w:color w:val="auto"/>
          <w:szCs w:val="21"/>
          <w:highlight w:val="none"/>
          <w:lang w:val="zh-CN"/>
        </w:rPr>
        <w:t>本项目综合评分设总分</w:t>
      </w:r>
      <w:r>
        <w:rPr>
          <w:rFonts w:ascii="宋体" w:hAnsi="宋体" w:cs="宋体"/>
          <w:bCs/>
          <w:color w:val="auto"/>
          <w:szCs w:val="21"/>
          <w:highlight w:val="none"/>
          <w:lang w:val="zh-CN"/>
        </w:rPr>
        <w:t>100</w:t>
      </w:r>
      <w:r>
        <w:rPr>
          <w:rFonts w:hint="eastAsia" w:ascii="宋体" w:hAnsi="宋体" w:cs="宋体"/>
          <w:bCs/>
          <w:color w:val="auto"/>
          <w:szCs w:val="21"/>
          <w:highlight w:val="none"/>
          <w:lang w:val="zh-CN"/>
        </w:rPr>
        <w:t>分，其中商务资信、技术与报价权值比例见下表：</w:t>
      </w:r>
    </w:p>
    <w:tbl>
      <w:tblPr>
        <w:tblStyle w:val="28"/>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934"/>
        <w:gridCol w:w="1740"/>
        <w:gridCol w:w="1575"/>
        <w:gridCol w:w="1402"/>
      </w:tblGrid>
      <w:tr w14:paraId="7271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0" w:type="dxa"/>
            <w:shd w:val="clear" w:color="auto" w:fill="D8D8D8"/>
            <w:vAlign w:val="center"/>
          </w:tcPr>
          <w:p w14:paraId="60108402">
            <w:pPr>
              <w:jc w:val="center"/>
              <w:rPr>
                <w:rFonts w:ascii="宋体" w:cs="宋体"/>
                <w:b/>
                <w:color w:val="auto"/>
                <w:szCs w:val="21"/>
                <w:highlight w:val="none"/>
              </w:rPr>
            </w:pPr>
            <w:r>
              <w:rPr>
                <w:rFonts w:hint="eastAsia" w:ascii="宋体" w:hAnsi="宋体" w:cs="宋体"/>
                <w:b/>
                <w:color w:val="auto"/>
                <w:szCs w:val="21"/>
                <w:highlight w:val="none"/>
              </w:rPr>
              <w:t>评标指标</w:t>
            </w:r>
          </w:p>
        </w:tc>
        <w:tc>
          <w:tcPr>
            <w:tcW w:w="1934" w:type="dxa"/>
            <w:tcBorders>
              <w:left w:val="nil"/>
            </w:tcBorders>
            <w:shd w:val="clear" w:color="auto" w:fill="D8D8D8"/>
            <w:vAlign w:val="center"/>
          </w:tcPr>
          <w:p w14:paraId="1022DF6E">
            <w:pPr>
              <w:jc w:val="center"/>
              <w:rPr>
                <w:rFonts w:ascii="宋体" w:cs="宋体"/>
                <w:b/>
                <w:color w:val="auto"/>
                <w:szCs w:val="21"/>
                <w:highlight w:val="none"/>
              </w:rPr>
            </w:pPr>
            <w:r>
              <w:rPr>
                <w:rFonts w:hint="eastAsia" w:ascii="宋体" w:hAnsi="宋体" w:cs="宋体"/>
                <w:b/>
                <w:color w:val="auto"/>
                <w:szCs w:val="21"/>
                <w:highlight w:val="none"/>
              </w:rPr>
              <w:t>投标报价（价格）</w:t>
            </w:r>
          </w:p>
        </w:tc>
        <w:tc>
          <w:tcPr>
            <w:tcW w:w="1740" w:type="dxa"/>
            <w:tcBorders>
              <w:left w:val="nil"/>
            </w:tcBorders>
            <w:shd w:val="clear" w:color="auto" w:fill="D8D8D8"/>
            <w:vAlign w:val="center"/>
          </w:tcPr>
          <w:p w14:paraId="2239EA81">
            <w:pPr>
              <w:jc w:val="center"/>
              <w:rPr>
                <w:rFonts w:ascii="宋体" w:cs="宋体"/>
                <w:b/>
                <w:color w:val="auto"/>
                <w:szCs w:val="21"/>
                <w:highlight w:val="none"/>
              </w:rPr>
            </w:pPr>
            <w:r>
              <w:rPr>
                <w:rFonts w:hint="eastAsia" w:ascii="宋体" w:hAnsi="宋体" w:cs="宋体"/>
                <w:b/>
                <w:color w:val="auto"/>
                <w:szCs w:val="21"/>
                <w:highlight w:val="none"/>
              </w:rPr>
              <w:t>商务资信部分</w:t>
            </w:r>
          </w:p>
        </w:tc>
        <w:tc>
          <w:tcPr>
            <w:tcW w:w="1575" w:type="dxa"/>
            <w:tcBorders>
              <w:left w:val="nil"/>
            </w:tcBorders>
            <w:shd w:val="clear" w:color="auto" w:fill="D8D8D8"/>
            <w:vAlign w:val="center"/>
          </w:tcPr>
          <w:p w14:paraId="350BC7C3">
            <w:pPr>
              <w:jc w:val="center"/>
              <w:rPr>
                <w:rFonts w:ascii="宋体" w:cs="宋体"/>
                <w:b/>
                <w:color w:val="auto"/>
                <w:szCs w:val="21"/>
                <w:highlight w:val="none"/>
              </w:rPr>
            </w:pPr>
            <w:r>
              <w:rPr>
                <w:rFonts w:hint="eastAsia" w:ascii="宋体" w:hAnsi="宋体" w:cs="宋体"/>
                <w:b/>
                <w:color w:val="auto"/>
                <w:szCs w:val="21"/>
                <w:highlight w:val="none"/>
              </w:rPr>
              <w:t>技术部分</w:t>
            </w:r>
          </w:p>
        </w:tc>
        <w:tc>
          <w:tcPr>
            <w:tcW w:w="1402" w:type="dxa"/>
            <w:tcBorders>
              <w:left w:val="nil"/>
            </w:tcBorders>
            <w:shd w:val="clear" w:color="auto" w:fill="D8D8D8"/>
            <w:vAlign w:val="center"/>
          </w:tcPr>
          <w:p w14:paraId="760F209D">
            <w:pPr>
              <w:jc w:val="center"/>
              <w:rPr>
                <w:rFonts w:ascii="宋体" w:cs="宋体"/>
                <w:b/>
                <w:color w:val="auto"/>
                <w:szCs w:val="21"/>
                <w:highlight w:val="none"/>
              </w:rPr>
            </w:pPr>
            <w:r>
              <w:rPr>
                <w:rFonts w:hint="eastAsia" w:ascii="宋体" w:hAnsi="宋体" w:cs="宋体"/>
                <w:b/>
                <w:color w:val="auto"/>
                <w:szCs w:val="21"/>
                <w:highlight w:val="none"/>
              </w:rPr>
              <w:t>合计</w:t>
            </w:r>
          </w:p>
        </w:tc>
      </w:tr>
      <w:tr w14:paraId="38A8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0" w:type="dxa"/>
            <w:vAlign w:val="center"/>
          </w:tcPr>
          <w:p w14:paraId="15375990">
            <w:pPr>
              <w:jc w:val="center"/>
              <w:rPr>
                <w:rFonts w:ascii="宋体" w:cs="宋体"/>
                <w:b/>
                <w:bCs/>
                <w:color w:val="auto"/>
                <w:szCs w:val="21"/>
                <w:highlight w:val="none"/>
              </w:rPr>
            </w:pPr>
            <w:r>
              <w:rPr>
                <w:rFonts w:hint="eastAsia" w:ascii="宋体" w:hAnsi="宋体" w:cs="宋体"/>
                <w:b/>
                <w:bCs/>
                <w:color w:val="auto"/>
                <w:szCs w:val="21"/>
                <w:highlight w:val="none"/>
              </w:rPr>
              <w:t>权重（</w:t>
            </w:r>
            <w:r>
              <w:rPr>
                <w:rFonts w:ascii="宋体" w:hAnsi="宋体" w:cs="宋体"/>
                <w:b/>
                <w:bCs/>
                <w:color w:val="auto"/>
                <w:szCs w:val="21"/>
                <w:highlight w:val="none"/>
              </w:rPr>
              <w:t>%</w:t>
            </w:r>
            <w:r>
              <w:rPr>
                <w:rFonts w:hint="eastAsia" w:ascii="宋体" w:hAnsi="宋体" w:cs="宋体"/>
                <w:b/>
                <w:bCs/>
                <w:color w:val="auto"/>
                <w:szCs w:val="21"/>
                <w:highlight w:val="none"/>
              </w:rPr>
              <w:t>）</w:t>
            </w:r>
          </w:p>
        </w:tc>
        <w:tc>
          <w:tcPr>
            <w:tcW w:w="1934" w:type="dxa"/>
            <w:tcBorders>
              <w:left w:val="nil"/>
            </w:tcBorders>
            <w:vAlign w:val="center"/>
          </w:tcPr>
          <w:p w14:paraId="0A44EBC1">
            <w:pPr>
              <w:pBdr>
                <w:bottom w:val="none" w:color="auto" w:sz="0" w:space="0"/>
              </w:pBdr>
              <w:snapToGrid/>
              <w:jc w:val="center"/>
              <w:rPr>
                <w:rFonts w:hint="default" w:ascii="宋体" w:hAnsi="宋体" w:eastAsia="宋体" w:cs="Times New Roman"/>
                <w:b w:val="0"/>
                <w:bCs w:val="0"/>
                <w:color w:val="auto"/>
                <w:kern w:val="0"/>
                <w:sz w:val="21"/>
                <w:szCs w:val="24"/>
                <w:highlight w:val="none"/>
                <w:lang w:val="en-US" w:eastAsia="zh-CN"/>
              </w:rPr>
            </w:pPr>
            <w:r>
              <w:rPr>
                <w:rFonts w:hint="eastAsia" w:ascii="宋体" w:hAnsi="宋体"/>
                <w:color w:val="auto"/>
                <w:kern w:val="0"/>
                <w:highlight w:val="none"/>
                <w:lang w:val="en-US" w:eastAsia="zh-CN"/>
              </w:rPr>
              <w:t>30</w:t>
            </w:r>
          </w:p>
        </w:tc>
        <w:tc>
          <w:tcPr>
            <w:tcW w:w="1740" w:type="dxa"/>
            <w:tcBorders>
              <w:left w:val="nil"/>
            </w:tcBorders>
            <w:vAlign w:val="center"/>
          </w:tcPr>
          <w:p w14:paraId="22D04AE3">
            <w:pPr>
              <w:jc w:val="center"/>
              <w:rPr>
                <w:rFonts w:hint="default" w:ascii="宋体" w:hAnsi="宋体" w:eastAsia="宋体" w:cs="Times New Roman"/>
                <w:b w:val="0"/>
                <w:bCs w:val="0"/>
                <w:color w:val="auto"/>
                <w:kern w:val="0"/>
                <w:szCs w:val="24"/>
                <w:highlight w:val="none"/>
                <w:lang w:val="en-US" w:eastAsia="zh-CN"/>
              </w:rPr>
            </w:pPr>
            <w:r>
              <w:rPr>
                <w:rFonts w:hint="eastAsia" w:ascii="宋体" w:hAnsi="宋体" w:cs="Times New Roman"/>
                <w:b w:val="0"/>
                <w:bCs w:val="0"/>
                <w:color w:val="auto"/>
                <w:kern w:val="0"/>
                <w:szCs w:val="24"/>
                <w:highlight w:val="none"/>
                <w:lang w:val="en-US" w:eastAsia="zh-CN"/>
              </w:rPr>
              <w:t>29</w:t>
            </w:r>
          </w:p>
        </w:tc>
        <w:tc>
          <w:tcPr>
            <w:tcW w:w="1575" w:type="dxa"/>
            <w:tcBorders>
              <w:left w:val="nil"/>
            </w:tcBorders>
            <w:vAlign w:val="center"/>
          </w:tcPr>
          <w:p w14:paraId="42BC3D51">
            <w:pPr>
              <w:jc w:val="center"/>
              <w:rPr>
                <w:rFonts w:hint="default" w:ascii="宋体" w:hAnsi="宋体" w:eastAsia="宋体" w:cs="Times New Roman"/>
                <w:b w:val="0"/>
                <w:bCs w:val="0"/>
                <w:color w:val="auto"/>
                <w:kern w:val="0"/>
                <w:szCs w:val="24"/>
                <w:highlight w:val="none"/>
                <w:lang w:val="en-US" w:eastAsia="zh-CN"/>
              </w:rPr>
            </w:pPr>
            <w:r>
              <w:rPr>
                <w:rFonts w:hint="eastAsia" w:ascii="宋体" w:hAnsi="宋体"/>
                <w:color w:val="auto"/>
                <w:kern w:val="0"/>
                <w:highlight w:val="none"/>
                <w:lang w:val="en-US" w:eastAsia="zh-CN"/>
              </w:rPr>
              <w:t>41</w:t>
            </w:r>
          </w:p>
        </w:tc>
        <w:tc>
          <w:tcPr>
            <w:tcW w:w="1402" w:type="dxa"/>
            <w:tcBorders>
              <w:left w:val="nil"/>
            </w:tcBorders>
            <w:vAlign w:val="center"/>
          </w:tcPr>
          <w:p w14:paraId="7F8B4CD7">
            <w:pPr>
              <w:jc w:val="center"/>
              <w:rPr>
                <w:rFonts w:ascii="宋体" w:cs="宋体"/>
                <w:b/>
                <w:bCs/>
                <w:color w:val="auto"/>
                <w:szCs w:val="21"/>
                <w:highlight w:val="none"/>
              </w:rPr>
            </w:pPr>
            <w:r>
              <w:rPr>
                <w:rFonts w:ascii="宋体" w:hAnsi="宋体" w:eastAsia="Times New Roman"/>
                <w:color w:val="auto"/>
                <w:kern w:val="0"/>
                <w:highlight w:val="none"/>
              </w:rPr>
              <w:t>100</w:t>
            </w:r>
          </w:p>
        </w:tc>
      </w:tr>
    </w:tbl>
    <w:p w14:paraId="1C0121BF">
      <w:pPr>
        <w:pStyle w:val="4"/>
        <w:numPr>
          <w:ilvl w:val="0"/>
          <w:numId w:val="11"/>
        </w:numPr>
        <w:spacing w:before="156" w:beforeLines="50" w:after="0" w:line="360" w:lineRule="auto"/>
        <w:jc w:val="left"/>
        <w:rPr>
          <w:rFonts w:hint="eastAsia" w:ascii="宋体" w:hAnsi="宋体" w:eastAsia="宋体" w:cs="宋体"/>
          <w:color w:val="auto"/>
          <w:sz w:val="21"/>
          <w:szCs w:val="21"/>
          <w:highlight w:val="none"/>
        </w:rPr>
      </w:pPr>
      <w:bookmarkStart w:id="114" w:name="_Toc15512"/>
      <w:r>
        <w:rPr>
          <w:rFonts w:hint="eastAsia" w:ascii="宋体" w:hAnsi="宋体" w:eastAsia="宋体" w:cs="宋体"/>
          <w:color w:val="auto"/>
          <w:sz w:val="21"/>
          <w:szCs w:val="21"/>
          <w:highlight w:val="none"/>
        </w:rPr>
        <w:t>评审细则</w:t>
      </w:r>
      <w:bookmarkEnd w:id="114"/>
      <w:r>
        <w:rPr>
          <w:rFonts w:ascii="宋体" w:hAnsi="宋体" w:eastAsia="宋体" w:cs="宋体"/>
          <w:color w:val="auto"/>
          <w:sz w:val="21"/>
          <w:szCs w:val="21"/>
          <w:highlight w:val="none"/>
        </w:rPr>
        <w:t xml:space="preserve"> </w:t>
      </w:r>
    </w:p>
    <w:p w14:paraId="1E44BFFC">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评审工作由磋商小组负责。</w:t>
      </w:r>
      <w:r>
        <w:rPr>
          <w:rFonts w:ascii="宋体" w:hAnsi="宋体" w:cs="宋体"/>
          <w:color w:val="auto"/>
          <w:kern w:val="0"/>
          <w:szCs w:val="21"/>
          <w:highlight w:val="none"/>
        </w:rPr>
        <w:t xml:space="preserve"> </w:t>
      </w:r>
    </w:p>
    <w:p w14:paraId="1A5F491E">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符合性审查</w:t>
      </w:r>
      <w:r>
        <w:rPr>
          <w:rFonts w:ascii="宋体" w:hAnsi="宋体" w:cs="宋体"/>
          <w:color w:val="auto"/>
          <w:kern w:val="0"/>
          <w:szCs w:val="21"/>
          <w:highlight w:val="none"/>
        </w:rPr>
        <w:t xml:space="preserve"> </w:t>
      </w:r>
    </w:p>
    <w:p w14:paraId="11FFDE53">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r>
        <w:rPr>
          <w:rFonts w:ascii="宋体" w:hAnsi="宋体" w:cs="宋体"/>
          <w:color w:val="auto"/>
          <w:kern w:val="0"/>
          <w:szCs w:val="21"/>
          <w:highlight w:val="none"/>
        </w:rPr>
        <w:t xml:space="preserve"> </w:t>
      </w:r>
    </w:p>
    <w:p w14:paraId="78BF47FB">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r>
        <w:rPr>
          <w:rFonts w:ascii="宋体" w:hAnsi="宋体" w:cs="宋体"/>
          <w:color w:val="auto"/>
          <w:kern w:val="0"/>
          <w:szCs w:val="21"/>
          <w:highlight w:val="none"/>
        </w:rPr>
        <w:t xml:space="preserve"> </w:t>
      </w:r>
    </w:p>
    <w:p w14:paraId="52795742">
      <w:pPr>
        <w:widowControl/>
        <w:spacing w:line="360" w:lineRule="auto"/>
        <w:ind w:firstLine="422" w:firstLineChars="200"/>
        <w:jc w:val="left"/>
        <w:rPr>
          <w:rFonts w:ascii="宋体" w:cs="宋体"/>
          <w:color w:val="auto"/>
          <w:szCs w:val="21"/>
          <w:highlight w:val="none"/>
        </w:rPr>
      </w:pPr>
      <w:r>
        <w:rPr>
          <w:rFonts w:ascii="宋体" w:hAnsi="宋体" w:cs="宋体"/>
          <w:b/>
          <w:color w:val="auto"/>
          <w:kern w:val="0"/>
          <w:szCs w:val="21"/>
          <w:highlight w:val="none"/>
        </w:rPr>
        <w:t xml:space="preserve">2.1 </w:t>
      </w:r>
      <w:r>
        <w:rPr>
          <w:rFonts w:hint="eastAsia" w:ascii="宋体" w:hAnsi="宋体" w:cs="宋体"/>
          <w:b/>
          <w:color w:val="auto"/>
          <w:kern w:val="0"/>
          <w:szCs w:val="21"/>
          <w:highlight w:val="none"/>
        </w:rPr>
        <w:t>资格及响应符合性审查</w:t>
      </w:r>
      <w:r>
        <w:rPr>
          <w:rFonts w:ascii="宋体" w:hAnsi="宋体" w:cs="宋体"/>
          <w:b/>
          <w:color w:val="auto"/>
          <w:kern w:val="0"/>
          <w:szCs w:val="21"/>
          <w:highlight w:val="none"/>
        </w:rPr>
        <w:t xml:space="preserve"> </w:t>
      </w:r>
    </w:p>
    <w:p w14:paraId="6528A6BA">
      <w:pPr>
        <w:widowControl/>
        <w:spacing w:line="360" w:lineRule="auto"/>
        <w:ind w:firstLine="422" w:firstLineChars="200"/>
        <w:jc w:val="left"/>
        <w:rPr>
          <w:rFonts w:ascii="宋体" w:cs="宋体"/>
          <w:color w:val="auto"/>
          <w:szCs w:val="21"/>
          <w:highlight w:val="none"/>
        </w:rPr>
      </w:pPr>
      <w:r>
        <w:rPr>
          <w:rFonts w:hint="eastAsia" w:ascii="宋体" w:hAnsi="宋体" w:cs="宋体"/>
          <w:b/>
          <w:color w:val="auto"/>
          <w:kern w:val="0"/>
          <w:szCs w:val="21"/>
          <w:highlight w:val="none"/>
        </w:rPr>
        <w:t>磋商响应文件如存在以下情况之一的，经磋商小组审核认定，作为符合性审查未通过，判定为无效标，不进入后续评审：</w:t>
      </w:r>
      <w:r>
        <w:rPr>
          <w:rFonts w:ascii="宋体" w:hAnsi="宋体" w:cs="宋体"/>
          <w:b/>
          <w:color w:val="auto"/>
          <w:kern w:val="0"/>
          <w:szCs w:val="21"/>
          <w:highlight w:val="none"/>
        </w:rPr>
        <w:t xml:space="preserve"> </w:t>
      </w:r>
    </w:p>
    <w:p w14:paraId="0322F851">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）磋商响应文件中提供的资料无法证明供应商满足采购文件载明的供应商资格要求；</w:t>
      </w:r>
      <w:r>
        <w:rPr>
          <w:rFonts w:ascii="宋体" w:hAnsi="宋体" w:cs="宋体"/>
          <w:color w:val="auto"/>
          <w:kern w:val="0"/>
          <w:szCs w:val="21"/>
          <w:highlight w:val="none"/>
        </w:rPr>
        <w:t xml:space="preserve"> </w:t>
      </w:r>
    </w:p>
    <w:p w14:paraId="19FD0ED6">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）磋商响应文件标明的商务、技术响应与事实不符或虚假响应的；</w:t>
      </w:r>
    </w:p>
    <w:p w14:paraId="54B0C174">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）未按采购文件的要求签署和盖章的；</w:t>
      </w:r>
      <w:r>
        <w:rPr>
          <w:rFonts w:ascii="宋体" w:hAnsi="宋体" w:cs="宋体"/>
          <w:color w:val="auto"/>
          <w:kern w:val="0"/>
          <w:szCs w:val="21"/>
          <w:highlight w:val="none"/>
        </w:rPr>
        <w:t xml:space="preserve"> </w:t>
      </w:r>
    </w:p>
    <w:p w14:paraId="211BA465">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）未实质性响应采购文件规定的实质性内容的；</w:t>
      </w:r>
      <w:r>
        <w:rPr>
          <w:rFonts w:ascii="宋体" w:hAnsi="宋体" w:cs="宋体"/>
          <w:color w:val="auto"/>
          <w:kern w:val="0"/>
          <w:szCs w:val="21"/>
          <w:highlight w:val="none"/>
        </w:rPr>
        <w:t xml:space="preserve"> </w:t>
      </w:r>
    </w:p>
    <w:p w14:paraId="498F262A">
      <w:pPr>
        <w:widowControl/>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）存在法律、法规、规章、采购文件规定的其它无效情况的；</w:t>
      </w:r>
    </w:p>
    <w:p w14:paraId="2BE3A0FC">
      <w:pPr>
        <w:widowControl/>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）退出磋商的供应商的磋商响应文件；</w:t>
      </w:r>
      <w:r>
        <w:rPr>
          <w:rFonts w:ascii="宋体" w:hAnsi="宋体" w:cs="宋体"/>
          <w:color w:val="auto"/>
          <w:kern w:val="0"/>
          <w:szCs w:val="21"/>
          <w:highlight w:val="none"/>
        </w:rPr>
        <w:t xml:space="preserve"> </w:t>
      </w:r>
    </w:p>
    <w:p w14:paraId="59404B97">
      <w:pPr>
        <w:widowControl/>
        <w:spacing w:line="360" w:lineRule="auto"/>
        <w:ind w:firstLine="420" w:firstLineChars="200"/>
        <w:jc w:val="left"/>
        <w:rPr>
          <w:rFonts w:ascii="宋体" w:cs="宋体"/>
          <w:color w:val="auto"/>
          <w:highlight w:val="none"/>
        </w:rPr>
      </w:pPr>
      <w:r>
        <w:rPr>
          <w:rFonts w:ascii="宋体" w:hAnsi="宋体" w:cs="宋体"/>
          <w:color w:val="auto"/>
          <w:kern w:val="0"/>
          <w:szCs w:val="21"/>
          <w:highlight w:val="none"/>
        </w:rPr>
        <w:t>7</w:t>
      </w:r>
      <w:r>
        <w:rPr>
          <w:rFonts w:hint="eastAsia" w:ascii="宋体" w:hAnsi="宋体" w:cs="宋体"/>
          <w:color w:val="auto"/>
          <w:kern w:val="0"/>
          <w:szCs w:val="21"/>
          <w:highlight w:val="none"/>
        </w:rPr>
        <w:t>）采购文件中其他规定的。</w:t>
      </w:r>
      <w:r>
        <w:rPr>
          <w:rFonts w:ascii="宋体" w:hAnsi="宋体" w:cs="宋体"/>
          <w:color w:val="auto"/>
          <w:kern w:val="0"/>
          <w:szCs w:val="21"/>
          <w:highlight w:val="none"/>
        </w:rPr>
        <w:t xml:space="preserve"> </w:t>
      </w:r>
    </w:p>
    <w:p w14:paraId="1529E41F">
      <w:pPr>
        <w:widowControl/>
        <w:spacing w:line="360" w:lineRule="auto"/>
        <w:ind w:firstLine="422" w:firstLineChars="200"/>
        <w:jc w:val="left"/>
        <w:rPr>
          <w:rFonts w:ascii="宋体" w:cs="宋体"/>
          <w:color w:val="auto"/>
          <w:szCs w:val="21"/>
          <w:highlight w:val="none"/>
        </w:rPr>
      </w:pPr>
      <w:r>
        <w:rPr>
          <w:rFonts w:ascii="宋体" w:hAnsi="宋体" w:cs="宋体"/>
          <w:b/>
          <w:color w:val="auto"/>
          <w:kern w:val="0"/>
          <w:szCs w:val="21"/>
          <w:highlight w:val="none"/>
        </w:rPr>
        <w:t xml:space="preserve">2.2 </w:t>
      </w:r>
      <w:r>
        <w:rPr>
          <w:rFonts w:hint="eastAsia" w:ascii="宋体" w:hAnsi="宋体" w:cs="宋体"/>
          <w:b/>
          <w:color w:val="auto"/>
          <w:kern w:val="0"/>
          <w:szCs w:val="21"/>
          <w:highlight w:val="none"/>
        </w:rPr>
        <w:t>技术符合性审查</w:t>
      </w:r>
      <w:r>
        <w:rPr>
          <w:rFonts w:ascii="宋体" w:hAnsi="宋体" w:cs="宋体"/>
          <w:b/>
          <w:color w:val="auto"/>
          <w:kern w:val="0"/>
          <w:szCs w:val="21"/>
          <w:highlight w:val="none"/>
        </w:rPr>
        <w:t xml:space="preserve"> </w:t>
      </w:r>
    </w:p>
    <w:p w14:paraId="6A52472F">
      <w:pPr>
        <w:widowControl/>
        <w:spacing w:line="360" w:lineRule="auto"/>
        <w:ind w:firstLine="422" w:firstLineChars="200"/>
        <w:jc w:val="left"/>
        <w:rPr>
          <w:rFonts w:ascii="宋体" w:cs="宋体"/>
          <w:color w:val="auto"/>
          <w:szCs w:val="21"/>
          <w:highlight w:val="none"/>
        </w:rPr>
      </w:pPr>
      <w:r>
        <w:rPr>
          <w:rFonts w:hint="eastAsia" w:ascii="宋体" w:hAnsi="宋体" w:cs="宋体"/>
          <w:b/>
          <w:color w:val="auto"/>
          <w:kern w:val="0"/>
          <w:szCs w:val="21"/>
          <w:highlight w:val="none"/>
        </w:rPr>
        <w:t>磋商响应文件如存在以下情况之一的，经磋商小组审核认定，作为符合性审查未通过，判定为无效标，不进入后续评审：</w:t>
      </w:r>
      <w:r>
        <w:rPr>
          <w:rFonts w:ascii="宋体" w:hAnsi="宋体" w:cs="宋体"/>
          <w:b/>
          <w:color w:val="auto"/>
          <w:kern w:val="0"/>
          <w:szCs w:val="21"/>
          <w:highlight w:val="none"/>
        </w:rPr>
        <w:t xml:space="preserve"> </w:t>
      </w:r>
    </w:p>
    <w:p w14:paraId="767BC780">
      <w:pPr>
        <w:widowControl/>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）主要产品的技术参数响应达不到采购需求的；</w:t>
      </w:r>
      <w:r>
        <w:rPr>
          <w:rFonts w:ascii="宋体" w:hAnsi="宋体" w:cs="宋体"/>
          <w:color w:val="auto"/>
          <w:kern w:val="0"/>
          <w:szCs w:val="21"/>
          <w:highlight w:val="none"/>
        </w:rPr>
        <w:t xml:space="preserve"> </w:t>
      </w:r>
    </w:p>
    <w:p w14:paraId="5867EB89">
      <w:pPr>
        <w:widowControl/>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）提供的技术服务人员不能满足采购需求的；</w:t>
      </w:r>
      <w:r>
        <w:rPr>
          <w:rFonts w:ascii="宋体" w:hAnsi="宋体" w:cs="宋体"/>
          <w:color w:val="auto"/>
          <w:kern w:val="0"/>
          <w:szCs w:val="21"/>
          <w:highlight w:val="none"/>
        </w:rPr>
        <w:t xml:space="preserve"> </w:t>
      </w:r>
    </w:p>
    <w:p w14:paraId="1C3CFAFF">
      <w:pPr>
        <w:widowControl/>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）主要的技术方案或安全保障措施、工期进度安排计划不可行的；</w:t>
      </w:r>
      <w:r>
        <w:rPr>
          <w:rFonts w:ascii="宋体" w:hAnsi="宋体" w:cs="宋体"/>
          <w:color w:val="auto"/>
          <w:kern w:val="0"/>
          <w:szCs w:val="21"/>
          <w:highlight w:val="none"/>
        </w:rPr>
        <w:t xml:space="preserve"> </w:t>
      </w:r>
    </w:p>
    <w:p w14:paraId="2A1E5CC9">
      <w:pPr>
        <w:widowControl/>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）采用的验收标准或主要技术指标达不到国家强制性标准或采购文件要求的；</w:t>
      </w:r>
      <w:r>
        <w:rPr>
          <w:rFonts w:ascii="宋体" w:hAnsi="宋体" w:cs="宋体"/>
          <w:color w:val="auto"/>
          <w:kern w:val="0"/>
          <w:szCs w:val="21"/>
          <w:highlight w:val="none"/>
        </w:rPr>
        <w:t xml:space="preserve"> </w:t>
      </w:r>
    </w:p>
    <w:p w14:paraId="1723F71D">
      <w:pPr>
        <w:widowControl/>
        <w:spacing w:line="360" w:lineRule="auto"/>
        <w:ind w:firstLine="420" w:firstLineChars="200"/>
        <w:jc w:val="left"/>
        <w:rPr>
          <w:rFonts w:ascii="宋体" w:cs="宋体"/>
          <w:color w:val="auto"/>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）采购文件中其他规定的。</w:t>
      </w:r>
      <w:r>
        <w:rPr>
          <w:rFonts w:ascii="宋体" w:hAnsi="宋体" w:cs="宋体"/>
          <w:color w:val="auto"/>
          <w:kern w:val="0"/>
          <w:szCs w:val="21"/>
          <w:highlight w:val="none"/>
        </w:rPr>
        <w:t xml:space="preserve"> </w:t>
      </w:r>
    </w:p>
    <w:p w14:paraId="5838AF2A">
      <w:pPr>
        <w:widowControl/>
        <w:spacing w:line="360" w:lineRule="auto"/>
        <w:ind w:firstLine="422" w:firstLineChars="200"/>
        <w:jc w:val="left"/>
        <w:rPr>
          <w:rFonts w:ascii="宋体" w:cs="宋体"/>
          <w:color w:val="auto"/>
          <w:szCs w:val="21"/>
          <w:highlight w:val="none"/>
        </w:rPr>
      </w:pPr>
      <w:r>
        <w:rPr>
          <w:rFonts w:ascii="宋体" w:hAnsi="宋体" w:cs="宋体"/>
          <w:b/>
          <w:color w:val="auto"/>
          <w:kern w:val="0"/>
          <w:szCs w:val="21"/>
          <w:highlight w:val="none"/>
        </w:rPr>
        <w:t xml:space="preserve">2.3 </w:t>
      </w:r>
      <w:r>
        <w:rPr>
          <w:rFonts w:hint="eastAsia" w:ascii="宋体" w:hAnsi="宋体" w:cs="宋体"/>
          <w:b/>
          <w:color w:val="auto"/>
          <w:kern w:val="0"/>
          <w:szCs w:val="21"/>
          <w:highlight w:val="none"/>
        </w:rPr>
        <w:t>报价符合性审查</w:t>
      </w:r>
    </w:p>
    <w:p w14:paraId="2C112420">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2.3.1 </w:t>
      </w:r>
      <w:r>
        <w:rPr>
          <w:rFonts w:hint="eastAsia" w:ascii="宋体" w:hAnsi="宋体" w:cs="宋体"/>
          <w:color w:val="auto"/>
          <w:kern w:val="0"/>
          <w:szCs w:val="21"/>
          <w:highlight w:val="none"/>
        </w:rPr>
        <w:t>报价错误修正</w:t>
      </w:r>
      <w:r>
        <w:rPr>
          <w:rFonts w:ascii="宋体" w:hAnsi="宋体" w:cs="宋体"/>
          <w:color w:val="auto"/>
          <w:kern w:val="0"/>
          <w:szCs w:val="21"/>
          <w:highlight w:val="none"/>
        </w:rPr>
        <w:t xml:space="preserve"> </w:t>
      </w:r>
    </w:p>
    <w:p w14:paraId="507A7D4B">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磋商小组将对报价文件进行校核，报价出现前后不一致的，按照下列规定修正：</w:t>
      </w:r>
      <w:r>
        <w:rPr>
          <w:rFonts w:ascii="宋体" w:hAnsi="宋体" w:cs="宋体"/>
          <w:color w:val="auto"/>
          <w:kern w:val="0"/>
          <w:szCs w:val="21"/>
          <w:highlight w:val="none"/>
        </w:rPr>
        <w:t xml:space="preserve"> </w:t>
      </w:r>
    </w:p>
    <w:p w14:paraId="4DE9D3F3">
      <w:pPr>
        <w:widowControl/>
        <w:spacing w:line="360" w:lineRule="auto"/>
        <w:ind w:firstLine="420" w:firstLineChars="200"/>
        <w:jc w:val="left"/>
        <w:rPr>
          <w:rFonts w:ascii="宋体" w:cs="宋体"/>
          <w:bCs/>
          <w:color w:val="auto"/>
          <w:szCs w:val="21"/>
          <w:highlight w:val="none"/>
        </w:rPr>
      </w:pPr>
      <w:r>
        <w:rPr>
          <w:rFonts w:ascii="宋体" w:hAnsi="宋体" w:cs="宋体"/>
          <w:bCs/>
          <w:color w:val="auto"/>
          <w:kern w:val="0"/>
          <w:szCs w:val="21"/>
          <w:highlight w:val="none"/>
        </w:rPr>
        <w:t>1</w:t>
      </w:r>
      <w:r>
        <w:rPr>
          <w:rFonts w:hint="eastAsia" w:ascii="宋体" w:hAnsi="宋体" w:cs="宋体"/>
          <w:bCs/>
          <w:color w:val="auto"/>
          <w:kern w:val="0"/>
          <w:szCs w:val="21"/>
          <w:highlight w:val="none"/>
        </w:rPr>
        <w:t>）正本与副本不一致时，以正本为准；</w:t>
      </w:r>
      <w:r>
        <w:rPr>
          <w:rFonts w:ascii="宋体" w:hAnsi="宋体" w:cs="宋体"/>
          <w:bCs/>
          <w:color w:val="auto"/>
          <w:kern w:val="0"/>
          <w:szCs w:val="21"/>
          <w:highlight w:val="none"/>
        </w:rPr>
        <w:t xml:space="preserve"> </w:t>
      </w:r>
    </w:p>
    <w:p w14:paraId="09EC06FD">
      <w:pPr>
        <w:widowControl/>
        <w:spacing w:line="360" w:lineRule="auto"/>
        <w:ind w:firstLine="420" w:firstLineChars="200"/>
        <w:jc w:val="left"/>
        <w:rPr>
          <w:rFonts w:ascii="宋体" w:cs="宋体"/>
          <w:bCs/>
          <w:color w:val="auto"/>
          <w:szCs w:val="21"/>
          <w:highlight w:val="none"/>
        </w:rPr>
      </w:pPr>
      <w:r>
        <w:rPr>
          <w:rFonts w:ascii="宋体" w:hAnsi="宋体" w:cs="宋体"/>
          <w:bCs/>
          <w:color w:val="auto"/>
          <w:kern w:val="0"/>
          <w:szCs w:val="21"/>
          <w:highlight w:val="none"/>
        </w:rPr>
        <w:t>2</w:t>
      </w:r>
      <w:r>
        <w:rPr>
          <w:rFonts w:hint="eastAsia" w:ascii="宋体" w:hAnsi="宋体" w:cs="宋体"/>
          <w:bCs/>
          <w:color w:val="auto"/>
          <w:kern w:val="0"/>
          <w:szCs w:val="21"/>
          <w:highlight w:val="none"/>
        </w:rPr>
        <w:t>）开标一览表（报价表）内容与磋商响应文件中相应内容不一致的，以开标一览表（报价表）为准；</w:t>
      </w:r>
      <w:r>
        <w:rPr>
          <w:rFonts w:ascii="宋体" w:hAnsi="宋体" w:cs="宋体"/>
          <w:bCs/>
          <w:color w:val="auto"/>
          <w:kern w:val="0"/>
          <w:szCs w:val="21"/>
          <w:highlight w:val="none"/>
        </w:rPr>
        <w:t xml:space="preserve"> </w:t>
      </w:r>
    </w:p>
    <w:p w14:paraId="33F80320">
      <w:pPr>
        <w:widowControl/>
        <w:spacing w:line="360" w:lineRule="auto"/>
        <w:ind w:firstLine="420" w:firstLineChars="200"/>
        <w:jc w:val="left"/>
        <w:rPr>
          <w:rFonts w:ascii="宋体" w:cs="宋体"/>
          <w:bCs/>
          <w:color w:val="auto"/>
          <w:szCs w:val="21"/>
          <w:highlight w:val="none"/>
        </w:rPr>
      </w:pPr>
      <w:r>
        <w:rPr>
          <w:rFonts w:ascii="宋体" w:hAnsi="宋体" w:cs="宋体"/>
          <w:bCs/>
          <w:color w:val="auto"/>
          <w:kern w:val="0"/>
          <w:szCs w:val="21"/>
          <w:highlight w:val="none"/>
        </w:rPr>
        <w:t>3</w:t>
      </w:r>
      <w:r>
        <w:rPr>
          <w:rFonts w:hint="eastAsia" w:ascii="宋体" w:hAnsi="宋体" w:cs="宋体"/>
          <w:bCs/>
          <w:color w:val="auto"/>
          <w:kern w:val="0"/>
          <w:szCs w:val="21"/>
          <w:highlight w:val="none"/>
        </w:rPr>
        <w:t>）大写金额和小写金额不一致的，以大写金额为准；</w:t>
      </w:r>
      <w:r>
        <w:rPr>
          <w:rFonts w:ascii="宋体" w:hAnsi="宋体" w:cs="宋体"/>
          <w:bCs/>
          <w:color w:val="auto"/>
          <w:kern w:val="0"/>
          <w:szCs w:val="21"/>
          <w:highlight w:val="none"/>
        </w:rPr>
        <w:t xml:space="preserve"> </w:t>
      </w:r>
    </w:p>
    <w:p w14:paraId="0D6FA2EA">
      <w:pPr>
        <w:widowControl/>
        <w:spacing w:line="360" w:lineRule="auto"/>
        <w:ind w:firstLine="420" w:firstLineChars="200"/>
        <w:jc w:val="left"/>
        <w:rPr>
          <w:rFonts w:ascii="宋体" w:cs="宋体"/>
          <w:bCs/>
          <w:color w:val="auto"/>
          <w:szCs w:val="21"/>
          <w:highlight w:val="none"/>
        </w:rPr>
      </w:pPr>
      <w:r>
        <w:rPr>
          <w:rFonts w:ascii="宋体" w:hAnsi="宋体" w:cs="宋体"/>
          <w:bCs/>
          <w:color w:val="auto"/>
          <w:kern w:val="0"/>
          <w:szCs w:val="21"/>
          <w:highlight w:val="none"/>
        </w:rPr>
        <w:t>4</w:t>
      </w:r>
      <w:r>
        <w:rPr>
          <w:rFonts w:hint="eastAsia" w:ascii="宋体" w:hAnsi="宋体" w:cs="宋体"/>
          <w:bCs/>
          <w:color w:val="auto"/>
          <w:kern w:val="0"/>
          <w:szCs w:val="21"/>
          <w:highlight w:val="none"/>
        </w:rPr>
        <w:t>）单价金额小数点或者百分比有明显错位的，以开标一览表的总价为准，并修改单价；</w:t>
      </w:r>
      <w:r>
        <w:rPr>
          <w:rFonts w:ascii="宋体" w:hAnsi="宋体" w:cs="宋体"/>
          <w:bCs/>
          <w:color w:val="auto"/>
          <w:kern w:val="0"/>
          <w:szCs w:val="21"/>
          <w:highlight w:val="none"/>
        </w:rPr>
        <w:t xml:space="preserve"> </w:t>
      </w:r>
    </w:p>
    <w:p w14:paraId="4940659A">
      <w:pPr>
        <w:widowControl/>
        <w:spacing w:line="360" w:lineRule="auto"/>
        <w:ind w:firstLine="420" w:firstLineChars="200"/>
        <w:jc w:val="left"/>
        <w:rPr>
          <w:rFonts w:ascii="宋体" w:cs="宋体"/>
          <w:bCs/>
          <w:color w:val="auto"/>
          <w:szCs w:val="21"/>
          <w:highlight w:val="none"/>
        </w:rPr>
      </w:pPr>
      <w:r>
        <w:rPr>
          <w:rFonts w:ascii="宋体" w:hAnsi="宋体" w:cs="宋体"/>
          <w:bCs/>
          <w:color w:val="auto"/>
          <w:kern w:val="0"/>
          <w:szCs w:val="21"/>
          <w:highlight w:val="none"/>
        </w:rPr>
        <w:t>5</w:t>
      </w:r>
      <w:r>
        <w:rPr>
          <w:rFonts w:hint="eastAsia" w:ascii="宋体" w:hAnsi="宋体" w:cs="宋体"/>
          <w:bCs/>
          <w:color w:val="auto"/>
          <w:kern w:val="0"/>
          <w:szCs w:val="21"/>
          <w:highlight w:val="none"/>
        </w:rPr>
        <w:t>）总价金额与按单价汇总金额不一致的，以单价金额计算结果为准。</w:t>
      </w:r>
      <w:r>
        <w:rPr>
          <w:rFonts w:ascii="宋体" w:hAnsi="宋体" w:cs="宋体"/>
          <w:bCs/>
          <w:color w:val="auto"/>
          <w:kern w:val="0"/>
          <w:szCs w:val="21"/>
          <w:highlight w:val="none"/>
        </w:rPr>
        <w:t xml:space="preserve"> </w:t>
      </w:r>
    </w:p>
    <w:p w14:paraId="615A667F">
      <w:pPr>
        <w:widowControl/>
        <w:spacing w:line="360" w:lineRule="auto"/>
        <w:ind w:firstLine="420" w:firstLineChars="200"/>
        <w:jc w:val="left"/>
        <w:rPr>
          <w:rFonts w:ascii="宋体" w:cs="宋体"/>
          <w:bCs/>
          <w:color w:val="auto"/>
          <w:szCs w:val="21"/>
          <w:highlight w:val="none"/>
        </w:rPr>
      </w:pPr>
      <w:r>
        <w:rPr>
          <w:rFonts w:hint="eastAsia" w:ascii="宋体" w:hAnsi="宋体" w:cs="宋体"/>
          <w:bCs/>
          <w:color w:val="auto"/>
          <w:kern w:val="0"/>
          <w:szCs w:val="21"/>
          <w:highlight w:val="none"/>
        </w:rPr>
        <w:t>同时出现两种以上不一致的，按照前款规定的顺序修正。修正后的报价以澄清方式经供应商确认后产生约束力，供应商不确认的，磋商小组应判定其为无效标。</w:t>
      </w:r>
      <w:r>
        <w:rPr>
          <w:rFonts w:ascii="宋体" w:hAnsi="宋体" w:cs="宋体"/>
          <w:bCs/>
          <w:color w:val="auto"/>
          <w:kern w:val="0"/>
          <w:szCs w:val="21"/>
          <w:highlight w:val="none"/>
        </w:rPr>
        <w:t xml:space="preserve"> </w:t>
      </w:r>
    </w:p>
    <w:p w14:paraId="122E680E">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2.3.2 </w:t>
      </w:r>
      <w:r>
        <w:rPr>
          <w:rFonts w:hint="eastAsia" w:ascii="宋体" w:hAnsi="宋体" w:cs="宋体"/>
          <w:color w:val="auto"/>
          <w:kern w:val="0"/>
          <w:szCs w:val="21"/>
          <w:highlight w:val="none"/>
        </w:rPr>
        <w:t>合理报价澄清说明</w:t>
      </w:r>
      <w:r>
        <w:rPr>
          <w:rFonts w:ascii="宋体" w:hAnsi="宋体" w:cs="宋体"/>
          <w:color w:val="auto"/>
          <w:kern w:val="0"/>
          <w:szCs w:val="21"/>
          <w:highlight w:val="none"/>
        </w:rPr>
        <w:t xml:space="preserve"> </w:t>
      </w:r>
    </w:p>
    <w:p w14:paraId="0FD7EB76">
      <w:pPr>
        <w:widowControl/>
        <w:spacing w:line="360" w:lineRule="auto"/>
        <w:ind w:firstLine="422" w:firstLineChars="200"/>
        <w:jc w:val="left"/>
        <w:rPr>
          <w:rFonts w:ascii="宋体" w:cs="宋体"/>
          <w:color w:val="auto"/>
          <w:szCs w:val="21"/>
          <w:highlight w:val="none"/>
        </w:rPr>
      </w:pPr>
      <w:r>
        <w:rPr>
          <w:rFonts w:hint="eastAsia" w:ascii="宋体" w:hAnsi="宋体" w:cs="宋体"/>
          <w:b/>
          <w:color w:val="auto"/>
          <w:kern w:val="0"/>
          <w:szCs w:val="21"/>
          <w:highlight w:val="none"/>
        </w:rPr>
        <w:t>磋商小组认为供应商的报价明显低于其他通过符合性审查供应商的报价，有可能影响产品质量或者不能诚信履约的，应当要求供应商在政采云平台上</w:t>
      </w:r>
      <w:r>
        <w:rPr>
          <w:rFonts w:ascii="宋体" w:hAnsi="宋体" w:cs="宋体"/>
          <w:b/>
          <w:color w:val="auto"/>
          <w:kern w:val="0"/>
          <w:szCs w:val="21"/>
          <w:highlight w:val="none"/>
        </w:rPr>
        <w:t>30</w:t>
      </w:r>
      <w:r>
        <w:rPr>
          <w:rFonts w:hint="eastAsia" w:ascii="宋体" w:hAnsi="宋体" w:cs="宋体"/>
          <w:b/>
          <w:color w:val="auto"/>
          <w:kern w:val="0"/>
          <w:szCs w:val="21"/>
          <w:highlight w:val="none"/>
        </w:rPr>
        <w:t>分钟内提供说明，必要时可要求供应商提交相关证明材料；磋商小组（少数服从多数原则）认为供应商不能证明其报价合理性的，应当将其作为无效标处理。</w:t>
      </w:r>
    </w:p>
    <w:p w14:paraId="6B33C649">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2.3.3 </w:t>
      </w:r>
      <w:r>
        <w:rPr>
          <w:rFonts w:hint="eastAsia" w:ascii="宋体" w:hAnsi="宋体" w:cs="宋体"/>
          <w:b/>
          <w:color w:val="auto"/>
          <w:kern w:val="0"/>
          <w:szCs w:val="21"/>
          <w:highlight w:val="none"/>
        </w:rPr>
        <w:t>磋商响应文件如存在以下情况之一的，经磋商小组审核认定，作为符合性审查未通过，判定为无效标，不进入后续评审：</w:t>
      </w:r>
      <w:r>
        <w:rPr>
          <w:rFonts w:ascii="宋体" w:hAnsi="宋体" w:cs="宋体"/>
          <w:b/>
          <w:color w:val="auto"/>
          <w:kern w:val="0"/>
          <w:szCs w:val="21"/>
          <w:highlight w:val="none"/>
        </w:rPr>
        <w:t xml:space="preserve"> </w:t>
      </w:r>
    </w:p>
    <w:p w14:paraId="276C4B54">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）供应商未按采购文件实质性规定要求进行报价或拒绝修正不平衡报价；</w:t>
      </w:r>
      <w:r>
        <w:rPr>
          <w:rFonts w:ascii="宋体" w:hAnsi="宋体" w:cs="宋体"/>
          <w:color w:val="auto"/>
          <w:kern w:val="0"/>
          <w:szCs w:val="21"/>
          <w:highlight w:val="none"/>
        </w:rPr>
        <w:t xml:space="preserve"> </w:t>
      </w:r>
    </w:p>
    <w:p w14:paraId="69296CDF">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）磋商小组不调整采购内容及需求的情况下，供应商的最终报价高于初次报价；</w:t>
      </w:r>
      <w:r>
        <w:rPr>
          <w:rFonts w:ascii="宋体" w:hAnsi="宋体" w:cs="宋体"/>
          <w:color w:val="auto"/>
          <w:kern w:val="0"/>
          <w:szCs w:val="21"/>
          <w:highlight w:val="none"/>
        </w:rPr>
        <w:t xml:space="preserve"> </w:t>
      </w:r>
    </w:p>
    <w:p w14:paraId="61986E03">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）最终报价超过采购文件规定的预算价或最高限价；</w:t>
      </w:r>
      <w:r>
        <w:rPr>
          <w:rFonts w:ascii="宋体" w:hAnsi="宋体" w:cs="宋体"/>
          <w:color w:val="auto"/>
          <w:kern w:val="0"/>
          <w:szCs w:val="21"/>
          <w:highlight w:val="none"/>
        </w:rPr>
        <w:t xml:space="preserve"> </w:t>
      </w:r>
    </w:p>
    <w:p w14:paraId="42494610">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）磋商小组认为供应商报价符合</w:t>
      </w:r>
      <w:r>
        <w:rPr>
          <w:rFonts w:ascii="宋体" w:hAnsi="宋体" w:cs="宋体"/>
          <w:color w:val="auto"/>
          <w:kern w:val="0"/>
          <w:szCs w:val="21"/>
          <w:highlight w:val="none"/>
        </w:rPr>
        <w:t>2.3.2</w:t>
      </w:r>
      <w:r>
        <w:rPr>
          <w:rFonts w:hint="eastAsia" w:ascii="宋体" w:hAnsi="宋体" w:cs="宋体"/>
          <w:color w:val="auto"/>
          <w:kern w:val="0"/>
          <w:szCs w:val="21"/>
          <w:highlight w:val="none"/>
        </w:rPr>
        <w:t>合理报价澄清说明情形的；</w:t>
      </w:r>
      <w:r>
        <w:rPr>
          <w:rFonts w:ascii="宋体" w:hAnsi="宋体" w:cs="宋体"/>
          <w:color w:val="auto"/>
          <w:kern w:val="0"/>
          <w:szCs w:val="21"/>
          <w:highlight w:val="none"/>
        </w:rPr>
        <w:t xml:space="preserve"> </w:t>
      </w:r>
    </w:p>
    <w:p w14:paraId="457B00FB">
      <w:pPr>
        <w:widowControl/>
        <w:spacing w:line="360" w:lineRule="auto"/>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4. </w:t>
      </w:r>
      <w:r>
        <w:rPr>
          <w:rFonts w:hint="eastAsia" w:ascii="宋体" w:hAnsi="宋体" w:cs="宋体"/>
          <w:color w:val="auto"/>
          <w:kern w:val="0"/>
          <w:szCs w:val="21"/>
          <w:highlight w:val="none"/>
        </w:rPr>
        <w:t>磋商小组确定磋商要点和磋商程序，逐一与各供应商进行磋商，并记录磋商内容及供应商承诺内容。</w:t>
      </w:r>
    </w:p>
    <w:p w14:paraId="24C812EF">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r>
        <w:rPr>
          <w:rFonts w:ascii="宋体" w:hAnsi="宋体" w:cs="宋体"/>
          <w:color w:val="auto"/>
          <w:kern w:val="0"/>
          <w:szCs w:val="21"/>
          <w:highlight w:val="none"/>
        </w:rPr>
        <w:t xml:space="preserve"> </w:t>
      </w:r>
    </w:p>
    <w:p w14:paraId="2C0B5CC7">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经过磋商结束后，磋商小组对符合要求的有效供应商根据磋商响应文件响应情况、磋商情况等进行评审，并向采购人提出评审意见和评审报告。</w:t>
      </w:r>
      <w:r>
        <w:rPr>
          <w:rFonts w:ascii="宋体" w:hAnsi="宋体" w:cs="宋体"/>
          <w:color w:val="auto"/>
          <w:kern w:val="0"/>
          <w:szCs w:val="21"/>
          <w:highlight w:val="none"/>
        </w:rPr>
        <w:t xml:space="preserve"> </w:t>
      </w:r>
    </w:p>
    <w:p w14:paraId="52B37792">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评审报告应当包括以下主要内容：</w:t>
      </w:r>
      <w:r>
        <w:rPr>
          <w:rFonts w:ascii="宋体" w:hAnsi="宋体" w:cs="宋体"/>
          <w:color w:val="auto"/>
          <w:kern w:val="0"/>
          <w:szCs w:val="21"/>
          <w:highlight w:val="none"/>
        </w:rPr>
        <w:t xml:space="preserve"> </w:t>
      </w:r>
    </w:p>
    <w:p w14:paraId="689715DA">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）邀请供应商参加采购活动的具体方式和相关情况；</w:t>
      </w:r>
      <w:r>
        <w:rPr>
          <w:rFonts w:ascii="宋体" w:hAnsi="宋体" w:cs="宋体"/>
          <w:color w:val="auto"/>
          <w:kern w:val="0"/>
          <w:szCs w:val="21"/>
          <w:highlight w:val="none"/>
        </w:rPr>
        <w:t xml:space="preserve"> </w:t>
      </w:r>
    </w:p>
    <w:p w14:paraId="08CCE587">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）响应文件开启日期和地点；</w:t>
      </w:r>
      <w:r>
        <w:rPr>
          <w:rFonts w:ascii="宋体" w:hAnsi="宋体" w:cs="宋体"/>
          <w:color w:val="auto"/>
          <w:kern w:val="0"/>
          <w:szCs w:val="21"/>
          <w:highlight w:val="none"/>
        </w:rPr>
        <w:t xml:space="preserve"> </w:t>
      </w:r>
    </w:p>
    <w:p w14:paraId="02BC67FB">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）获取采购文件的供应商名单和磋商小组成员名单；</w:t>
      </w:r>
      <w:r>
        <w:rPr>
          <w:rFonts w:ascii="宋体" w:hAnsi="宋体" w:cs="宋体"/>
          <w:color w:val="auto"/>
          <w:kern w:val="0"/>
          <w:szCs w:val="21"/>
          <w:highlight w:val="none"/>
        </w:rPr>
        <w:t xml:space="preserve"> </w:t>
      </w:r>
    </w:p>
    <w:p w14:paraId="7746019A">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）评审情况记录和说明，包括对供应商的资格审查情况、供应商响应文件评审情况、磋商情况、报价情况等；</w:t>
      </w:r>
      <w:r>
        <w:rPr>
          <w:rFonts w:ascii="宋体" w:hAnsi="宋体" w:cs="宋体"/>
          <w:color w:val="auto"/>
          <w:kern w:val="0"/>
          <w:szCs w:val="21"/>
          <w:highlight w:val="none"/>
        </w:rPr>
        <w:t xml:space="preserve"> </w:t>
      </w:r>
    </w:p>
    <w:p w14:paraId="44D0C0C3">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）提出的成交候选供应商的排序名单及理由。</w:t>
      </w:r>
    </w:p>
    <w:p w14:paraId="0E4176F8">
      <w:pPr>
        <w:widowControl/>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磋商小组对需要共同认定的事项存在争议的，应当按照少数服从多数的原则作出结论，持不同意见的磋商小组成员应当在评审报告上签署不同意见及理由，否则视为同意评审报告。</w:t>
      </w:r>
    </w:p>
    <w:p w14:paraId="4851767F">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bookmarkEnd w:id="109"/>
      <w:bookmarkEnd w:id="110"/>
    </w:p>
    <w:p w14:paraId="7F534B4C">
      <w:pPr>
        <w:widowControl/>
        <w:spacing w:line="360" w:lineRule="auto"/>
        <w:ind w:firstLine="422" w:firstLineChars="200"/>
        <w:jc w:val="left"/>
        <w:rPr>
          <w:rFonts w:ascii="宋体" w:cs="宋体"/>
          <w:b/>
          <w:bCs/>
          <w:color w:val="auto"/>
          <w:szCs w:val="21"/>
          <w:highlight w:val="none"/>
        </w:rPr>
      </w:pPr>
      <w:bookmarkStart w:id="115" w:name="_Toc528927428"/>
      <w:r>
        <w:rPr>
          <w:rFonts w:ascii="宋体" w:hAnsi="宋体" w:cs="宋体"/>
          <w:b/>
          <w:bCs/>
          <w:color w:val="auto"/>
          <w:szCs w:val="21"/>
          <w:highlight w:val="none"/>
        </w:rPr>
        <w:t>3.</w:t>
      </w:r>
      <w:r>
        <w:rPr>
          <w:rFonts w:hint="eastAsia" w:ascii="宋体" w:hAnsi="宋体" w:cs="宋体"/>
          <w:b/>
          <w:bCs/>
          <w:color w:val="auto"/>
          <w:szCs w:val="21"/>
          <w:highlight w:val="none"/>
        </w:rPr>
        <w:t>详细评审</w:t>
      </w:r>
      <w:bookmarkEnd w:id="115"/>
    </w:p>
    <w:p w14:paraId="34BCD6D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评标委员会对初步评审合格的响应文件，依照本办法对技术、资信内容作进一步评审、比较。评标委员会成员经过阅标、审标和询标，对各供应商进行综合打分（分值均四舍五入，保留两位小数）。</w:t>
      </w:r>
    </w:p>
    <w:p w14:paraId="5AE5307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评委打分参照本章附表：</w:t>
      </w:r>
      <w:r>
        <w:rPr>
          <w:rFonts w:hint="eastAsia" w:ascii="宋体" w:hAnsi="宋体" w:cs="宋体"/>
          <w:color w:val="auto"/>
          <w:szCs w:val="21"/>
          <w:highlight w:val="none"/>
          <w:u w:val="single"/>
        </w:rPr>
        <w:t>评分标准表</w:t>
      </w:r>
      <w:r>
        <w:rPr>
          <w:rFonts w:hint="eastAsia" w:ascii="宋体" w:hAnsi="宋体" w:cs="宋体"/>
          <w:color w:val="auto"/>
          <w:szCs w:val="21"/>
          <w:highlight w:val="none"/>
        </w:rPr>
        <w:t>。</w:t>
      </w:r>
    </w:p>
    <w:p w14:paraId="51AF9721">
      <w:pPr>
        <w:spacing w:line="360" w:lineRule="auto"/>
        <w:ind w:firstLine="420" w:firstLineChars="200"/>
        <w:rPr>
          <w:rFonts w:ascii="宋体" w:cs="宋体"/>
          <w:color w:val="auto"/>
          <w:kern w:val="0"/>
          <w:szCs w:val="21"/>
          <w:highlight w:val="none"/>
          <w:lang w:val="zh-CN"/>
        </w:rPr>
      </w:pPr>
      <w:r>
        <w:rPr>
          <w:rFonts w:hint="eastAsia" w:ascii="宋体" w:hAnsi="宋体" w:cs="宋体"/>
          <w:color w:val="auto"/>
          <w:szCs w:val="21"/>
          <w:highlight w:val="none"/>
        </w:rPr>
        <w:t>其中技术资信部分由评标委员会成员根据各供应商的响应文件进行独立打分（小数点后保留一位小数）。</w:t>
      </w:r>
      <w:r>
        <w:rPr>
          <w:rFonts w:hint="eastAsia" w:ascii="宋体" w:hAnsi="宋体" w:cs="宋体"/>
          <w:color w:val="auto"/>
          <w:kern w:val="0"/>
          <w:szCs w:val="21"/>
          <w:highlight w:val="none"/>
          <w:lang w:val="zh-CN"/>
        </w:rPr>
        <w:t>各供应商商务资信技术文件得分按照评标委员会成员的独立评分结果汇总后的算术平均分计算，计算公式为：</w:t>
      </w:r>
    </w:p>
    <w:p w14:paraId="18941E2E">
      <w:pPr>
        <w:spacing w:line="360" w:lineRule="auto"/>
        <w:ind w:firstLine="422" w:firstLineChars="200"/>
        <w:rPr>
          <w:rFonts w:ascii="宋体" w:cs="宋体"/>
          <w:b/>
          <w:color w:val="auto"/>
          <w:kern w:val="0"/>
          <w:szCs w:val="21"/>
          <w:highlight w:val="none"/>
          <w:u w:val="single"/>
          <w:lang w:val="zh-CN"/>
        </w:rPr>
      </w:pPr>
      <w:r>
        <w:rPr>
          <w:rFonts w:hint="eastAsia" w:ascii="宋体" w:hAnsi="宋体" w:cs="宋体"/>
          <w:b/>
          <w:color w:val="auto"/>
          <w:kern w:val="0"/>
          <w:szCs w:val="21"/>
          <w:highlight w:val="none"/>
          <w:u w:val="single"/>
          <w:lang w:val="zh-CN"/>
        </w:rPr>
        <w:t>商务资信技术文件得分</w:t>
      </w:r>
      <w:r>
        <w:rPr>
          <w:rFonts w:ascii="宋体" w:hAnsi="宋体" w:cs="宋体"/>
          <w:b/>
          <w:color w:val="auto"/>
          <w:kern w:val="0"/>
          <w:szCs w:val="21"/>
          <w:highlight w:val="none"/>
          <w:u w:val="single"/>
          <w:lang w:val="zh-CN"/>
        </w:rPr>
        <w:t>=</w:t>
      </w:r>
      <w:r>
        <w:rPr>
          <w:rFonts w:hint="eastAsia" w:ascii="宋体" w:hAnsi="宋体" w:cs="宋体"/>
          <w:b/>
          <w:color w:val="auto"/>
          <w:kern w:val="0"/>
          <w:szCs w:val="21"/>
          <w:highlight w:val="none"/>
          <w:u w:val="single"/>
          <w:lang w:val="zh-CN"/>
        </w:rPr>
        <w:t>评标委员会所有成员评分合计数</w:t>
      </w:r>
      <w:r>
        <w:rPr>
          <w:rFonts w:ascii="宋体" w:hAnsi="宋体" w:cs="宋体"/>
          <w:b/>
          <w:color w:val="auto"/>
          <w:kern w:val="0"/>
          <w:szCs w:val="21"/>
          <w:highlight w:val="none"/>
          <w:u w:val="single"/>
          <w:lang w:val="zh-CN"/>
        </w:rPr>
        <w:t>/</w:t>
      </w:r>
      <w:r>
        <w:rPr>
          <w:rFonts w:hint="eastAsia" w:ascii="宋体" w:hAnsi="宋体" w:cs="宋体"/>
          <w:b/>
          <w:color w:val="auto"/>
          <w:kern w:val="0"/>
          <w:szCs w:val="21"/>
          <w:highlight w:val="none"/>
          <w:u w:val="single"/>
          <w:lang w:val="zh-CN"/>
        </w:rPr>
        <w:t>评标委员会组成人员数</w:t>
      </w:r>
      <w:r>
        <w:rPr>
          <w:rFonts w:ascii="宋体" w:hAnsi="宋体" w:cs="宋体"/>
          <w:b/>
          <w:color w:val="auto"/>
          <w:kern w:val="0"/>
          <w:szCs w:val="21"/>
          <w:highlight w:val="none"/>
          <w:u w:val="single"/>
          <w:lang w:val="zh-CN"/>
        </w:rPr>
        <w:t xml:space="preserve"> </w:t>
      </w:r>
    </w:p>
    <w:p w14:paraId="40F6EB3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如出现采购文件及评标办法未及事宜，由评标小组依据有关法律法规及规章执行并讨论确定。</w:t>
      </w:r>
    </w:p>
    <w:p w14:paraId="6991E5E0">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u w:val="single"/>
        </w:rPr>
        <w:t>注：</w:t>
      </w:r>
      <w:r>
        <w:rPr>
          <w:rFonts w:hint="eastAsia" w:ascii="宋体" w:hAnsi="宋体" w:cs="宋体"/>
          <w:color w:val="auto"/>
          <w:szCs w:val="21"/>
          <w:highlight w:val="none"/>
          <w:u w:val="single"/>
        </w:rPr>
        <w:t>评标委员会成员独立评审。评标委员会组长对拟认定为响应文件无效、供应商资格不符合的，应组织相关供应商代表进行陈述、澄清或申辩；代理机构可协助评标委员会对打分结果进行校对、核对并汇总统计；对明显畸高、畸低的评分（其总评分偏离平均分</w:t>
      </w:r>
      <w:r>
        <w:rPr>
          <w:rFonts w:ascii="宋体" w:hAnsi="宋体" w:cs="宋体"/>
          <w:color w:val="auto"/>
          <w:szCs w:val="21"/>
          <w:highlight w:val="none"/>
          <w:u w:val="single"/>
        </w:rPr>
        <w:t>30%</w:t>
      </w:r>
      <w:r>
        <w:rPr>
          <w:rFonts w:hint="eastAsia" w:ascii="宋体" w:hAnsi="宋体" w:cs="宋体"/>
          <w:color w:val="auto"/>
          <w:szCs w:val="21"/>
          <w:highlight w:val="none"/>
          <w:u w:val="single"/>
        </w:rPr>
        <w:t>以上的），评标委员会组长应提醒相关评标委员会成员进行复核或书面说明理由，评标委员会成员拒绝说明的，由现场监督员据实记录；评标委员会成员的评审、修改记录应保留原件，随项目其他资料一并存档。</w:t>
      </w:r>
      <w:r>
        <w:rPr>
          <w:rFonts w:hint="eastAsia" w:ascii="宋体" w:hAnsi="宋体" w:cs="宋体"/>
          <w:color w:val="auto"/>
          <w:szCs w:val="21"/>
          <w:highlight w:val="none"/>
        </w:rPr>
        <w:t>】</w:t>
      </w:r>
    </w:p>
    <w:p w14:paraId="6A0FC2EE">
      <w:pPr>
        <w:widowControl/>
        <w:spacing w:line="360" w:lineRule="auto"/>
        <w:ind w:firstLine="422" w:firstLineChars="200"/>
        <w:jc w:val="left"/>
        <w:rPr>
          <w:rFonts w:ascii="宋体" w:cs="宋体"/>
          <w:b/>
          <w:bCs/>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rPr>
        <w:t>评标总得分的确定（小数点后保留</w:t>
      </w:r>
      <w:r>
        <w:rPr>
          <w:rFonts w:ascii="宋体" w:hAnsi="宋体" w:cs="宋体"/>
          <w:b/>
          <w:bCs/>
          <w:color w:val="auto"/>
          <w:szCs w:val="21"/>
          <w:highlight w:val="none"/>
        </w:rPr>
        <w:t>2</w:t>
      </w:r>
      <w:r>
        <w:rPr>
          <w:rFonts w:hint="eastAsia" w:ascii="宋体" w:hAnsi="宋体" w:cs="宋体"/>
          <w:b/>
          <w:bCs/>
          <w:color w:val="auto"/>
          <w:szCs w:val="21"/>
          <w:highlight w:val="none"/>
        </w:rPr>
        <w:t>位，小数点后第</w:t>
      </w:r>
      <w:r>
        <w:rPr>
          <w:rFonts w:ascii="宋体" w:hAnsi="宋体" w:cs="宋体"/>
          <w:b/>
          <w:bCs/>
          <w:color w:val="auto"/>
          <w:szCs w:val="21"/>
          <w:highlight w:val="none"/>
        </w:rPr>
        <w:t>3</w:t>
      </w:r>
      <w:r>
        <w:rPr>
          <w:rFonts w:hint="eastAsia" w:ascii="宋体" w:hAnsi="宋体" w:cs="宋体"/>
          <w:b/>
          <w:bCs/>
          <w:color w:val="auto"/>
          <w:szCs w:val="21"/>
          <w:highlight w:val="none"/>
        </w:rPr>
        <w:t>位四舍五入）</w:t>
      </w:r>
    </w:p>
    <w:p w14:paraId="0A199D4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投标人的评标总得分＝价格分</w:t>
      </w:r>
      <w:r>
        <w:rPr>
          <w:rFonts w:ascii="宋体" w:hAnsi="宋体" w:cs="宋体"/>
          <w:color w:val="auto"/>
          <w:szCs w:val="21"/>
          <w:highlight w:val="none"/>
        </w:rPr>
        <w:t>+</w:t>
      </w:r>
      <w:r>
        <w:rPr>
          <w:rFonts w:hint="eastAsia" w:ascii="宋体" w:hAnsi="宋体" w:cs="宋体"/>
          <w:color w:val="auto"/>
          <w:szCs w:val="21"/>
          <w:highlight w:val="none"/>
        </w:rPr>
        <w:t>商务与技术分。</w:t>
      </w:r>
    </w:p>
    <w:p w14:paraId="2D8C2BBE">
      <w:pPr>
        <w:spacing w:line="360" w:lineRule="auto"/>
        <w:ind w:firstLine="422" w:firstLineChars="200"/>
        <w:rPr>
          <w:rFonts w:ascii="宋体" w:cs="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中标候选人的确定</w:t>
      </w:r>
    </w:p>
    <w:p w14:paraId="3FDCF45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评标委员会按评标总得分确定中标候选人，即总得分最高者为第一中标候选人、次高者为第二中标候选人。如出现总得分相同的，按照以下优先顺序确定中标候选人推荐次序：</w:t>
      </w:r>
    </w:p>
    <w:p w14:paraId="1050A6E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）投标报价低者；</w:t>
      </w:r>
    </w:p>
    <w:p w14:paraId="7E23901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）商务资信技术标得分高者；</w:t>
      </w:r>
    </w:p>
    <w:p w14:paraId="24E3C5A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）工期短者；</w:t>
      </w:r>
    </w:p>
    <w:p w14:paraId="65F9EEC2">
      <w:pPr>
        <w:spacing w:line="360" w:lineRule="auto"/>
        <w:ind w:firstLine="420" w:firstLineChars="200"/>
        <w:rPr>
          <w:color w:val="auto"/>
          <w:highlight w:val="none"/>
          <w:lang w:val="zh-CN"/>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）抽签确定。</w:t>
      </w:r>
    </w:p>
    <w:p w14:paraId="2980BC81">
      <w:pPr>
        <w:pStyle w:val="4"/>
        <w:numPr>
          <w:ilvl w:val="0"/>
          <w:numId w:val="11"/>
        </w:numPr>
        <w:spacing w:before="0" w:after="0" w:line="360" w:lineRule="auto"/>
        <w:jc w:val="left"/>
        <w:rPr>
          <w:rFonts w:hint="eastAsia" w:ascii="宋体" w:hAnsi="宋体" w:eastAsia="宋体" w:cs="宋体"/>
          <w:color w:val="auto"/>
          <w:sz w:val="21"/>
          <w:szCs w:val="21"/>
          <w:highlight w:val="none"/>
        </w:rPr>
      </w:pPr>
      <w:bookmarkStart w:id="116" w:name="_Toc7294"/>
      <w:r>
        <w:rPr>
          <w:rFonts w:hint="eastAsia" w:ascii="宋体" w:hAnsi="宋体" w:eastAsia="宋体" w:cs="宋体"/>
          <w:color w:val="auto"/>
          <w:sz w:val="21"/>
          <w:szCs w:val="21"/>
          <w:highlight w:val="none"/>
        </w:rPr>
        <w:t>重新评审</w:t>
      </w:r>
      <w:bookmarkEnd w:id="116"/>
      <w:r>
        <w:rPr>
          <w:rFonts w:ascii="宋体" w:hAnsi="宋体" w:eastAsia="宋体" w:cs="宋体"/>
          <w:color w:val="auto"/>
          <w:sz w:val="21"/>
          <w:szCs w:val="21"/>
          <w:highlight w:val="none"/>
        </w:rPr>
        <w:t xml:space="preserve"> </w:t>
      </w:r>
    </w:p>
    <w:p w14:paraId="0B5FB39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评审结果形成后，除下列情形外，任何人不得重新评审：</w:t>
      </w:r>
      <w:r>
        <w:rPr>
          <w:rFonts w:ascii="宋体" w:hAnsi="宋体" w:cs="宋体"/>
          <w:color w:val="auto"/>
          <w:szCs w:val="21"/>
          <w:highlight w:val="none"/>
        </w:rPr>
        <w:t xml:space="preserve"> </w:t>
      </w:r>
    </w:p>
    <w:p w14:paraId="64EE73A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（一）资格性检查认定错误；</w:t>
      </w:r>
      <w:r>
        <w:rPr>
          <w:rFonts w:ascii="宋体" w:hAnsi="宋体" w:cs="宋体"/>
          <w:color w:val="auto"/>
          <w:szCs w:val="21"/>
          <w:highlight w:val="none"/>
        </w:rPr>
        <w:t xml:space="preserve"> </w:t>
      </w:r>
    </w:p>
    <w:p w14:paraId="6A0F420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（二）分值汇总计算错误；</w:t>
      </w:r>
      <w:r>
        <w:rPr>
          <w:rFonts w:ascii="宋体" w:hAnsi="宋体" w:cs="宋体"/>
          <w:color w:val="auto"/>
          <w:szCs w:val="21"/>
          <w:highlight w:val="none"/>
        </w:rPr>
        <w:t xml:space="preserve"> </w:t>
      </w:r>
    </w:p>
    <w:p w14:paraId="13035C8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（三）分项评分超出评分标准范围；</w:t>
      </w:r>
      <w:r>
        <w:rPr>
          <w:rFonts w:ascii="宋体" w:hAnsi="宋体" w:cs="宋体"/>
          <w:color w:val="auto"/>
          <w:szCs w:val="21"/>
          <w:highlight w:val="none"/>
        </w:rPr>
        <w:t xml:space="preserve"> </w:t>
      </w:r>
    </w:p>
    <w:p w14:paraId="2FA5AA1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（四）客观分评分不一致；</w:t>
      </w:r>
      <w:r>
        <w:rPr>
          <w:rFonts w:ascii="宋体" w:hAnsi="宋体" w:cs="宋体"/>
          <w:color w:val="auto"/>
          <w:szCs w:val="21"/>
          <w:highlight w:val="none"/>
        </w:rPr>
        <w:t xml:space="preserve"> </w:t>
      </w:r>
    </w:p>
    <w:p w14:paraId="3D0275B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（五）经磋商小组一致认定评分畸高、畸低的情形。</w:t>
      </w:r>
    </w:p>
    <w:p w14:paraId="44812663">
      <w:pPr>
        <w:spacing w:line="360" w:lineRule="auto"/>
        <w:ind w:firstLine="420" w:firstLineChars="200"/>
        <w:rPr>
          <w:rFonts w:ascii="宋体" w:cs="宋体"/>
          <w:color w:val="auto"/>
          <w:szCs w:val="21"/>
          <w:highlight w:val="none"/>
          <w:lang w:val="zh-CN"/>
        </w:rPr>
        <w:sectPr>
          <w:pgSz w:w="11906" w:h="16838"/>
          <w:pgMar w:top="1440" w:right="1587" w:bottom="1440" w:left="1587" w:header="851" w:footer="992" w:gutter="0"/>
          <w:cols w:space="720" w:num="1"/>
          <w:docGrid w:type="lines" w:linePitch="312" w:charSpace="0"/>
        </w:sectPr>
      </w:pPr>
    </w:p>
    <w:p w14:paraId="218B20FD">
      <w:pPr>
        <w:spacing w:line="360" w:lineRule="auto"/>
        <w:rPr>
          <w:rFonts w:hint="eastAsia" w:ascii="宋体" w:hAnsi="宋体" w:cs="宋体"/>
          <w:color w:val="auto"/>
          <w:szCs w:val="21"/>
          <w:highlight w:val="none"/>
        </w:rPr>
      </w:pPr>
      <w:r>
        <w:rPr>
          <w:rFonts w:hint="eastAsia" w:ascii="宋体" w:hAnsi="宋体" w:cs="宋体"/>
          <w:b/>
          <w:color w:val="auto"/>
          <w:kern w:val="0"/>
          <w:szCs w:val="21"/>
          <w:highlight w:val="none"/>
          <w:lang w:val="zh-CN"/>
        </w:rPr>
        <w:t>附表：</w:t>
      </w:r>
      <w:r>
        <w:rPr>
          <w:rFonts w:hint="eastAsia" w:ascii="宋体" w:hAnsi="宋体" w:cs="宋体"/>
          <w:color w:val="auto"/>
          <w:szCs w:val="21"/>
          <w:highlight w:val="none"/>
        </w:rPr>
        <w:t>评分标准表</w:t>
      </w:r>
    </w:p>
    <w:tbl>
      <w:tblPr>
        <w:tblStyle w:val="28"/>
        <w:tblW w:w="10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94"/>
        <w:gridCol w:w="7353"/>
        <w:gridCol w:w="825"/>
      </w:tblGrid>
      <w:tr w14:paraId="20E2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640" w:type="dxa"/>
            <w:noWrap w:val="0"/>
            <w:vAlign w:val="center"/>
          </w:tcPr>
          <w:p w14:paraId="6CBF04A7">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94" w:type="dxa"/>
            <w:noWrap w:val="0"/>
            <w:vAlign w:val="center"/>
          </w:tcPr>
          <w:p w14:paraId="271E92BE">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7353" w:type="dxa"/>
            <w:noWrap w:val="0"/>
            <w:vAlign w:val="center"/>
          </w:tcPr>
          <w:p w14:paraId="2F11E96A">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25" w:type="dxa"/>
            <w:noWrap w:val="0"/>
            <w:vAlign w:val="center"/>
          </w:tcPr>
          <w:p w14:paraId="25BF9237">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1D6A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9187" w:type="dxa"/>
            <w:gridSpan w:val="3"/>
            <w:noWrap w:val="0"/>
            <w:vAlign w:val="center"/>
          </w:tcPr>
          <w:p w14:paraId="6D5C8322">
            <w:pPr>
              <w:pStyle w:val="23"/>
              <w:keepNext w:val="0"/>
              <w:keepLines w:val="0"/>
              <w:pageBreakBefore w:val="0"/>
              <w:kinsoku/>
              <w:wordWrap/>
              <w:overflowPunct/>
              <w:topLinePunct w:val="0"/>
              <w:autoSpaceDE/>
              <w:autoSpaceDN/>
              <w:bidi w:val="0"/>
              <w:spacing w:after="0" w:line="320" w:lineRule="exact"/>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bCs/>
                <w:color w:val="auto"/>
                <w:sz w:val="21"/>
                <w:szCs w:val="21"/>
                <w:highlight w:val="none"/>
              </w:rPr>
              <w:t>商务资信分</w:t>
            </w:r>
          </w:p>
        </w:tc>
        <w:tc>
          <w:tcPr>
            <w:tcW w:w="825" w:type="dxa"/>
            <w:noWrap w:val="0"/>
            <w:vAlign w:val="center"/>
          </w:tcPr>
          <w:p w14:paraId="498B5600">
            <w:pPr>
              <w:pStyle w:val="23"/>
              <w:keepNext w:val="0"/>
              <w:keepLines w:val="0"/>
              <w:pageBreakBefore w:val="0"/>
              <w:kinsoku/>
              <w:wordWrap/>
              <w:overflowPunct/>
              <w:topLinePunct w:val="0"/>
              <w:autoSpaceDE/>
              <w:autoSpaceDN/>
              <w:bidi w:val="0"/>
              <w:spacing w:after="0" w:line="320" w:lineRule="exact"/>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29</w:t>
            </w:r>
            <w:r>
              <w:rPr>
                <w:rFonts w:hint="eastAsia" w:ascii="宋体" w:hAnsi="宋体" w:eastAsia="宋体" w:cs="宋体"/>
                <w:b/>
                <w:color w:val="auto"/>
                <w:sz w:val="21"/>
                <w:szCs w:val="21"/>
                <w:highlight w:val="none"/>
              </w:rPr>
              <w:t>分</w:t>
            </w:r>
          </w:p>
        </w:tc>
      </w:tr>
      <w:tr w14:paraId="17C2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noWrap w:val="0"/>
            <w:vAlign w:val="center"/>
          </w:tcPr>
          <w:p w14:paraId="07A8E615">
            <w:pPr>
              <w:keepNext w:val="0"/>
              <w:keepLines w:val="0"/>
              <w:pageBreakBefore w:val="0"/>
              <w:widowControl/>
              <w:kinsoku/>
              <w:wordWrap/>
              <w:overflowPunct/>
              <w:topLinePunct w:val="0"/>
              <w:autoSpaceDE/>
              <w:autoSpaceDN/>
              <w:bidi w:val="0"/>
              <w:spacing w:line="32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194" w:type="dxa"/>
            <w:noWrap w:val="0"/>
            <w:vAlign w:val="center"/>
          </w:tcPr>
          <w:p w14:paraId="054B3137">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标书质量</w:t>
            </w:r>
          </w:p>
        </w:tc>
        <w:tc>
          <w:tcPr>
            <w:tcW w:w="7353" w:type="dxa"/>
            <w:noWrap w:val="0"/>
            <w:vAlign w:val="center"/>
          </w:tcPr>
          <w:p w14:paraId="2EEE9EB9">
            <w:pPr>
              <w:keepNext w:val="0"/>
              <w:keepLines w:val="0"/>
              <w:pageBreakBefore w:val="0"/>
              <w:kinsoku/>
              <w:wordWrap/>
              <w:overflowPunct/>
              <w:topLinePunct w:val="0"/>
              <w:autoSpaceDE/>
              <w:autoSpaceDN/>
              <w:bidi w:val="0"/>
              <w:snapToGrid w:val="0"/>
              <w:spacing w:line="32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根据投标文件编制的完整性、投标文件关联点设置是否定位准确、投标文件内容简洁明确程度及针对性等情况酌情评分，对于各个评分指标，投标人应阐述明确，最高得2分；</w:t>
            </w:r>
          </w:p>
          <w:p w14:paraId="49115CCB">
            <w:pPr>
              <w:keepNext w:val="0"/>
              <w:keepLines w:val="0"/>
              <w:pageBreakBefore w:val="0"/>
              <w:kinsoku/>
              <w:wordWrap/>
              <w:overflowPunct/>
              <w:topLinePunct w:val="0"/>
              <w:autoSpaceDE/>
              <w:autoSpaceDN/>
              <w:bidi w:val="0"/>
              <w:snapToGrid w:val="0"/>
              <w:spacing w:line="320" w:lineRule="exact"/>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注：标书应条理清晰，严格按照投标文件的顺序响应，若投标文件中出现内容顺序混乱、前后矛盾、或与招标文件要求不一致，该项由评委酌情</w:t>
            </w:r>
            <w:r>
              <w:rPr>
                <w:rFonts w:hint="eastAsia" w:ascii="宋体" w:hAnsi="宋体" w:eastAsia="宋体" w:cs="宋体"/>
                <w:b/>
                <w:color w:val="auto"/>
                <w:sz w:val="21"/>
                <w:szCs w:val="21"/>
                <w:highlight w:val="none"/>
                <w:lang w:bidi="ar"/>
              </w:rPr>
              <w:t>评分</w:t>
            </w:r>
            <w:r>
              <w:rPr>
                <w:rFonts w:hint="eastAsia" w:ascii="宋体" w:hAnsi="宋体" w:eastAsia="宋体" w:cs="宋体"/>
                <w:b/>
                <w:bCs/>
                <w:color w:val="auto"/>
                <w:sz w:val="21"/>
                <w:szCs w:val="21"/>
                <w:highlight w:val="none"/>
              </w:rPr>
              <w:t>。</w:t>
            </w:r>
          </w:p>
        </w:tc>
        <w:tc>
          <w:tcPr>
            <w:tcW w:w="825" w:type="dxa"/>
            <w:noWrap w:val="0"/>
            <w:vAlign w:val="center"/>
          </w:tcPr>
          <w:p w14:paraId="5B3891FA">
            <w:pPr>
              <w:pStyle w:val="23"/>
              <w:keepNext w:val="0"/>
              <w:keepLines w:val="0"/>
              <w:pageBreakBefore w:val="0"/>
              <w:kinsoku/>
              <w:wordWrap/>
              <w:overflowPunct/>
              <w:topLinePunct w:val="0"/>
              <w:autoSpaceDE/>
              <w:autoSpaceDN/>
              <w:bidi w:val="0"/>
              <w:spacing w:after="0" w:line="32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p>
        </w:tc>
      </w:tr>
      <w:tr w14:paraId="7869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noWrap w:val="0"/>
            <w:vAlign w:val="center"/>
          </w:tcPr>
          <w:p w14:paraId="244651AA">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1194" w:type="dxa"/>
            <w:noWrap w:val="0"/>
            <w:vAlign w:val="center"/>
          </w:tcPr>
          <w:p w14:paraId="2C7BCC84">
            <w:pPr>
              <w:pStyle w:val="23"/>
              <w:keepNext w:val="0"/>
              <w:keepLines w:val="0"/>
              <w:pageBreakBefore w:val="0"/>
              <w:kinsoku/>
              <w:wordWrap/>
              <w:overflowPunct/>
              <w:topLinePunct w:val="0"/>
              <w:autoSpaceDE/>
              <w:autoSpaceDN/>
              <w:bidi w:val="0"/>
              <w:spacing w:after="0" w:line="320" w:lineRule="exact"/>
              <w:ind w:left="0" w:leftChars="0"/>
              <w:jc w:val="center"/>
              <w:rPr>
                <w:rFonts w:hint="eastAsia" w:ascii="宋体" w:hAnsi="宋体" w:eastAsia="宋体" w:cs="宋体"/>
                <w:bCs/>
                <w:color w:val="auto"/>
                <w:sz w:val="21"/>
                <w:szCs w:val="21"/>
                <w:highlight w:val="none"/>
              </w:rPr>
            </w:pPr>
            <w:r>
              <w:rPr>
                <w:rFonts w:hint="eastAsia" w:ascii="宋体"/>
                <w:bCs/>
                <w:color w:val="000000"/>
                <w:sz w:val="21"/>
                <w:szCs w:val="21"/>
              </w:rPr>
              <w:t>认证证书</w:t>
            </w:r>
          </w:p>
        </w:tc>
        <w:tc>
          <w:tcPr>
            <w:tcW w:w="7353" w:type="dxa"/>
            <w:noWrap w:val="0"/>
            <w:vAlign w:val="center"/>
          </w:tcPr>
          <w:p w14:paraId="5F476BF5">
            <w:pPr>
              <w:pStyle w:val="23"/>
              <w:keepNext w:val="0"/>
              <w:keepLines w:val="0"/>
              <w:pageBreakBefore w:val="0"/>
              <w:widowControl w:val="0"/>
              <w:kinsoku/>
              <w:wordWrap/>
              <w:overflowPunct/>
              <w:topLinePunct w:val="0"/>
              <w:autoSpaceDE/>
              <w:autoSpaceDN/>
              <w:bidi w:val="0"/>
              <w:adjustRightInd/>
              <w:snapToGrid/>
              <w:spacing w:after="0" w:line="320" w:lineRule="exact"/>
              <w:ind w:left="0" w:leftChars="0"/>
              <w:jc w:val="left"/>
              <w:textAlignment w:val="auto"/>
              <w:rPr>
                <w:rFonts w:hint="eastAsia" w:ascii="宋体" w:hAnsi="宋体" w:eastAsia="宋体" w:cs="宋体"/>
                <w:bCs/>
                <w:sz w:val="21"/>
                <w:szCs w:val="21"/>
              </w:rPr>
            </w:pPr>
            <w:r>
              <w:rPr>
                <w:rFonts w:hint="eastAsia" w:ascii="宋体" w:hAnsi="宋体" w:eastAsia="宋体" w:cs="宋体"/>
                <w:bCs/>
                <w:sz w:val="21"/>
                <w:szCs w:val="21"/>
              </w:rPr>
              <w:t>供应商具备有效期内的《质量管理体系认证》、《环境管理体系认证》、《职业健康安全管理体系认证》，且认证范围里有与本项目实施相关内容的，每有一个认证证书的得1分，最高3分。</w:t>
            </w:r>
          </w:p>
          <w:p w14:paraId="4E5BD50D">
            <w:pPr>
              <w:pStyle w:val="23"/>
              <w:keepNext w:val="0"/>
              <w:keepLines w:val="0"/>
              <w:pageBreakBefore w:val="0"/>
              <w:widowControl w:val="0"/>
              <w:kinsoku/>
              <w:wordWrap/>
              <w:overflowPunct/>
              <w:topLinePunct w:val="0"/>
              <w:autoSpaceDE/>
              <w:autoSpaceDN/>
              <w:bidi w:val="0"/>
              <w:adjustRightInd/>
              <w:snapToGrid/>
              <w:spacing w:after="0" w:line="320" w:lineRule="exact"/>
              <w:ind w:left="0" w:lef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sz w:val="21"/>
                <w:szCs w:val="21"/>
              </w:rPr>
              <w:t>注：提供以上有效证书原件扫描件且证书在全国认证认可信息公共服务平台(http://cx.cnca.cn/CertECloud/result/skipResultList)上证书状态为“有效”的查询结果网页截图打印件（时间为投标截止日前一星期内），否则不得分。</w:t>
            </w:r>
          </w:p>
        </w:tc>
        <w:tc>
          <w:tcPr>
            <w:tcW w:w="825" w:type="dxa"/>
            <w:noWrap w:val="0"/>
            <w:vAlign w:val="center"/>
          </w:tcPr>
          <w:p w14:paraId="769D449C">
            <w:pPr>
              <w:pStyle w:val="23"/>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000000"/>
                <w:sz w:val="21"/>
                <w:szCs w:val="21"/>
              </w:rPr>
              <w:t>3</w:t>
            </w:r>
          </w:p>
        </w:tc>
      </w:tr>
      <w:tr w14:paraId="350D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noWrap w:val="0"/>
            <w:vAlign w:val="center"/>
          </w:tcPr>
          <w:p w14:paraId="3A22FEED">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3</w:t>
            </w:r>
          </w:p>
        </w:tc>
        <w:tc>
          <w:tcPr>
            <w:tcW w:w="1194" w:type="dxa"/>
            <w:noWrap w:val="0"/>
            <w:vAlign w:val="center"/>
          </w:tcPr>
          <w:p w14:paraId="3373ED32">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项目业绩</w:t>
            </w:r>
          </w:p>
        </w:tc>
        <w:tc>
          <w:tcPr>
            <w:tcW w:w="7353" w:type="dxa"/>
            <w:noWrap w:val="0"/>
            <w:vAlign w:val="center"/>
          </w:tcPr>
          <w:p w14:paraId="7638DFEC">
            <w:pPr>
              <w:keepNext w:val="0"/>
              <w:keepLines w:val="0"/>
              <w:pageBreakBefore w:val="0"/>
              <w:kinsoku/>
              <w:wordWrap/>
              <w:overflowPunct/>
              <w:topLinePunct w:val="0"/>
              <w:autoSpaceDE/>
              <w:autoSpaceDN/>
              <w:bidi w:val="0"/>
              <w:spacing w:line="320" w:lineRule="exact"/>
              <w:ind w:left="0" w:leftChars="0" w:right="0" w:right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自202</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年1月1日以来，</w:t>
            </w:r>
            <w:r>
              <w:rPr>
                <w:rFonts w:hint="eastAsia" w:ascii="宋体" w:hAnsi="宋体" w:eastAsia="宋体" w:cs="宋体"/>
                <w:bCs/>
                <w:color w:val="auto"/>
                <w:sz w:val="21"/>
                <w:szCs w:val="21"/>
                <w:highlight w:val="none"/>
              </w:rPr>
              <w:t>完成过</w:t>
            </w:r>
            <w:r>
              <w:rPr>
                <w:rFonts w:hint="eastAsia" w:ascii="宋体" w:hAnsi="宋体" w:eastAsia="宋体" w:cs="宋体"/>
                <w:bCs/>
                <w:color w:val="auto"/>
                <w:sz w:val="21"/>
                <w:szCs w:val="21"/>
                <w:highlight w:val="none"/>
                <w:lang w:val="en-US" w:eastAsia="zh-CN"/>
              </w:rPr>
              <w:t>其他类似</w:t>
            </w:r>
            <w:r>
              <w:rPr>
                <w:rFonts w:hint="eastAsia" w:ascii="宋体" w:hAnsi="宋体" w:eastAsia="宋体" w:cs="宋体"/>
                <w:bCs/>
                <w:color w:val="auto"/>
                <w:sz w:val="21"/>
                <w:szCs w:val="21"/>
                <w:highlight w:val="none"/>
              </w:rPr>
              <w:t>项目业绩的，每提供一个得1</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rPr>
              <w:t>；累计最高得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6657D3B4">
            <w:pPr>
              <w:keepNext w:val="0"/>
              <w:keepLines w:val="0"/>
              <w:pageBreakBefore w:val="0"/>
              <w:kinsoku/>
              <w:wordWrap/>
              <w:overflowPunct/>
              <w:topLinePunct w:val="0"/>
              <w:autoSpaceDE/>
              <w:autoSpaceDN/>
              <w:bidi w:val="0"/>
              <w:spacing w:line="320" w:lineRule="exact"/>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注：须同时提供（1）合同扫描件或复印件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（2）中标通知书扫描件或复印件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（3）项目竣工</w:t>
            </w:r>
            <w:r>
              <w:rPr>
                <w:rFonts w:hint="eastAsia" w:ascii="宋体" w:hAnsi="宋体" w:eastAsia="宋体" w:cs="宋体"/>
                <w:b/>
                <w:color w:val="auto"/>
                <w:sz w:val="21"/>
                <w:szCs w:val="21"/>
                <w:highlight w:val="none"/>
                <w:lang w:eastAsia="zh-CN"/>
              </w:rPr>
              <w:t>（完工）</w:t>
            </w:r>
            <w:r>
              <w:rPr>
                <w:rFonts w:hint="eastAsia" w:ascii="宋体" w:hAnsi="宋体" w:eastAsia="宋体" w:cs="宋体"/>
                <w:b/>
                <w:color w:val="auto"/>
                <w:sz w:val="21"/>
                <w:szCs w:val="21"/>
                <w:highlight w:val="none"/>
              </w:rPr>
              <w:t>验收证</w:t>
            </w:r>
            <w:r>
              <w:rPr>
                <w:rFonts w:hint="eastAsia" w:ascii="宋体" w:hAnsi="宋体" w:eastAsia="宋体" w:cs="宋体"/>
                <w:b/>
                <w:color w:val="auto"/>
                <w:sz w:val="21"/>
                <w:szCs w:val="21"/>
                <w:highlight w:val="none"/>
                <w:lang w:eastAsia="zh-CN"/>
              </w:rPr>
              <w:t>书。</w:t>
            </w:r>
            <w:r>
              <w:rPr>
                <w:rFonts w:hint="eastAsia" w:ascii="宋体" w:hAnsi="宋体" w:eastAsia="宋体" w:cs="宋体"/>
                <w:b/>
                <w:color w:val="auto"/>
                <w:sz w:val="21"/>
                <w:szCs w:val="21"/>
                <w:highlight w:val="none"/>
              </w:rPr>
              <w:t>时间以验收</w:t>
            </w:r>
            <w:r>
              <w:rPr>
                <w:rFonts w:hint="eastAsia" w:ascii="宋体" w:hAnsi="宋体" w:eastAsia="宋体" w:cs="宋体"/>
                <w:b/>
                <w:color w:val="auto"/>
                <w:sz w:val="21"/>
                <w:szCs w:val="21"/>
                <w:highlight w:val="none"/>
                <w:lang w:eastAsia="zh-CN"/>
              </w:rPr>
              <w:t>证书</w:t>
            </w:r>
            <w:r>
              <w:rPr>
                <w:rFonts w:hint="eastAsia" w:ascii="宋体" w:hAnsi="宋体" w:eastAsia="宋体" w:cs="宋体"/>
                <w:b/>
                <w:color w:val="auto"/>
                <w:sz w:val="21"/>
                <w:szCs w:val="21"/>
                <w:highlight w:val="none"/>
              </w:rPr>
              <w:t>时间为准</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 xml:space="preserve">提供的验收资料能清晰表明验收时间，否则不得分。          </w:t>
            </w:r>
          </w:p>
        </w:tc>
        <w:tc>
          <w:tcPr>
            <w:tcW w:w="825" w:type="dxa"/>
            <w:noWrap w:val="0"/>
            <w:vAlign w:val="center"/>
          </w:tcPr>
          <w:p w14:paraId="2A88F971">
            <w:pPr>
              <w:pStyle w:val="23"/>
              <w:keepNext w:val="0"/>
              <w:keepLines w:val="0"/>
              <w:pageBreakBefore w:val="0"/>
              <w:kinsoku/>
              <w:wordWrap/>
              <w:overflowPunct/>
              <w:topLinePunct w:val="0"/>
              <w:autoSpaceDE/>
              <w:autoSpaceDN/>
              <w:bidi w:val="0"/>
              <w:spacing w:after="0" w:line="320" w:lineRule="exact"/>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val="en-US" w:eastAsia="zh-CN"/>
              </w:rPr>
              <w:t>2</w:t>
            </w:r>
          </w:p>
        </w:tc>
      </w:tr>
      <w:tr w14:paraId="6EC8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vMerge w:val="restart"/>
            <w:noWrap w:val="0"/>
            <w:vAlign w:val="center"/>
          </w:tcPr>
          <w:p w14:paraId="0198CA7E">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4</w:t>
            </w:r>
          </w:p>
        </w:tc>
        <w:tc>
          <w:tcPr>
            <w:tcW w:w="1194" w:type="dxa"/>
            <w:vMerge w:val="restart"/>
            <w:noWrap w:val="0"/>
            <w:vAlign w:val="center"/>
          </w:tcPr>
          <w:p w14:paraId="334261A8">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项目管理班子配备情况</w:t>
            </w:r>
          </w:p>
        </w:tc>
        <w:tc>
          <w:tcPr>
            <w:tcW w:w="7353" w:type="dxa"/>
            <w:noWrap w:val="0"/>
            <w:vAlign w:val="center"/>
          </w:tcPr>
          <w:p w14:paraId="7C7A9773">
            <w:pPr>
              <w:keepNext w:val="0"/>
              <w:keepLines w:val="0"/>
              <w:pageBreakBefore w:val="0"/>
              <w:kinsoku/>
              <w:wordWrap/>
              <w:overflowPunct/>
              <w:topLinePunct w:val="0"/>
              <w:autoSpaceDE/>
              <w:autoSpaceDN/>
              <w:bidi w:val="0"/>
              <w:spacing w:line="320" w:lineRule="exact"/>
              <w:rPr>
                <w:rFonts w:ascii="宋体" w:hAnsi="宋体" w:cs="宋体"/>
                <w:bCs/>
                <w:szCs w:val="21"/>
                <w:highlight w:val="none"/>
              </w:rPr>
            </w:pPr>
            <w:r>
              <w:rPr>
                <w:rFonts w:hint="eastAsia" w:ascii="宋体" w:hAnsi="宋体" w:cs="宋体"/>
                <w:bCs/>
                <w:szCs w:val="21"/>
                <w:highlight w:val="none"/>
              </w:rPr>
              <w:t>项目管理班子的人员配备情况（项目负责人和技术负责人除外），配备本项目安全员、施工员</w:t>
            </w:r>
            <w:r>
              <w:rPr>
                <w:rFonts w:hint="eastAsia" w:ascii="宋体" w:hAnsi="宋体" w:cs="宋体"/>
                <w:bCs/>
                <w:szCs w:val="21"/>
                <w:highlight w:val="none"/>
                <w:lang w:val="en-US" w:eastAsia="zh-CN"/>
              </w:rPr>
              <w:t>（土建）</w:t>
            </w:r>
            <w:r>
              <w:rPr>
                <w:rFonts w:hint="eastAsia" w:ascii="宋体" w:hAnsi="宋体" w:cs="宋体"/>
                <w:bCs/>
                <w:szCs w:val="21"/>
                <w:highlight w:val="none"/>
              </w:rPr>
              <w:t>、质量员</w:t>
            </w:r>
            <w:r>
              <w:rPr>
                <w:rFonts w:hint="eastAsia" w:ascii="宋体" w:hAnsi="宋体" w:cs="宋体"/>
                <w:bCs/>
                <w:szCs w:val="21"/>
                <w:highlight w:val="none"/>
                <w:lang w:val="en-US" w:eastAsia="zh-CN"/>
              </w:rPr>
              <w:t>（土建）</w:t>
            </w:r>
            <w:r>
              <w:rPr>
                <w:rFonts w:hint="eastAsia" w:ascii="宋体" w:hAnsi="宋体" w:cs="宋体"/>
                <w:bCs/>
                <w:szCs w:val="21"/>
                <w:highlight w:val="none"/>
              </w:rPr>
              <w:t>、材料员、机械员，每提供一个得1分。每个岗位只计一次且不得兼岗，本项最高得</w:t>
            </w:r>
            <w:r>
              <w:rPr>
                <w:rFonts w:hint="eastAsia" w:ascii="宋体" w:hAnsi="宋体" w:cs="宋体"/>
                <w:bCs/>
                <w:szCs w:val="21"/>
                <w:highlight w:val="none"/>
                <w:lang w:val="en-US" w:eastAsia="zh-CN"/>
              </w:rPr>
              <w:t>5</w:t>
            </w:r>
            <w:r>
              <w:rPr>
                <w:rFonts w:hint="eastAsia" w:ascii="宋体" w:hAnsi="宋体" w:cs="宋体"/>
                <w:bCs/>
                <w:szCs w:val="21"/>
                <w:highlight w:val="none"/>
              </w:rPr>
              <w:t>分。</w:t>
            </w:r>
          </w:p>
          <w:p w14:paraId="6BA378CC">
            <w:pPr>
              <w:pStyle w:val="10"/>
              <w:keepNext w:val="0"/>
              <w:keepLines w:val="0"/>
              <w:pageBreakBefore w:val="0"/>
              <w:kinsoku/>
              <w:wordWrap/>
              <w:overflowPunct/>
              <w:topLinePunct w:val="0"/>
              <w:autoSpaceDE/>
              <w:autoSpaceDN/>
              <w:bidi w:val="0"/>
              <w:spacing w:after="0" w:line="320" w:lineRule="exact"/>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cs="宋体"/>
                <w:szCs w:val="21"/>
                <w:highlight w:val="none"/>
              </w:rPr>
              <w:t>注：提供项目管理班子有效证书或其他相关证明材料复印件（安全员可提供施工现场安全生产专职管理人员“C类证书”）及投标截止时间前3个月在本单位社保缴纳证明复印件编入</w:t>
            </w:r>
            <w:r>
              <w:rPr>
                <w:rFonts w:hint="eastAsia" w:ascii="宋体" w:hAnsi="宋体" w:cs="宋体"/>
                <w:szCs w:val="21"/>
                <w:highlight w:val="none"/>
                <w:lang w:val="zh-CN"/>
              </w:rPr>
              <w:t>商务与技术文件中</w:t>
            </w:r>
            <w:r>
              <w:rPr>
                <w:rFonts w:hint="eastAsia" w:ascii="宋体" w:hAnsi="宋体" w:cs="宋体"/>
                <w:szCs w:val="21"/>
                <w:highlight w:val="none"/>
              </w:rPr>
              <w:t>，否则不得分。</w:t>
            </w:r>
          </w:p>
        </w:tc>
        <w:tc>
          <w:tcPr>
            <w:tcW w:w="825" w:type="dxa"/>
            <w:noWrap w:val="0"/>
            <w:vAlign w:val="center"/>
          </w:tcPr>
          <w:p w14:paraId="0E7E95D6">
            <w:pPr>
              <w:pStyle w:val="23"/>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5</w:t>
            </w:r>
          </w:p>
        </w:tc>
      </w:tr>
      <w:tr w14:paraId="1C4B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640" w:type="dxa"/>
            <w:vMerge w:val="continue"/>
            <w:noWrap w:val="0"/>
            <w:vAlign w:val="center"/>
          </w:tcPr>
          <w:p w14:paraId="3A8FCEF4">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p>
        </w:tc>
        <w:tc>
          <w:tcPr>
            <w:tcW w:w="1194" w:type="dxa"/>
            <w:vMerge w:val="continue"/>
            <w:noWrap w:val="0"/>
            <w:vAlign w:val="center"/>
          </w:tcPr>
          <w:p w14:paraId="138F4BAE">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p>
        </w:tc>
        <w:tc>
          <w:tcPr>
            <w:tcW w:w="7353" w:type="dxa"/>
            <w:tcBorders>
              <w:left w:val="single" w:color="auto" w:sz="4" w:space="0"/>
            </w:tcBorders>
            <w:noWrap w:val="0"/>
            <w:vAlign w:val="center"/>
          </w:tcPr>
          <w:p w14:paraId="5ACBA5F0">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bidi="ar"/>
              </w:rPr>
              <w:t>拟派本</w:t>
            </w:r>
            <w:r>
              <w:rPr>
                <w:rFonts w:hint="eastAsia" w:ascii="宋体" w:hAnsi="宋体" w:eastAsia="宋体" w:cs="宋体"/>
                <w:color w:val="auto"/>
                <w:sz w:val="21"/>
                <w:szCs w:val="21"/>
                <w:highlight w:val="none"/>
              </w:rPr>
              <w:t>技术负责人具有建筑工程相关专业二级注册建造师及以上的，得2分；</w:t>
            </w:r>
          </w:p>
          <w:p w14:paraId="6B05F2A7">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宋体" w:hAnsi="宋体" w:eastAsia="宋体" w:cs="宋体"/>
                <w:bCs/>
                <w:color w:val="auto"/>
                <w:sz w:val="21"/>
                <w:szCs w:val="21"/>
                <w:highlight w:val="none"/>
                <w:lang w:bidi="ar"/>
              </w:rPr>
            </w:pPr>
            <w:r>
              <w:rPr>
                <w:rFonts w:hint="eastAsia" w:ascii="宋体" w:hAnsi="宋体" w:eastAsia="宋体" w:cs="宋体"/>
                <w:color w:val="auto"/>
                <w:sz w:val="21"/>
                <w:szCs w:val="21"/>
                <w:highlight w:val="none"/>
              </w:rPr>
              <w:t>具有建筑工程相关专业中级工程师</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以上职称的得2分，本项最高得4分。</w:t>
            </w:r>
          </w:p>
          <w:p w14:paraId="78FD0790">
            <w:pPr>
              <w:pStyle w:val="11"/>
              <w:keepNext w:val="0"/>
              <w:keepLines w:val="0"/>
              <w:pageBreakBefore w:val="0"/>
              <w:kinsoku/>
              <w:wordWrap/>
              <w:overflowPunct/>
              <w:topLinePunct w:val="0"/>
              <w:autoSpaceDE/>
              <w:autoSpaceDN/>
              <w:bidi w:val="0"/>
              <w:spacing w:line="32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注：提供证书复印件及投标截止时间前3个月内任意一个月的在本单位社保缴纳证明复印件编入</w:t>
            </w:r>
            <w:r>
              <w:rPr>
                <w:rFonts w:hint="eastAsia" w:ascii="宋体" w:hAnsi="宋体" w:eastAsia="宋体" w:cs="宋体"/>
                <w:b/>
                <w:color w:val="auto"/>
                <w:sz w:val="21"/>
                <w:szCs w:val="21"/>
                <w:highlight w:val="none"/>
                <w:lang w:val="zh-CN"/>
              </w:rPr>
              <w:t>商务与技术文件中</w:t>
            </w:r>
            <w:r>
              <w:rPr>
                <w:rFonts w:hint="eastAsia" w:ascii="宋体" w:hAnsi="宋体" w:eastAsia="宋体" w:cs="宋体"/>
                <w:b/>
                <w:color w:val="auto"/>
                <w:sz w:val="21"/>
                <w:szCs w:val="21"/>
                <w:highlight w:val="none"/>
              </w:rPr>
              <w:t>，</w:t>
            </w:r>
            <w:bookmarkStart w:id="117" w:name="OLE_LINK4"/>
            <w:r>
              <w:rPr>
                <w:rFonts w:hint="eastAsia" w:ascii="宋体" w:hAnsi="宋体" w:eastAsia="宋体" w:cs="宋体"/>
                <w:b/>
                <w:color w:val="auto"/>
                <w:sz w:val="21"/>
                <w:szCs w:val="21"/>
                <w:highlight w:val="none"/>
                <w:lang w:val="zh-CN"/>
              </w:rPr>
              <w:t>无社保的退休人员须提供与供应商签订的劳动合同，</w:t>
            </w:r>
            <w:r>
              <w:rPr>
                <w:rFonts w:hint="eastAsia" w:ascii="宋体" w:hAnsi="宋体" w:eastAsia="宋体" w:cs="宋体"/>
                <w:b/>
                <w:color w:val="auto"/>
                <w:sz w:val="21"/>
                <w:szCs w:val="21"/>
                <w:highlight w:val="none"/>
              </w:rPr>
              <w:t>工程师及以上职称须附证书核验网址（如：xx省专业技术人才职称管理平台http://...）及投标截止日前30日内的官网查询截图</w:t>
            </w:r>
            <w:r>
              <w:rPr>
                <w:rFonts w:hint="eastAsia" w:ascii="宋体" w:hAnsi="宋体" w:eastAsia="宋体" w:cs="宋体"/>
                <w:b/>
                <w:color w:val="auto"/>
                <w:sz w:val="21"/>
                <w:szCs w:val="21"/>
                <w:highlight w:val="none"/>
                <w:lang w:eastAsia="zh-CN"/>
              </w:rPr>
              <w:t>，</w:t>
            </w:r>
            <w:bookmarkEnd w:id="117"/>
            <w:r>
              <w:rPr>
                <w:rFonts w:hint="eastAsia" w:ascii="宋体" w:hAnsi="宋体" w:eastAsia="宋体" w:cs="宋体"/>
                <w:b/>
                <w:color w:val="auto"/>
                <w:sz w:val="21"/>
                <w:szCs w:val="21"/>
                <w:highlight w:val="none"/>
              </w:rPr>
              <w:t>否则不得分。</w:t>
            </w:r>
          </w:p>
        </w:tc>
        <w:tc>
          <w:tcPr>
            <w:tcW w:w="825" w:type="dxa"/>
            <w:noWrap w:val="0"/>
            <w:vAlign w:val="center"/>
          </w:tcPr>
          <w:p w14:paraId="75A0AE19">
            <w:pPr>
              <w:pStyle w:val="23"/>
              <w:keepNext w:val="0"/>
              <w:keepLines w:val="0"/>
              <w:pageBreakBefore w:val="0"/>
              <w:widowControl w:val="0"/>
              <w:kinsoku/>
              <w:wordWrap/>
              <w:overflowPunct/>
              <w:topLinePunct w:val="0"/>
              <w:autoSpaceDE/>
              <w:autoSpaceDN/>
              <w:bidi w:val="0"/>
              <w:adjustRightInd/>
              <w:snapToGrid/>
              <w:spacing w:after="0" w:line="320" w:lineRule="exact"/>
              <w:ind w:left="0" w:leftChars="0"/>
              <w:jc w:val="center"/>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4</w:t>
            </w:r>
          </w:p>
        </w:tc>
      </w:tr>
      <w:tr w14:paraId="70BC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640" w:type="dxa"/>
            <w:vMerge w:val="continue"/>
            <w:noWrap w:val="0"/>
            <w:vAlign w:val="center"/>
          </w:tcPr>
          <w:p w14:paraId="17D50155">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p>
        </w:tc>
        <w:tc>
          <w:tcPr>
            <w:tcW w:w="1194" w:type="dxa"/>
            <w:vMerge w:val="continue"/>
            <w:noWrap w:val="0"/>
            <w:vAlign w:val="center"/>
          </w:tcPr>
          <w:p w14:paraId="26550CAA">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p>
        </w:tc>
        <w:tc>
          <w:tcPr>
            <w:tcW w:w="7353" w:type="dxa"/>
            <w:tcBorders>
              <w:left w:val="single" w:color="auto" w:sz="4" w:space="0"/>
            </w:tcBorders>
            <w:noWrap w:val="0"/>
            <w:vAlign w:val="center"/>
          </w:tcPr>
          <w:p w14:paraId="3E50937E">
            <w:pPr>
              <w:keepNext w:val="0"/>
              <w:keepLines w:val="0"/>
              <w:pageBreakBefore w:val="0"/>
              <w:kinsoku/>
              <w:wordWrap/>
              <w:overflowPunct/>
              <w:topLinePunct w:val="0"/>
              <w:autoSpaceDE/>
              <w:autoSpaceDN/>
              <w:bidi w:val="0"/>
              <w:spacing w:line="320" w:lineRule="exact"/>
              <w:ind w:left="0" w:leftChars="0" w:right="0" w:rightChars="0"/>
              <w:textAlignment w:val="auto"/>
              <w:rPr>
                <w:rFonts w:hint="eastAsia" w:ascii="宋体" w:hAnsi="宋体" w:eastAsia="宋体" w:cs="宋体"/>
                <w:bCs/>
                <w:color w:val="auto"/>
                <w:sz w:val="21"/>
                <w:szCs w:val="21"/>
                <w:highlight w:val="none"/>
                <w:lang w:eastAsia="zh-CN" w:bidi="ar"/>
              </w:rPr>
            </w:pPr>
            <w:r>
              <w:rPr>
                <w:rFonts w:hint="eastAsia" w:ascii="宋体" w:hAnsi="宋体" w:eastAsia="宋体" w:cs="宋体"/>
                <w:bCs/>
                <w:color w:val="auto"/>
                <w:sz w:val="21"/>
                <w:szCs w:val="21"/>
                <w:highlight w:val="none"/>
                <w:lang w:bidi="ar"/>
              </w:rPr>
              <w:t>拟派本</w:t>
            </w:r>
            <w:r>
              <w:rPr>
                <w:rFonts w:hint="eastAsia" w:ascii="宋体" w:hAnsi="宋体" w:eastAsia="宋体" w:cs="宋体"/>
                <w:color w:val="auto"/>
                <w:sz w:val="21"/>
                <w:szCs w:val="21"/>
                <w:highlight w:val="none"/>
                <w:lang w:val="en-US" w:eastAsia="zh-CN"/>
              </w:rPr>
              <w:t>项目组成员（项目技术负责人除外）</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建筑工程</w:t>
            </w:r>
            <w:r>
              <w:rPr>
                <w:rFonts w:hint="eastAsia" w:ascii="宋体" w:hAnsi="宋体" w:eastAsia="宋体" w:cs="宋体"/>
                <w:color w:val="auto"/>
                <w:sz w:val="21"/>
                <w:szCs w:val="21"/>
                <w:highlight w:val="none"/>
              </w:rPr>
              <w:t>相关专业</w:t>
            </w:r>
            <w:r>
              <w:rPr>
                <w:rFonts w:hint="eastAsia" w:ascii="宋体" w:hAnsi="宋体" w:eastAsia="宋体" w:cs="宋体"/>
                <w:color w:val="auto"/>
                <w:sz w:val="21"/>
                <w:szCs w:val="21"/>
                <w:highlight w:val="none"/>
                <w:lang w:val="en-US" w:eastAsia="zh-CN"/>
              </w:rPr>
              <w:t>助理</w:t>
            </w:r>
            <w:r>
              <w:rPr>
                <w:rFonts w:hint="eastAsia" w:ascii="宋体" w:hAnsi="宋体" w:eastAsia="宋体" w:cs="宋体"/>
                <w:color w:val="auto"/>
                <w:sz w:val="21"/>
                <w:szCs w:val="21"/>
                <w:highlight w:val="none"/>
              </w:rPr>
              <w:t>工程师职称的得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分，具有</w:t>
            </w:r>
            <w:r>
              <w:rPr>
                <w:rFonts w:hint="eastAsia" w:ascii="宋体" w:hAnsi="宋体" w:eastAsia="宋体" w:cs="宋体"/>
                <w:color w:val="auto"/>
                <w:sz w:val="21"/>
                <w:szCs w:val="21"/>
                <w:highlight w:val="none"/>
                <w:lang w:val="en-US" w:eastAsia="zh-CN"/>
              </w:rPr>
              <w:t>建筑工程</w:t>
            </w:r>
            <w:r>
              <w:rPr>
                <w:rFonts w:hint="eastAsia" w:ascii="宋体" w:hAnsi="宋体" w:eastAsia="宋体" w:cs="宋体"/>
                <w:color w:val="auto"/>
                <w:sz w:val="21"/>
                <w:szCs w:val="21"/>
                <w:highlight w:val="none"/>
              </w:rPr>
              <w:t>相关专业</w:t>
            </w:r>
            <w:r>
              <w:rPr>
                <w:rFonts w:hint="eastAsia" w:ascii="宋体" w:hAnsi="宋体" w:cs="宋体"/>
                <w:szCs w:val="21"/>
                <w:highlight w:val="none"/>
              </w:rPr>
              <w:t>中级工程师</w:t>
            </w:r>
            <w:r>
              <w:rPr>
                <w:rFonts w:hint="eastAsia" w:ascii="宋体" w:hAnsi="宋体" w:cs="宋体"/>
                <w:szCs w:val="21"/>
                <w:highlight w:val="none"/>
                <w:lang w:val="en-US" w:eastAsia="zh-CN"/>
              </w:rPr>
              <w:t>及</w:t>
            </w:r>
            <w:r>
              <w:rPr>
                <w:rFonts w:hint="eastAsia" w:ascii="宋体" w:hAnsi="宋体" w:cs="宋体"/>
                <w:szCs w:val="21"/>
                <w:highlight w:val="none"/>
              </w:rPr>
              <w:t>以上职称的每位得2分</w:t>
            </w:r>
            <w:r>
              <w:rPr>
                <w:rFonts w:hint="eastAsia" w:ascii="宋体" w:hAnsi="宋体" w:cs="宋体"/>
                <w:szCs w:val="21"/>
                <w:highlight w:val="none"/>
                <w:lang w:eastAsia="zh-CN"/>
              </w:rPr>
              <w:t>，</w:t>
            </w: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同一人不重复得分</w:t>
            </w:r>
            <w:r>
              <w:rPr>
                <w:rFonts w:hint="eastAsia" w:ascii="宋体" w:hAnsi="宋体" w:eastAsia="宋体" w:cs="宋体"/>
                <w:color w:val="auto"/>
                <w:sz w:val="21"/>
                <w:szCs w:val="21"/>
                <w:highlight w:val="none"/>
                <w:lang w:eastAsia="zh-CN"/>
              </w:rPr>
              <w:t>）</w:t>
            </w:r>
          </w:p>
          <w:p w14:paraId="71EB67C6">
            <w:pPr>
              <w:pStyle w:val="11"/>
              <w:keepNext w:val="0"/>
              <w:keepLines w:val="0"/>
              <w:pageBreakBefore w:val="0"/>
              <w:kinsoku/>
              <w:wordWrap/>
              <w:overflowPunct/>
              <w:topLinePunct w:val="0"/>
              <w:autoSpaceDE/>
              <w:autoSpaceDN/>
              <w:bidi w:val="0"/>
              <w:spacing w:line="32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注：提供证书复印件及投标截止时间前3个月内任意一个月的在本单位社保缴纳证明复印件编入</w:t>
            </w:r>
            <w:r>
              <w:rPr>
                <w:rFonts w:hint="eastAsia" w:ascii="宋体" w:hAnsi="宋体" w:eastAsia="宋体" w:cs="宋体"/>
                <w:b/>
                <w:color w:val="auto"/>
                <w:kern w:val="0"/>
                <w:sz w:val="21"/>
                <w:szCs w:val="21"/>
                <w:highlight w:val="none"/>
                <w:lang w:val="zh-CN"/>
              </w:rPr>
              <w:t>商务与技术文件中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zh-CN"/>
              </w:rPr>
              <w:t>无社保的退休人员须提供与供应商签订的劳动合同，</w:t>
            </w:r>
            <w:r>
              <w:rPr>
                <w:rFonts w:hint="eastAsia" w:ascii="宋体" w:hAnsi="宋体" w:eastAsia="宋体" w:cs="宋体"/>
                <w:b/>
                <w:color w:val="auto"/>
                <w:sz w:val="21"/>
                <w:szCs w:val="21"/>
                <w:highlight w:val="none"/>
              </w:rPr>
              <w:t>工程师及以上职称须附证书核验网址（如：xx省专业技术人才职称管理平台http://...）及投标截止日前30日内的官网查询截图</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否则不得分。</w:t>
            </w:r>
          </w:p>
        </w:tc>
        <w:tc>
          <w:tcPr>
            <w:tcW w:w="825" w:type="dxa"/>
            <w:noWrap w:val="0"/>
            <w:vAlign w:val="center"/>
          </w:tcPr>
          <w:p w14:paraId="0F92C75C">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57CB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tcBorders>
              <w:left w:val="single" w:color="auto" w:sz="4" w:space="0"/>
              <w:bottom w:val="single" w:color="auto" w:sz="4" w:space="0"/>
              <w:right w:val="single" w:color="auto" w:sz="4" w:space="0"/>
            </w:tcBorders>
            <w:noWrap w:val="0"/>
            <w:vAlign w:val="center"/>
          </w:tcPr>
          <w:p w14:paraId="76C24B76">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1194" w:type="dxa"/>
            <w:tcBorders>
              <w:left w:val="single" w:color="auto" w:sz="4" w:space="0"/>
              <w:bottom w:val="single" w:color="auto" w:sz="4" w:space="0"/>
              <w:right w:val="single" w:color="auto" w:sz="4" w:space="0"/>
            </w:tcBorders>
            <w:noWrap w:val="0"/>
            <w:vAlign w:val="center"/>
          </w:tcPr>
          <w:p w14:paraId="2AA2C53A">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本地化服务</w:t>
            </w:r>
          </w:p>
        </w:tc>
        <w:tc>
          <w:tcPr>
            <w:tcW w:w="7353" w:type="dxa"/>
            <w:tcBorders>
              <w:left w:val="single" w:color="auto" w:sz="4" w:space="0"/>
            </w:tcBorders>
            <w:noWrap w:val="0"/>
            <w:vAlign w:val="center"/>
          </w:tcPr>
          <w:p w14:paraId="55DAA8D1">
            <w:pPr>
              <w:pStyle w:val="10"/>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为保证项目实施期间采购单位能够及时了解和沟通，供应商在投标截止时间前已具有项目所在地服务机构的或承诺在中标后（自中标通知书发出之日起计算）10 日内在项目所在地设立本地化服务机构的，得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B29F547">
            <w:pPr>
              <w:pStyle w:val="10"/>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注：服务机构如公司、分公司、办事处等均可。投标文件中需提供供应商服务机构营业执照或设立本地化服务机构承诺书（格式自拟）。</w:t>
            </w:r>
          </w:p>
        </w:tc>
        <w:tc>
          <w:tcPr>
            <w:tcW w:w="825" w:type="dxa"/>
            <w:noWrap w:val="0"/>
            <w:vAlign w:val="center"/>
          </w:tcPr>
          <w:p w14:paraId="62A8FD5B">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3</w:t>
            </w:r>
          </w:p>
        </w:tc>
      </w:tr>
      <w:tr w14:paraId="7C6A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tcBorders>
              <w:top w:val="single" w:color="auto" w:sz="4" w:space="0"/>
            </w:tcBorders>
            <w:noWrap w:val="0"/>
            <w:vAlign w:val="center"/>
          </w:tcPr>
          <w:p w14:paraId="2F7375C0">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1194" w:type="dxa"/>
            <w:tcBorders>
              <w:top w:val="single" w:color="auto" w:sz="4" w:space="0"/>
            </w:tcBorders>
            <w:noWrap w:val="0"/>
            <w:vAlign w:val="center"/>
          </w:tcPr>
          <w:p w14:paraId="79CF18F8">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近三年安全事故责任情况</w:t>
            </w:r>
          </w:p>
        </w:tc>
        <w:tc>
          <w:tcPr>
            <w:tcW w:w="7353" w:type="dxa"/>
            <w:noWrap w:val="0"/>
            <w:vAlign w:val="center"/>
          </w:tcPr>
          <w:p w14:paraId="0D4A270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提</w:t>
            </w:r>
            <w:r>
              <w:rPr>
                <w:rFonts w:hint="eastAsia" w:ascii="宋体" w:hAnsi="宋体" w:eastAsia="宋体" w:cs="宋体"/>
                <w:color w:val="auto"/>
                <w:sz w:val="21"/>
                <w:szCs w:val="21"/>
                <w:highlight w:val="none"/>
              </w:rPr>
              <w:t>供近三年无安全事故责任情况承诺函（</w:t>
            </w:r>
            <w:r>
              <w:rPr>
                <w:rFonts w:hint="eastAsia" w:ascii="宋体" w:hAnsi="宋体" w:eastAsia="宋体" w:cs="宋体"/>
                <w:b/>
                <w:bCs/>
                <w:color w:val="auto"/>
                <w:sz w:val="21"/>
                <w:szCs w:val="21"/>
                <w:highlight w:val="none"/>
              </w:rPr>
              <w:t>格式自拟</w:t>
            </w:r>
            <w:r>
              <w:rPr>
                <w:rFonts w:hint="eastAsia" w:ascii="宋体" w:hAnsi="宋体" w:eastAsia="宋体" w:cs="宋体"/>
                <w:color w:val="auto"/>
                <w:sz w:val="21"/>
                <w:szCs w:val="21"/>
                <w:highlight w:val="none"/>
              </w:rPr>
              <w:t>），提供得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分，未提供不得分。</w:t>
            </w:r>
          </w:p>
          <w:p w14:paraId="30FB96F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pacing w:val="-2"/>
                <w:sz w:val="21"/>
                <w:szCs w:val="21"/>
                <w:highlight w:val="none"/>
              </w:rPr>
              <w:t>注：未提供或未承诺的不得分。</w:t>
            </w:r>
          </w:p>
        </w:tc>
        <w:tc>
          <w:tcPr>
            <w:tcW w:w="825" w:type="dxa"/>
            <w:noWrap w:val="0"/>
            <w:vAlign w:val="center"/>
          </w:tcPr>
          <w:p w14:paraId="21BEF996">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3</w:t>
            </w:r>
          </w:p>
        </w:tc>
      </w:tr>
      <w:tr w14:paraId="726B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tcBorders>
              <w:top w:val="single" w:color="auto" w:sz="4" w:space="0"/>
            </w:tcBorders>
            <w:noWrap w:val="0"/>
            <w:vAlign w:val="center"/>
          </w:tcPr>
          <w:p w14:paraId="0E57D75A">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1194" w:type="dxa"/>
            <w:tcBorders>
              <w:top w:val="single" w:color="auto" w:sz="4" w:space="0"/>
            </w:tcBorders>
            <w:noWrap w:val="0"/>
            <w:vAlign w:val="center"/>
          </w:tcPr>
          <w:p w14:paraId="288D0A50">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近三年质量事故情况</w:t>
            </w:r>
          </w:p>
        </w:tc>
        <w:tc>
          <w:tcPr>
            <w:tcW w:w="7353" w:type="dxa"/>
            <w:noWrap w:val="0"/>
            <w:vAlign w:val="center"/>
          </w:tcPr>
          <w:p w14:paraId="20205F6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提供近三年无质量事故情况承诺函（</w:t>
            </w:r>
            <w:r>
              <w:rPr>
                <w:rFonts w:hint="eastAsia" w:ascii="宋体" w:hAnsi="宋体" w:eastAsia="宋体" w:cs="宋体"/>
                <w:b/>
                <w:bCs/>
                <w:color w:val="auto"/>
                <w:sz w:val="21"/>
                <w:szCs w:val="21"/>
                <w:highlight w:val="none"/>
              </w:rPr>
              <w:t>格式自拟）</w:t>
            </w:r>
            <w:r>
              <w:rPr>
                <w:rFonts w:hint="eastAsia" w:ascii="宋体" w:hAnsi="宋体" w:eastAsia="宋体" w:cs="宋体"/>
                <w:color w:val="auto"/>
                <w:kern w:val="0"/>
                <w:sz w:val="21"/>
                <w:szCs w:val="21"/>
                <w:highlight w:val="none"/>
              </w:rPr>
              <w:t>，提供得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分，未提供不得分。</w:t>
            </w:r>
          </w:p>
          <w:p w14:paraId="6BE4124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2"/>
                <w:sz w:val="21"/>
                <w:szCs w:val="21"/>
                <w:highlight w:val="none"/>
              </w:rPr>
              <w:t>注：未提供或未承诺的不得分。</w:t>
            </w:r>
          </w:p>
        </w:tc>
        <w:tc>
          <w:tcPr>
            <w:tcW w:w="825" w:type="dxa"/>
            <w:noWrap w:val="0"/>
            <w:vAlign w:val="center"/>
          </w:tcPr>
          <w:p w14:paraId="6CDC66E5">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0003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187" w:type="dxa"/>
            <w:gridSpan w:val="3"/>
            <w:noWrap w:val="0"/>
            <w:vAlign w:val="center"/>
          </w:tcPr>
          <w:p w14:paraId="5DCEFA6D">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二、技术分</w:t>
            </w:r>
          </w:p>
        </w:tc>
        <w:tc>
          <w:tcPr>
            <w:tcW w:w="825" w:type="dxa"/>
            <w:noWrap w:val="0"/>
            <w:vAlign w:val="center"/>
          </w:tcPr>
          <w:p w14:paraId="37B32D81">
            <w:pPr>
              <w:pStyle w:val="23"/>
              <w:keepNext w:val="0"/>
              <w:keepLines w:val="0"/>
              <w:pageBreakBefore w:val="0"/>
              <w:kinsoku/>
              <w:wordWrap/>
              <w:overflowPunct/>
              <w:topLinePunct w:val="0"/>
              <w:autoSpaceDE/>
              <w:autoSpaceDN/>
              <w:bidi w:val="0"/>
              <w:spacing w:after="0" w:line="320" w:lineRule="exact"/>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41</w:t>
            </w:r>
            <w:r>
              <w:rPr>
                <w:rFonts w:hint="eastAsia" w:ascii="宋体" w:hAnsi="宋体" w:eastAsia="宋体" w:cs="宋体"/>
                <w:b/>
                <w:bCs/>
                <w:color w:val="auto"/>
                <w:sz w:val="21"/>
                <w:szCs w:val="21"/>
                <w:highlight w:val="none"/>
              </w:rPr>
              <w:t>分</w:t>
            </w:r>
          </w:p>
        </w:tc>
      </w:tr>
      <w:tr w14:paraId="5AC0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noWrap w:val="0"/>
            <w:vAlign w:val="center"/>
          </w:tcPr>
          <w:p w14:paraId="61AA4E9C">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sz w:val="21"/>
                <w:szCs w:val="21"/>
                <w:highlight w:val="none"/>
                <w:lang w:val="en-US" w:eastAsia="zh-CN"/>
              </w:rPr>
              <w:t>8</w:t>
            </w:r>
          </w:p>
        </w:tc>
        <w:tc>
          <w:tcPr>
            <w:tcW w:w="1194" w:type="dxa"/>
            <w:noWrap w:val="0"/>
            <w:vAlign w:val="center"/>
          </w:tcPr>
          <w:p w14:paraId="7137CC76">
            <w:pPr>
              <w:keepNext w:val="0"/>
              <w:keepLines w:val="0"/>
              <w:pageBreakBefore w:val="0"/>
              <w:kinsoku/>
              <w:wordWrap/>
              <w:overflowPunct/>
              <w:topLinePunct w:val="0"/>
              <w:autoSpaceDE/>
              <w:autoSpaceDN/>
              <w:bidi w:val="0"/>
              <w:snapToGrid w:val="0"/>
              <w:spacing w:line="320" w:lineRule="exact"/>
              <w:jc w:val="center"/>
              <w:rPr>
                <w:rFonts w:hint="eastAsia" w:ascii="宋体" w:hAnsi="宋体" w:eastAsia="宋体" w:cs="宋体"/>
                <w:b w:val="0"/>
                <w:bCs w:val="0"/>
                <w:color w:val="000000"/>
                <w:kern w:val="0"/>
                <w:sz w:val="21"/>
                <w:szCs w:val="21"/>
              </w:rPr>
            </w:pPr>
            <w:r>
              <w:rPr>
                <w:rFonts w:hint="eastAsia" w:ascii="宋体" w:hAnsi="宋体" w:cs="宋体"/>
                <w:bCs/>
                <w:szCs w:val="21"/>
              </w:rPr>
              <w:t>工程概况</w:t>
            </w:r>
          </w:p>
        </w:tc>
        <w:tc>
          <w:tcPr>
            <w:tcW w:w="7353" w:type="dxa"/>
            <w:noWrap w:val="0"/>
            <w:vAlign w:val="center"/>
          </w:tcPr>
          <w:p w14:paraId="59D5F7B0">
            <w:pPr>
              <w:keepNext w:val="0"/>
              <w:keepLines w:val="0"/>
              <w:pageBreakBefore w:val="0"/>
              <w:kinsoku/>
              <w:wordWrap/>
              <w:overflowPunct/>
              <w:topLinePunct w:val="0"/>
              <w:autoSpaceDE/>
              <w:autoSpaceDN/>
              <w:bidi w:val="0"/>
              <w:spacing w:line="320" w:lineRule="exact"/>
              <w:rPr>
                <w:rFonts w:hint="eastAsia"/>
              </w:rPr>
            </w:pPr>
            <w:r>
              <w:rPr>
                <w:rFonts w:hint="eastAsia"/>
              </w:rPr>
              <w:t>投标人对本工程主要情况和工程施工条件进行综合阐述。</w:t>
            </w:r>
          </w:p>
          <w:p w14:paraId="484EE705">
            <w:pPr>
              <w:keepNext w:val="0"/>
              <w:keepLines w:val="0"/>
              <w:pageBreakBefore w:val="0"/>
              <w:kinsoku/>
              <w:wordWrap/>
              <w:overflowPunct/>
              <w:topLinePunct w:val="0"/>
              <w:autoSpaceDE/>
              <w:autoSpaceDN/>
              <w:bidi w:val="0"/>
              <w:spacing w:line="320" w:lineRule="exact"/>
              <w:jc w:val="left"/>
              <w:textAlignment w:val="baseline"/>
              <w:rPr>
                <w:rFonts w:hint="eastAsia" w:ascii="宋体" w:hAnsi="宋体" w:eastAsia="宋体" w:cs="宋体"/>
                <w:sz w:val="21"/>
                <w:szCs w:val="21"/>
              </w:rPr>
            </w:pPr>
            <w:r>
              <w:rPr>
                <w:rFonts w:hint="eastAsia"/>
                <w:b/>
                <w:bCs/>
              </w:rPr>
              <w:t>注：评委根据是否结合项目现场情况对其科学性、合理性等方面由磋商小组进行打分。</w:t>
            </w:r>
          </w:p>
        </w:tc>
        <w:tc>
          <w:tcPr>
            <w:tcW w:w="825" w:type="dxa"/>
            <w:noWrap w:val="0"/>
            <w:vAlign w:val="center"/>
          </w:tcPr>
          <w:p w14:paraId="2AEACE4D">
            <w:pPr>
              <w:pStyle w:val="23"/>
              <w:keepNext w:val="0"/>
              <w:keepLines w:val="0"/>
              <w:pageBreakBefore w:val="0"/>
              <w:kinsoku/>
              <w:wordWrap/>
              <w:overflowPunct/>
              <w:topLinePunct w:val="0"/>
              <w:autoSpaceDE/>
              <w:autoSpaceDN/>
              <w:bidi w:val="0"/>
              <w:spacing w:after="0" w:line="320" w:lineRule="exact"/>
              <w:ind w:left="0" w:leftChars="0"/>
              <w:jc w:val="center"/>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5</w:t>
            </w:r>
          </w:p>
        </w:tc>
      </w:tr>
      <w:tr w14:paraId="2D90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noWrap w:val="0"/>
            <w:vAlign w:val="center"/>
          </w:tcPr>
          <w:p w14:paraId="5F35D3F8">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9</w:t>
            </w:r>
          </w:p>
        </w:tc>
        <w:tc>
          <w:tcPr>
            <w:tcW w:w="1194" w:type="dxa"/>
            <w:noWrap w:val="0"/>
            <w:vAlign w:val="center"/>
          </w:tcPr>
          <w:p w14:paraId="666145A0">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val="0"/>
                <w:bCs w:val="0"/>
                <w:color w:val="000000"/>
                <w:kern w:val="0"/>
                <w:sz w:val="21"/>
                <w:szCs w:val="21"/>
              </w:rPr>
              <w:t>施工总平面布置情况</w:t>
            </w:r>
          </w:p>
        </w:tc>
        <w:tc>
          <w:tcPr>
            <w:tcW w:w="7353" w:type="dxa"/>
            <w:noWrap w:val="0"/>
            <w:vAlign w:val="center"/>
          </w:tcPr>
          <w:p w14:paraId="310BCEAF">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根据施工现场实际情况，施工总平面是否安排科学合理，符合本项目施工实际要求。根据现场材料堆场、施工通道的安排计划的科学性、合理性等，由磋商小组进行打分。</w:t>
            </w:r>
          </w:p>
        </w:tc>
        <w:tc>
          <w:tcPr>
            <w:tcW w:w="825" w:type="dxa"/>
            <w:noWrap w:val="0"/>
            <w:vAlign w:val="center"/>
          </w:tcPr>
          <w:p w14:paraId="4D1F7B4F">
            <w:pPr>
              <w:pStyle w:val="23"/>
              <w:keepNext w:val="0"/>
              <w:keepLines w:val="0"/>
              <w:pageBreakBefore w:val="0"/>
              <w:kinsoku/>
              <w:wordWrap/>
              <w:overflowPunct/>
              <w:topLinePunct w:val="0"/>
              <w:autoSpaceDE/>
              <w:autoSpaceDN/>
              <w:bidi w:val="0"/>
              <w:spacing w:after="0" w:line="32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r>
      <w:tr w14:paraId="12BB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40" w:type="dxa"/>
            <w:noWrap w:val="0"/>
            <w:vAlign w:val="center"/>
          </w:tcPr>
          <w:p w14:paraId="3D8848B4">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sz w:val="21"/>
                <w:szCs w:val="21"/>
                <w:highlight w:val="none"/>
                <w:lang w:val="en-US" w:eastAsia="zh-CN"/>
              </w:rPr>
              <w:t>10</w:t>
            </w:r>
          </w:p>
        </w:tc>
        <w:tc>
          <w:tcPr>
            <w:tcW w:w="1194" w:type="dxa"/>
            <w:noWrap w:val="0"/>
            <w:vAlign w:val="center"/>
          </w:tcPr>
          <w:p w14:paraId="3E09B0AF">
            <w:pPr>
              <w:keepNext w:val="0"/>
              <w:keepLines w:val="0"/>
              <w:pageBreakBefore w:val="0"/>
              <w:kinsoku/>
              <w:wordWrap/>
              <w:overflowPunct/>
              <w:topLinePunct w:val="0"/>
              <w:autoSpaceDE/>
              <w:autoSpaceDN/>
              <w:bidi w:val="0"/>
              <w:snapToGrid w:val="0"/>
              <w:spacing w:line="32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cs="宋体"/>
                <w:kern w:val="0"/>
                <w:szCs w:val="21"/>
              </w:rPr>
              <w:t>主要施工方案</w:t>
            </w:r>
          </w:p>
        </w:tc>
        <w:tc>
          <w:tcPr>
            <w:tcW w:w="7353" w:type="dxa"/>
            <w:noWrap w:val="0"/>
            <w:vAlign w:val="center"/>
          </w:tcPr>
          <w:p w14:paraId="4F80983E">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lang w:val="en-US" w:eastAsia="zh-CN"/>
              </w:rPr>
            </w:pPr>
            <w:r>
              <w:rPr>
                <w:rFonts w:ascii="宋体" w:hAnsi="宋体" w:cs="宋体"/>
                <w:szCs w:val="21"/>
              </w:rPr>
              <w:t>根据投标人对本工程主要分部分项制定相应</w:t>
            </w:r>
            <w:r>
              <w:rPr>
                <w:rFonts w:hint="eastAsia" w:ascii="宋体" w:hAnsi="宋体" w:eastAsia="宋体" w:cs="宋体"/>
                <w:sz w:val="21"/>
                <w:szCs w:val="21"/>
              </w:rPr>
              <w:t>科学、合理</w:t>
            </w:r>
            <w:r>
              <w:rPr>
                <w:rFonts w:hint="eastAsia" w:ascii="宋体" w:hAnsi="宋体" w:cs="宋体"/>
                <w:sz w:val="21"/>
                <w:szCs w:val="21"/>
                <w:lang w:eastAsia="zh-CN"/>
              </w:rPr>
              <w:t>、</w:t>
            </w:r>
            <w:r>
              <w:rPr>
                <w:rFonts w:hint="eastAsia" w:ascii="宋体" w:hAnsi="宋体" w:cs="宋体"/>
                <w:sz w:val="21"/>
                <w:szCs w:val="21"/>
                <w:lang w:val="en-US" w:eastAsia="zh-CN"/>
              </w:rPr>
              <w:t>全面</w:t>
            </w:r>
            <w:r>
              <w:rPr>
                <w:rFonts w:ascii="宋体" w:hAnsi="宋体" w:cs="宋体"/>
                <w:szCs w:val="21"/>
              </w:rPr>
              <w:t>的施工方案</w:t>
            </w:r>
            <w:r>
              <w:rPr>
                <w:rFonts w:hint="eastAsia" w:ascii="宋体" w:hAnsi="宋体" w:cs="宋体"/>
                <w:sz w:val="21"/>
                <w:szCs w:val="21"/>
                <w:lang w:eastAsia="zh-CN"/>
              </w:rPr>
              <w:t>，</w:t>
            </w:r>
            <w:r>
              <w:rPr>
                <w:rFonts w:hint="eastAsia" w:ascii="宋体" w:hAnsi="宋体" w:eastAsia="宋体" w:cs="宋体"/>
                <w:sz w:val="21"/>
                <w:szCs w:val="21"/>
              </w:rPr>
              <w:t>由磋商小组进行打分。</w:t>
            </w:r>
          </w:p>
        </w:tc>
        <w:tc>
          <w:tcPr>
            <w:tcW w:w="825" w:type="dxa"/>
            <w:noWrap w:val="0"/>
            <w:vAlign w:val="center"/>
          </w:tcPr>
          <w:p w14:paraId="5D7E5BBF">
            <w:pPr>
              <w:keepNext w:val="0"/>
              <w:keepLines w:val="0"/>
              <w:pageBreakBefore w:val="0"/>
              <w:kinsoku/>
              <w:wordWrap/>
              <w:overflowPunct/>
              <w:topLinePunct w:val="0"/>
              <w:autoSpaceDE/>
              <w:autoSpaceDN/>
              <w:bidi w:val="0"/>
              <w:spacing w:line="320" w:lineRule="exact"/>
              <w:ind w:left="0" w:leftChars="0"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5</w:t>
            </w:r>
          </w:p>
        </w:tc>
      </w:tr>
      <w:tr w14:paraId="5ABE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noWrap w:val="0"/>
            <w:vAlign w:val="center"/>
          </w:tcPr>
          <w:p w14:paraId="4A33DBC2">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11</w:t>
            </w:r>
          </w:p>
        </w:tc>
        <w:tc>
          <w:tcPr>
            <w:tcW w:w="1194" w:type="dxa"/>
            <w:noWrap w:val="0"/>
            <w:vAlign w:val="center"/>
          </w:tcPr>
          <w:p w14:paraId="0A39FDC1">
            <w:pPr>
              <w:keepNext w:val="0"/>
              <w:keepLines w:val="0"/>
              <w:pageBreakBefore w:val="0"/>
              <w:kinsoku/>
              <w:wordWrap/>
              <w:overflowPunct/>
              <w:topLinePunct w:val="0"/>
              <w:autoSpaceDE/>
              <w:autoSpaceDN/>
              <w:bidi w:val="0"/>
              <w:spacing w:line="320" w:lineRule="exact"/>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000000"/>
                <w:sz w:val="21"/>
                <w:szCs w:val="21"/>
                <w:lang w:val="en-US" w:eastAsia="zh-CN"/>
              </w:rPr>
              <w:t>重点、难点分析</w:t>
            </w:r>
          </w:p>
        </w:tc>
        <w:tc>
          <w:tcPr>
            <w:tcW w:w="7353" w:type="dxa"/>
            <w:noWrap w:val="0"/>
            <w:vAlign w:val="center"/>
          </w:tcPr>
          <w:p w14:paraId="406C0C6D">
            <w:pPr>
              <w:pStyle w:val="11"/>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baseline"/>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根据供应商提供的针对本工程的技术措施重点、难点分析是否精确全面、阐述合理、条理清晰、符合现状措施等予以分析，并提出合理解决方案。</w:t>
            </w:r>
          </w:p>
          <w:p w14:paraId="6E735ECD">
            <w:pPr>
              <w:pStyle w:val="11"/>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由磋商小组进行打分。</w:t>
            </w:r>
          </w:p>
        </w:tc>
        <w:tc>
          <w:tcPr>
            <w:tcW w:w="825" w:type="dxa"/>
            <w:noWrap w:val="0"/>
            <w:vAlign w:val="center"/>
          </w:tcPr>
          <w:p w14:paraId="6C1947C0">
            <w:pPr>
              <w:pStyle w:val="23"/>
              <w:keepNext w:val="0"/>
              <w:keepLines w:val="0"/>
              <w:pageBreakBefore w:val="0"/>
              <w:kinsoku/>
              <w:wordWrap/>
              <w:overflowPunct/>
              <w:topLinePunct w:val="0"/>
              <w:autoSpaceDE/>
              <w:autoSpaceDN/>
              <w:bidi w:val="0"/>
              <w:spacing w:after="0" w:line="32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r>
      <w:tr w14:paraId="7AEF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noWrap w:val="0"/>
            <w:vAlign w:val="center"/>
          </w:tcPr>
          <w:p w14:paraId="798DC262">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12</w:t>
            </w:r>
          </w:p>
        </w:tc>
        <w:tc>
          <w:tcPr>
            <w:tcW w:w="1194" w:type="dxa"/>
            <w:noWrap w:val="0"/>
            <w:vAlign w:val="center"/>
          </w:tcPr>
          <w:p w14:paraId="21AE9CFA">
            <w:pPr>
              <w:keepNext w:val="0"/>
              <w:keepLines w:val="0"/>
              <w:pageBreakBefore w:val="0"/>
              <w:kinsoku/>
              <w:wordWrap/>
              <w:overflowPunct/>
              <w:topLinePunct w:val="0"/>
              <w:autoSpaceDE/>
              <w:autoSpaceDN/>
              <w:bidi w:val="0"/>
              <w:spacing w:line="320" w:lineRule="exact"/>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施工进度计划</w:t>
            </w:r>
          </w:p>
        </w:tc>
        <w:tc>
          <w:tcPr>
            <w:tcW w:w="7353" w:type="dxa"/>
            <w:noWrap w:val="0"/>
            <w:vAlign w:val="center"/>
          </w:tcPr>
          <w:p w14:paraId="4E29BF0F">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宋体" w:hAnsi="宋体" w:eastAsia="宋体" w:cs="宋体"/>
                <w:color w:val="000000"/>
                <w:sz w:val="21"/>
                <w:szCs w:val="21"/>
                <w:lang w:eastAsia="zh-CN"/>
              </w:rPr>
            </w:pPr>
            <w:r>
              <w:rPr>
                <w:rFonts w:hint="eastAsia" w:ascii="宋体" w:hAnsi="宋体" w:cs="宋体"/>
                <w:szCs w:val="21"/>
              </w:rPr>
              <w:t>根据投标人提供的施工顺序和各个阶段工程进展及施工部署等内容综合比较</w:t>
            </w:r>
            <w:r>
              <w:rPr>
                <w:rFonts w:hint="eastAsia" w:ascii="宋体" w:hAnsi="宋体" w:cs="宋体"/>
                <w:szCs w:val="21"/>
                <w:lang w:eastAsia="zh-CN"/>
              </w:rPr>
              <w:t>，</w:t>
            </w:r>
            <w:r>
              <w:rPr>
                <w:rFonts w:hint="eastAsia" w:ascii="宋体" w:hAnsi="宋体" w:eastAsia="宋体" w:cs="宋体"/>
                <w:sz w:val="21"/>
                <w:szCs w:val="21"/>
              </w:rPr>
              <w:t>由磋商小组进行打分。</w:t>
            </w:r>
          </w:p>
        </w:tc>
        <w:tc>
          <w:tcPr>
            <w:tcW w:w="825" w:type="dxa"/>
            <w:noWrap w:val="0"/>
            <w:vAlign w:val="center"/>
          </w:tcPr>
          <w:p w14:paraId="42DEC80E">
            <w:pPr>
              <w:pStyle w:val="23"/>
              <w:keepNext w:val="0"/>
              <w:keepLines w:val="0"/>
              <w:pageBreakBefore w:val="0"/>
              <w:kinsoku/>
              <w:wordWrap/>
              <w:overflowPunct/>
              <w:topLinePunct w:val="0"/>
              <w:autoSpaceDE/>
              <w:autoSpaceDN/>
              <w:bidi w:val="0"/>
              <w:spacing w:after="0" w:line="320" w:lineRule="exact"/>
              <w:ind w:left="0" w:leftChars="0"/>
              <w:jc w:val="center"/>
              <w:rPr>
                <w:rFonts w:hint="eastAsia" w:ascii="宋体" w:hAnsi="宋体" w:eastAsia="宋体" w:cs="宋体"/>
                <w:kern w:val="0"/>
                <w:sz w:val="21"/>
                <w:szCs w:val="21"/>
                <w:lang w:val="en-US" w:eastAsia="zh-CN"/>
              </w:rPr>
            </w:pPr>
            <w:r>
              <w:rPr>
                <w:rFonts w:hint="eastAsia" w:ascii="宋体" w:hAnsi="宋体" w:cs="宋体"/>
                <w:sz w:val="21"/>
                <w:szCs w:val="21"/>
                <w:lang w:val="en-US" w:eastAsia="zh-CN"/>
              </w:rPr>
              <w:t>5</w:t>
            </w:r>
          </w:p>
        </w:tc>
      </w:tr>
      <w:tr w14:paraId="6B29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noWrap w:val="0"/>
            <w:vAlign w:val="center"/>
          </w:tcPr>
          <w:p w14:paraId="2BE10F14">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13</w:t>
            </w:r>
          </w:p>
        </w:tc>
        <w:tc>
          <w:tcPr>
            <w:tcW w:w="1194" w:type="dxa"/>
            <w:noWrap w:val="0"/>
            <w:vAlign w:val="center"/>
          </w:tcPr>
          <w:p w14:paraId="2ABA2E79">
            <w:pPr>
              <w:keepNext w:val="0"/>
              <w:keepLines w:val="0"/>
              <w:pageBreakBefore w:val="0"/>
              <w:kinsoku/>
              <w:wordWrap/>
              <w:overflowPunct/>
              <w:topLinePunct w:val="0"/>
              <w:autoSpaceDE/>
              <w:autoSpaceDN/>
              <w:bidi w:val="0"/>
              <w:spacing w:line="320" w:lineRule="exact"/>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施工资源配置计划</w:t>
            </w:r>
          </w:p>
        </w:tc>
        <w:tc>
          <w:tcPr>
            <w:tcW w:w="7353" w:type="dxa"/>
            <w:noWrap w:val="0"/>
            <w:vAlign w:val="center"/>
          </w:tcPr>
          <w:p w14:paraId="6AB543BA">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宋体" w:hAnsi="宋体" w:eastAsia="宋体" w:cs="宋体"/>
                <w:color w:val="000000"/>
                <w:sz w:val="21"/>
                <w:szCs w:val="21"/>
                <w:lang w:eastAsia="zh-CN"/>
              </w:rPr>
            </w:pPr>
            <w:r>
              <w:rPr>
                <w:rFonts w:ascii="宋体" w:hAnsi="宋体" w:cs="宋体"/>
                <w:szCs w:val="21"/>
              </w:rPr>
              <w:t>根据投标人对本工程现场实际情况技术准备、现场准备、劳动力计划</w:t>
            </w:r>
            <w:r>
              <w:rPr>
                <w:rFonts w:hint="eastAsia" w:ascii="宋体" w:hAnsi="宋体" w:cs="宋体"/>
                <w:szCs w:val="21"/>
              </w:rPr>
              <w:t>、机械配置</w:t>
            </w:r>
            <w:r>
              <w:rPr>
                <w:rFonts w:ascii="宋体" w:hAnsi="宋体" w:cs="宋体"/>
                <w:szCs w:val="21"/>
              </w:rPr>
              <w:t>等</w:t>
            </w:r>
            <w:r>
              <w:rPr>
                <w:rFonts w:hint="eastAsia" w:ascii="宋体" w:hAnsi="宋体" w:cs="宋体"/>
                <w:szCs w:val="21"/>
              </w:rPr>
              <w:t>综合比较</w:t>
            </w:r>
            <w:r>
              <w:rPr>
                <w:rFonts w:hint="eastAsia" w:ascii="宋体" w:hAnsi="宋体" w:cs="宋体"/>
                <w:szCs w:val="21"/>
                <w:lang w:eastAsia="zh-CN"/>
              </w:rPr>
              <w:t>，</w:t>
            </w:r>
            <w:r>
              <w:rPr>
                <w:rFonts w:hint="eastAsia" w:ascii="宋体" w:hAnsi="宋体" w:eastAsia="宋体" w:cs="宋体"/>
                <w:sz w:val="21"/>
                <w:szCs w:val="21"/>
              </w:rPr>
              <w:t>由磋商小组进行打分。</w:t>
            </w:r>
          </w:p>
        </w:tc>
        <w:tc>
          <w:tcPr>
            <w:tcW w:w="825" w:type="dxa"/>
            <w:noWrap w:val="0"/>
            <w:vAlign w:val="center"/>
          </w:tcPr>
          <w:p w14:paraId="15B64117">
            <w:pPr>
              <w:pStyle w:val="23"/>
              <w:keepNext w:val="0"/>
              <w:keepLines w:val="0"/>
              <w:pageBreakBefore w:val="0"/>
              <w:kinsoku/>
              <w:wordWrap/>
              <w:overflowPunct/>
              <w:topLinePunct w:val="0"/>
              <w:autoSpaceDE/>
              <w:autoSpaceDN/>
              <w:bidi w:val="0"/>
              <w:spacing w:after="0" w:line="320" w:lineRule="exact"/>
              <w:ind w:left="0" w:leftChars="0"/>
              <w:jc w:val="center"/>
              <w:rPr>
                <w:rFonts w:hint="eastAsia" w:ascii="宋体" w:hAnsi="宋体" w:eastAsia="宋体" w:cs="宋体"/>
                <w:kern w:val="0"/>
                <w:sz w:val="21"/>
                <w:szCs w:val="21"/>
                <w:lang w:val="en-US" w:eastAsia="zh-CN"/>
              </w:rPr>
            </w:pPr>
            <w:r>
              <w:rPr>
                <w:rFonts w:hint="eastAsia" w:ascii="宋体" w:hAnsi="宋体" w:cs="宋体"/>
                <w:sz w:val="21"/>
                <w:szCs w:val="21"/>
                <w:lang w:val="en-US" w:eastAsia="zh-CN"/>
              </w:rPr>
              <w:t>5</w:t>
            </w:r>
          </w:p>
        </w:tc>
      </w:tr>
      <w:tr w14:paraId="7CDD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noWrap w:val="0"/>
            <w:vAlign w:val="center"/>
          </w:tcPr>
          <w:p w14:paraId="698651C3">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14</w:t>
            </w:r>
          </w:p>
        </w:tc>
        <w:tc>
          <w:tcPr>
            <w:tcW w:w="1194" w:type="dxa"/>
            <w:noWrap w:val="0"/>
            <w:vAlign w:val="center"/>
          </w:tcPr>
          <w:p w14:paraId="0FF2A999">
            <w:pPr>
              <w:keepNext w:val="0"/>
              <w:keepLines w:val="0"/>
              <w:pageBreakBefore w:val="0"/>
              <w:kinsoku/>
              <w:wordWrap/>
              <w:overflowPunct/>
              <w:topLinePunct w:val="0"/>
              <w:autoSpaceDE/>
              <w:autoSpaceDN/>
              <w:bidi w:val="0"/>
              <w:spacing w:line="320" w:lineRule="exact"/>
              <w:jc w:val="center"/>
              <w:textAlignment w:val="baseline"/>
              <w:rPr>
                <w:rFonts w:hint="eastAsia" w:ascii="宋体" w:hAnsi="宋体" w:eastAsia="宋体" w:cs="宋体"/>
                <w:b w:val="0"/>
                <w:bCs w:val="0"/>
                <w:color w:val="000000"/>
                <w:sz w:val="21"/>
                <w:szCs w:val="21"/>
              </w:rPr>
            </w:pPr>
            <w:r>
              <w:rPr>
                <w:rFonts w:hint="eastAsia"/>
              </w:rPr>
              <w:t>施工质量控制</w:t>
            </w:r>
          </w:p>
        </w:tc>
        <w:tc>
          <w:tcPr>
            <w:tcW w:w="7353" w:type="dxa"/>
            <w:noWrap w:val="0"/>
            <w:vAlign w:val="center"/>
          </w:tcPr>
          <w:p w14:paraId="0026920C">
            <w:pPr>
              <w:keepNext w:val="0"/>
              <w:keepLines w:val="0"/>
              <w:pageBreakBefore w:val="0"/>
              <w:widowControl w:val="0"/>
              <w:kinsoku/>
              <w:wordWrap/>
              <w:overflowPunct/>
              <w:topLinePunct w:val="0"/>
              <w:autoSpaceDE/>
              <w:autoSpaceDN/>
              <w:bidi w:val="0"/>
              <w:adjustRightInd/>
              <w:snapToGrid/>
              <w:spacing w:line="320" w:lineRule="exact"/>
              <w:jc w:val="left"/>
              <w:textAlignment w:val="baseline"/>
              <w:rPr>
                <w:rFonts w:hint="eastAsia" w:ascii="宋体" w:hAnsi="宋体" w:eastAsia="宋体" w:cs="宋体"/>
                <w:color w:val="000000"/>
                <w:sz w:val="21"/>
                <w:szCs w:val="21"/>
                <w:lang w:eastAsia="zh-CN"/>
              </w:rPr>
            </w:pPr>
            <w:r>
              <w:rPr>
                <w:rFonts w:hint="eastAsia" w:ascii="宋体" w:hAnsi="宋体" w:cs="宋体"/>
                <w:szCs w:val="21"/>
              </w:rPr>
              <w:t>针对本项目施工质量目标是否明确，质量控制措施是否科学、合理，且有技术支撑，由磋商小组进行打分。</w:t>
            </w:r>
          </w:p>
        </w:tc>
        <w:tc>
          <w:tcPr>
            <w:tcW w:w="825" w:type="dxa"/>
            <w:noWrap w:val="0"/>
            <w:vAlign w:val="center"/>
          </w:tcPr>
          <w:p w14:paraId="0BAF6020">
            <w:pPr>
              <w:pStyle w:val="23"/>
              <w:keepNext w:val="0"/>
              <w:keepLines w:val="0"/>
              <w:pageBreakBefore w:val="0"/>
              <w:kinsoku/>
              <w:wordWrap/>
              <w:overflowPunct/>
              <w:topLinePunct w:val="0"/>
              <w:autoSpaceDE/>
              <w:autoSpaceDN/>
              <w:bidi w:val="0"/>
              <w:spacing w:after="0" w:line="320" w:lineRule="exact"/>
              <w:ind w:left="0" w:leftChars="0"/>
              <w:jc w:val="center"/>
              <w:rPr>
                <w:rFonts w:hint="eastAsia" w:ascii="宋体" w:hAnsi="宋体" w:eastAsia="宋体" w:cs="宋体"/>
                <w:kern w:val="0"/>
                <w:sz w:val="21"/>
                <w:szCs w:val="21"/>
                <w:lang w:val="en-US" w:eastAsia="zh-CN"/>
              </w:rPr>
            </w:pPr>
            <w:r>
              <w:rPr>
                <w:rFonts w:hint="eastAsia" w:ascii="宋体" w:hAnsi="宋体" w:cs="宋体"/>
                <w:sz w:val="21"/>
                <w:szCs w:val="21"/>
                <w:lang w:val="en-US" w:eastAsia="zh-CN"/>
              </w:rPr>
              <w:t>5</w:t>
            </w:r>
          </w:p>
        </w:tc>
      </w:tr>
      <w:tr w14:paraId="53B0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noWrap w:val="0"/>
            <w:vAlign w:val="center"/>
          </w:tcPr>
          <w:p w14:paraId="0AFF3229">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15</w:t>
            </w:r>
          </w:p>
        </w:tc>
        <w:tc>
          <w:tcPr>
            <w:tcW w:w="1194" w:type="dxa"/>
            <w:noWrap w:val="0"/>
            <w:vAlign w:val="center"/>
          </w:tcPr>
          <w:p w14:paraId="2929C829">
            <w:pPr>
              <w:keepNext w:val="0"/>
              <w:keepLines w:val="0"/>
              <w:pageBreakBefore w:val="0"/>
              <w:kinsoku/>
              <w:wordWrap/>
              <w:overflowPunct/>
              <w:topLinePunct w:val="0"/>
              <w:autoSpaceDE/>
              <w:autoSpaceDN/>
              <w:bidi w:val="0"/>
              <w:spacing w:line="320" w:lineRule="exact"/>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000000"/>
                <w:sz w:val="21"/>
                <w:szCs w:val="21"/>
              </w:rPr>
              <w:t>应急预案</w:t>
            </w:r>
          </w:p>
        </w:tc>
        <w:tc>
          <w:tcPr>
            <w:tcW w:w="7353" w:type="dxa"/>
            <w:noWrap w:val="0"/>
            <w:vAlign w:val="center"/>
          </w:tcPr>
          <w:p w14:paraId="34FA291C">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宋体" w:hAnsi="宋体" w:eastAsia="宋体" w:cs="Times New Roman"/>
                <w:b w:val="0"/>
                <w:bCs w:val="0"/>
                <w:color w:val="000000"/>
                <w:kern w:val="2"/>
                <w:sz w:val="21"/>
                <w:szCs w:val="21"/>
                <w:highlight w:val="none"/>
                <w:lang w:val="en-US" w:eastAsia="zh-CN" w:bidi="ar-SA"/>
              </w:rPr>
            </w:pPr>
            <w:r>
              <w:rPr>
                <w:rFonts w:hint="eastAsia" w:ascii="宋体" w:hAnsi="宋体" w:eastAsia="宋体" w:cs="宋体"/>
                <w:color w:val="000000"/>
                <w:sz w:val="21"/>
                <w:szCs w:val="21"/>
                <w:lang w:eastAsia="zh-CN"/>
              </w:rPr>
              <w:t>根据供应商</w:t>
            </w:r>
            <w:r>
              <w:rPr>
                <w:rFonts w:hint="eastAsia" w:ascii="宋体" w:hAnsi="宋体" w:eastAsia="宋体" w:cs="宋体"/>
                <w:color w:val="000000"/>
                <w:sz w:val="21"/>
                <w:szCs w:val="21"/>
              </w:rPr>
              <w:t>针对</w:t>
            </w:r>
            <w:r>
              <w:rPr>
                <w:rFonts w:hint="eastAsia" w:ascii="宋体" w:hAnsi="宋体" w:eastAsia="宋体" w:cs="宋体"/>
                <w:color w:val="000000"/>
                <w:sz w:val="21"/>
                <w:szCs w:val="21"/>
                <w:lang w:eastAsia="zh-CN"/>
              </w:rPr>
              <w:t>本</w:t>
            </w:r>
            <w:r>
              <w:rPr>
                <w:rFonts w:hint="eastAsia" w:ascii="宋体" w:hAnsi="宋体" w:eastAsia="宋体" w:cs="宋体"/>
                <w:color w:val="000000"/>
                <w:sz w:val="21"/>
                <w:szCs w:val="21"/>
              </w:rPr>
              <w:t>项目</w:t>
            </w:r>
            <w:r>
              <w:rPr>
                <w:rFonts w:hint="eastAsia" w:ascii="宋体" w:hAnsi="宋体" w:eastAsia="宋体" w:cs="宋体"/>
                <w:color w:val="000000"/>
                <w:sz w:val="21"/>
                <w:szCs w:val="21"/>
                <w:lang w:eastAsia="zh-CN"/>
              </w:rPr>
              <w:t>施工</w:t>
            </w:r>
            <w:r>
              <w:rPr>
                <w:rFonts w:hint="eastAsia" w:ascii="宋体" w:hAnsi="宋体" w:eastAsia="宋体" w:cs="宋体"/>
                <w:color w:val="000000"/>
                <w:sz w:val="21"/>
                <w:szCs w:val="21"/>
              </w:rPr>
              <w:t>过程中可能遇到的紧急事件、异常处理等应急预案和应急预案对应的解决措施情及承诺况，</w:t>
            </w:r>
            <w:r>
              <w:rPr>
                <w:rFonts w:hint="eastAsia" w:ascii="宋体" w:hAnsi="宋体" w:eastAsia="宋体" w:cs="宋体"/>
                <w:sz w:val="21"/>
                <w:szCs w:val="21"/>
              </w:rPr>
              <w:t>由磋商小组进行打分。</w:t>
            </w:r>
          </w:p>
        </w:tc>
        <w:tc>
          <w:tcPr>
            <w:tcW w:w="825" w:type="dxa"/>
            <w:noWrap w:val="0"/>
            <w:vAlign w:val="center"/>
          </w:tcPr>
          <w:p w14:paraId="31F46547">
            <w:pPr>
              <w:keepNext w:val="0"/>
              <w:keepLines w:val="0"/>
              <w:pageBreakBefore w:val="0"/>
              <w:widowControl/>
              <w:kinsoku/>
              <w:wordWrap/>
              <w:overflowPunct/>
              <w:topLinePunct w:val="0"/>
              <w:autoSpaceDE/>
              <w:autoSpaceDN/>
              <w:bidi w:val="0"/>
              <w:spacing w:line="32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3</w:t>
            </w:r>
          </w:p>
        </w:tc>
      </w:tr>
      <w:tr w14:paraId="479C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noWrap w:val="0"/>
            <w:vAlign w:val="center"/>
          </w:tcPr>
          <w:p w14:paraId="7AB60043">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16</w:t>
            </w:r>
          </w:p>
        </w:tc>
        <w:tc>
          <w:tcPr>
            <w:tcW w:w="1194" w:type="dxa"/>
            <w:noWrap w:val="0"/>
            <w:vAlign w:val="center"/>
          </w:tcPr>
          <w:p w14:paraId="0A84D49D">
            <w:pPr>
              <w:keepNext w:val="0"/>
              <w:keepLines w:val="0"/>
              <w:pageBreakBefore w:val="0"/>
              <w:kinsoku/>
              <w:wordWrap/>
              <w:overflowPunct/>
              <w:topLinePunct w:val="0"/>
              <w:autoSpaceDE/>
              <w:autoSpaceDN/>
              <w:bidi w:val="0"/>
              <w:snapToGrid w:val="0"/>
              <w:spacing w:line="3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000000"/>
                <w:sz w:val="21"/>
                <w:szCs w:val="21"/>
              </w:rPr>
              <w:t>合理化建议</w:t>
            </w:r>
          </w:p>
        </w:tc>
        <w:tc>
          <w:tcPr>
            <w:tcW w:w="7353" w:type="dxa"/>
            <w:noWrap w:val="0"/>
            <w:vAlign w:val="center"/>
          </w:tcPr>
          <w:p w14:paraId="057DDF7B">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根据供应商针对本项目施工提出的合理化建议，且所提建议切合实际确实能改善、优化提升本次施工过程中可能遇到的问题，由</w:t>
            </w:r>
            <w:r>
              <w:rPr>
                <w:rFonts w:hint="eastAsia" w:ascii="宋体" w:hAnsi="宋体" w:eastAsia="宋体" w:cs="宋体"/>
                <w:color w:val="000000"/>
                <w:sz w:val="21"/>
                <w:szCs w:val="21"/>
                <w:lang w:val="en-US" w:eastAsia="zh-CN"/>
              </w:rPr>
              <w:t>磋商小组</w:t>
            </w:r>
            <w:r>
              <w:rPr>
                <w:rFonts w:hint="eastAsia" w:ascii="宋体" w:hAnsi="宋体" w:eastAsia="宋体" w:cs="宋体"/>
                <w:color w:val="000000"/>
                <w:sz w:val="21"/>
                <w:szCs w:val="21"/>
                <w:lang w:eastAsia="zh-CN"/>
              </w:rPr>
              <w:t>结合本项目情况对其科学性、合理性等方面进行评分。</w:t>
            </w:r>
          </w:p>
        </w:tc>
        <w:tc>
          <w:tcPr>
            <w:tcW w:w="825" w:type="dxa"/>
            <w:noWrap w:val="0"/>
            <w:vAlign w:val="center"/>
          </w:tcPr>
          <w:p w14:paraId="3C718810">
            <w:pPr>
              <w:pStyle w:val="23"/>
              <w:keepNext w:val="0"/>
              <w:keepLines w:val="0"/>
              <w:pageBreakBefore w:val="0"/>
              <w:kinsoku/>
              <w:wordWrap/>
              <w:overflowPunct/>
              <w:topLinePunct w:val="0"/>
              <w:autoSpaceDE/>
              <w:autoSpaceDN/>
              <w:bidi w:val="0"/>
              <w:spacing w:after="0" w:line="32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w:t>
            </w:r>
          </w:p>
        </w:tc>
      </w:tr>
      <w:tr w14:paraId="18B8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noWrap w:val="0"/>
            <w:vAlign w:val="center"/>
          </w:tcPr>
          <w:p w14:paraId="171E78DB">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备注</w:t>
            </w:r>
          </w:p>
        </w:tc>
        <w:tc>
          <w:tcPr>
            <w:tcW w:w="9372" w:type="dxa"/>
            <w:gridSpan w:val="3"/>
            <w:noWrap w:val="0"/>
            <w:vAlign w:val="center"/>
          </w:tcPr>
          <w:p w14:paraId="772B9EC6">
            <w:pPr>
              <w:keepNext w:val="0"/>
              <w:keepLines w:val="0"/>
              <w:pageBreakBefore w:val="0"/>
              <w:kinsoku/>
              <w:wordWrap/>
              <w:overflowPunct/>
              <w:topLinePunct w:val="0"/>
              <w:autoSpaceDE/>
              <w:autoSpaceDN/>
              <w:bidi w:val="0"/>
              <w:snapToGrid w:val="0"/>
              <w:spacing w:line="32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以上证书、证件及证明材料可提供复印件或复制件或扫描件或电子打印件，提供的复印件或复制件或扫描件或电子打印件均需加盖投标人单位公章；</w:t>
            </w:r>
          </w:p>
        </w:tc>
      </w:tr>
      <w:tr w14:paraId="1E19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12" w:type="dxa"/>
            <w:gridSpan w:val="4"/>
            <w:noWrap w:val="0"/>
            <w:vAlign w:val="center"/>
          </w:tcPr>
          <w:p w14:paraId="35544A7F">
            <w:pPr>
              <w:keepNext w:val="0"/>
              <w:keepLines w:val="0"/>
              <w:pageBreakBefore w:val="0"/>
              <w:kinsoku/>
              <w:wordWrap/>
              <w:overflowPunct/>
              <w:topLinePunct w:val="0"/>
              <w:autoSpaceDE/>
              <w:autoSpaceDN/>
              <w:bidi w:val="0"/>
              <w:spacing w:line="320" w:lineRule="exact"/>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b/>
                <w:kern w:val="0"/>
                <w:szCs w:val="21"/>
                <w:lang w:val="zh-CN"/>
              </w:rPr>
              <w:t>第二部分</w:t>
            </w:r>
            <w:r>
              <w:rPr>
                <w:rFonts w:hint="eastAsia" w:ascii="宋体"/>
                <w:b/>
                <w:kern w:val="0"/>
                <w:szCs w:val="21"/>
              </w:rPr>
              <w:t xml:space="preserve"> </w:t>
            </w:r>
            <w:r>
              <w:rPr>
                <w:rFonts w:hint="eastAsia" w:ascii="宋体"/>
                <w:b/>
                <w:kern w:val="0"/>
                <w:szCs w:val="21"/>
                <w:lang w:val="zh-CN"/>
              </w:rPr>
              <w:t>报价文件评分</w:t>
            </w:r>
          </w:p>
        </w:tc>
      </w:tr>
      <w:tr w14:paraId="72C0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40" w:type="dxa"/>
            <w:noWrap w:val="0"/>
            <w:vAlign w:val="center"/>
          </w:tcPr>
          <w:p w14:paraId="5493A1A1">
            <w:pPr>
              <w:keepNext w:val="0"/>
              <w:keepLines w:val="0"/>
              <w:pageBreakBefore w:val="0"/>
              <w:widowControl/>
              <w:kinsoku/>
              <w:wordWrap/>
              <w:overflowPunct/>
              <w:topLinePunct w:val="0"/>
              <w:autoSpaceDE/>
              <w:autoSpaceDN/>
              <w:bidi w:val="0"/>
              <w:spacing w:line="320" w:lineRule="exact"/>
              <w:jc w:val="center"/>
              <w:rPr>
                <w:rFonts w:hint="eastAsia" w:ascii="宋体" w:hAnsi="宋体" w:eastAsia="宋体" w:cs="宋体"/>
                <w:b/>
                <w:bCs/>
                <w:color w:val="auto"/>
                <w:kern w:val="0"/>
                <w:sz w:val="21"/>
                <w:szCs w:val="21"/>
                <w:highlight w:val="none"/>
              </w:rPr>
            </w:pPr>
            <w:r>
              <w:rPr>
                <w:rFonts w:hint="eastAsia" w:ascii="宋体" w:hAnsi="宋体"/>
                <w:b/>
                <w:szCs w:val="21"/>
              </w:rPr>
              <w:t>评分标准</w:t>
            </w:r>
          </w:p>
        </w:tc>
        <w:tc>
          <w:tcPr>
            <w:tcW w:w="8547" w:type="dxa"/>
            <w:gridSpan w:val="2"/>
            <w:noWrap w:val="0"/>
            <w:vAlign w:val="center"/>
          </w:tcPr>
          <w:p w14:paraId="319BB0B5">
            <w:pPr>
              <w:keepNext w:val="0"/>
              <w:keepLines w:val="0"/>
              <w:pageBreakBefore w:val="0"/>
              <w:kinsoku/>
              <w:wordWrap/>
              <w:overflowPunct/>
              <w:topLinePunct w:val="0"/>
              <w:autoSpaceDE/>
              <w:autoSpaceDN/>
              <w:bidi w:val="0"/>
              <w:spacing w:line="320" w:lineRule="exact"/>
              <w:ind w:firstLine="210" w:firstLineChars="100"/>
              <w:rPr>
                <w:rFonts w:ascii="宋体"/>
                <w:b/>
                <w:kern w:val="0"/>
                <w:szCs w:val="21"/>
                <w:u w:val="single"/>
                <w:lang w:val="zh-CN"/>
              </w:rPr>
            </w:pPr>
            <w:r>
              <w:rPr>
                <w:rFonts w:hint="eastAsia" w:ascii="宋体"/>
                <w:kern w:val="0"/>
                <w:szCs w:val="21"/>
                <w:lang w:val="zh-CN"/>
              </w:rPr>
              <w:t>（1）各供应商报价文件得分由评标委员会按各供应商的报价统一计算</w:t>
            </w:r>
            <w:r>
              <w:rPr>
                <w:rFonts w:hint="eastAsia" w:ascii="宋体"/>
                <w:b/>
                <w:kern w:val="0"/>
                <w:szCs w:val="21"/>
                <w:lang w:val="zh-CN"/>
              </w:rPr>
              <w:t>。</w:t>
            </w:r>
          </w:p>
          <w:p w14:paraId="6C1D9E18">
            <w:pPr>
              <w:keepNext w:val="0"/>
              <w:keepLines w:val="0"/>
              <w:pageBreakBefore w:val="0"/>
              <w:kinsoku/>
              <w:wordWrap/>
              <w:overflowPunct/>
              <w:topLinePunct w:val="0"/>
              <w:autoSpaceDE/>
              <w:autoSpaceDN/>
              <w:bidi w:val="0"/>
              <w:spacing w:line="320" w:lineRule="exact"/>
              <w:ind w:firstLine="210" w:firstLineChars="100"/>
              <w:rPr>
                <w:rFonts w:ascii="宋体"/>
                <w:kern w:val="0"/>
                <w:szCs w:val="21"/>
                <w:lang w:val="zh-CN"/>
              </w:rPr>
            </w:pPr>
            <w:r>
              <w:rPr>
                <w:rFonts w:hint="eastAsia" w:ascii="宋体"/>
                <w:kern w:val="0"/>
                <w:szCs w:val="21"/>
                <w:lang w:val="zh-CN"/>
              </w:rPr>
              <w:t>（2）报价文件评分采用低价优先法计算，即满足采购文件要求且投标价格最低的投标报价为评标基准价。投标报价最低的供应商，其报价文件得满分。其他供应商的报价文件得分按下列公式计算：</w:t>
            </w:r>
          </w:p>
          <w:p w14:paraId="7A210B98">
            <w:pPr>
              <w:keepNext w:val="0"/>
              <w:keepLines w:val="0"/>
              <w:pageBreakBefore w:val="0"/>
              <w:kinsoku/>
              <w:wordWrap/>
              <w:overflowPunct/>
              <w:topLinePunct w:val="0"/>
              <w:autoSpaceDE/>
              <w:autoSpaceDN/>
              <w:bidi w:val="0"/>
              <w:spacing w:line="320" w:lineRule="exact"/>
              <w:ind w:firstLine="422" w:firstLineChars="200"/>
              <w:rPr>
                <w:rFonts w:hint="eastAsia" w:ascii="宋体" w:hAnsi="宋体" w:eastAsia="宋体" w:cs="宋体"/>
                <w:b/>
                <w:color w:val="auto"/>
                <w:sz w:val="21"/>
                <w:szCs w:val="21"/>
                <w:highlight w:val="none"/>
              </w:rPr>
            </w:pPr>
            <w:r>
              <w:rPr>
                <w:rFonts w:hint="eastAsia" w:ascii="宋体" w:hAnsi="宋体" w:cs="宋体"/>
                <w:b/>
                <w:szCs w:val="21"/>
                <w:u w:val="single"/>
                <w:lang w:val="zh-CN" w:bidi="ar"/>
              </w:rPr>
              <w:t>投标</w:t>
            </w:r>
            <w:r>
              <w:rPr>
                <w:rFonts w:hint="eastAsia" w:ascii="宋体"/>
                <w:b/>
                <w:kern w:val="0"/>
                <w:szCs w:val="21"/>
                <w:u w:val="single"/>
                <w:lang w:val="zh-CN"/>
              </w:rPr>
              <w:t>报价得</w:t>
            </w:r>
            <w:r>
              <w:rPr>
                <w:rFonts w:ascii="宋体"/>
                <w:b/>
                <w:kern w:val="0"/>
                <w:szCs w:val="21"/>
                <w:u w:val="single"/>
                <w:lang w:val="zh-CN"/>
              </w:rPr>
              <w:t>分=(评标基准价／投标报价)×</w:t>
            </w:r>
            <w:r>
              <w:rPr>
                <w:rFonts w:hint="eastAsia" w:ascii="宋体"/>
                <w:b/>
                <w:kern w:val="0"/>
                <w:szCs w:val="21"/>
                <w:u w:val="single"/>
                <w:lang w:val="en-US" w:eastAsia="zh-CN"/>
              </w:rPr>
              <w:t>30</w:t>
            </w:r>
            <w:r>
              <w:rPr>
                <w:rFonts w:hint="eastAsia" w:ascii="宋体"/>
                <w:b/>
                <w:kern w:val="0"/>
                <w:szCs w:val="21"/>
                <w:u w:val="single"/>
                <w:lang w:val="zh-CN"/>
              </w:rPr>
              <w:t>%</w:t>
            </w:r>
            <w:r>
              <w:rPr>
                <w:rFonts w:ascii="宋体"/>
                <w:b/>
                <w:kern w:val="0"/>
                <w:szCs w:val="21"/>
                <w:u w:val="single"/>
                <w:lang w:val="zh-CN"/>
              </w:rPr>
              <w:t>×100</w:t>
            </w:r>
            <w:r>
              <w:rPr>
                <w:rFonts w:hint="eastAsia" w:ascii="宋体"/>
                <w:b/>
                <w:kern w:val="0"/>
                <w:szCs w:val="21"/>
                <w:u w:val="single"/>
                <w:lang w:val="zh-CN"/>
              </w:rPr>
              <w:t xml:space="preserve"> 。</w:t>
            </w:r>
          </w:p>
        </w:tc>
        <w:tc>
          <w:tcPr>
            <w:tcW w:w="825" w:type="dxa"/>
            <w:noWrap w:val="0"/>
            <w:vAlign w:val="center"/>
          </w:tcPr>
          <w:p w14:paraId="7B818B53">
            <w:pPr>
              <w:keepNext w:val="0"/>
              <w:keepLines w:val="0"/>
              <w:pageBreakBefore w:val="0"/>
              <w:kinsoku/>
              <w:wordWrap/>
              <w:overflowPunct/>
              <w:topLinePunct w:val="0"/>
              <w:autoSpaceDE/>
              <w:autoSpaceDN/>
              <w:bidi w:val="0"/>
              <w:spacing w:line="320" w:lineRule="exact"/>
              <w:jc w:val="center"/>
              <w:rPr>
                <w:rFonts w:hint="eastAsia" w:ascii="宋体" w:hAnsi="宋体" w:eastAsia="宋体" w:cs="宋体"/>
                <w:b/>
                <w:color w:val="auto"/>
                <w:sz w:val="21"/>
                <w:szCs w:val="21"/>
                <w:highlight w:val="none"/>
              </w:rPr>
            </w:pPr>
            <w:r>
              <w:rPr>
                <w:rFonts w:hint="eastAsia" w:ascii="宋体" w:hAnsi="宋体" w:cs="宋体"/>
                <w:b w:val="0"/>
                <w:bCs/>
                <w:szCs w:val="21"/>
                <w:lang w:val="en-US" w:eastAsia="zh-CN" w:bidi="ar"/>
              </w:rPr>
              <w:t>30</w:t>
            </w:r>
          </w:p>
        </w:tc>
      </w:tr>
    </w:tbl>
    <w:p w14:paraId="60261C1E">
      <w:pPr>
        <w:tabs>
          <w:tab w:val="left" w:pos="900"/>
        </w:tabs>
        <w:spacing w:line="360" w:lineRule="auto"/>
        <w:ind w:firstLine="403" w:firstLineChars="192"/>
        <w:rPr>
          <w:rFonts w:ascii="宋体" w:cs="宋体"/>
          <w:bCs/>
          <w:color w:val="auto"/>
          <w:szCs w:val="21"/>
          <w:highlight w:val="none"/>
        </w:rPr>
        <w:sectPr>
          <w:pgSz w:w="11906" w:h="16838"/>
          <w:pgMar w:top="1440" w:right="1587" w:bottom="1440" w:left="1587" w:header="851" w:footer="992" w:gutter="0"/>
          <w:cols w:space="720" w:num="1"/>
          <w:docGrid w:type="lines" w:linePitch="312" w:charSpace="0"/>
        </w:sectPr>
      </w:pPr>
    </w:p>
    <w:p w14:paraId="686A59FD">
      <w:pPr>
        <w:pStyle w:val="3"/>
        <w:spacing w:line="380" w:lineRule="exact"/>
        <w:jc w:val="center"/>
        <w:rPr>
          <w:rFonts w:hint="eastAsia" w:hAnsi="宋体" w:cs="宋体"/>
          <w:b w:val="0"/>
          <w:color w:val="auto"/>
          <w:sz w:val="21"/>
          <w:szCs w:val="21"/>
          <w:highlight w:val="none"/>
        </w:rPr>
      </w:pPr>
      <w:bookmarkStart w:id="118" w:name="_Toc9850"/>
      <w:bookmarkStart w:id="119" w:name="_Toc31367"/>
      <w:r>
        <w:rPr>
          <w:rFonts w:hint="eastAsia" w:ascii="宋体" w:hAnsi="宋体" w:cs="宋体"/>
          <w:color w:val="auto"/>
          <w:sz w:val="32"/>
          <w:szCs w:val="32"/>
          <w:highlight w:val="none"/>
        </w:rPr>
        <w:t>第五章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合同条款及格式</w:t>
      </w:r>
      <w:bookmarkEnd w:id="118"/>
      <w:bookmarkEnd w:id="119"/>
    </w:p>
    <w:p w14:paraId="0A970993">
      <w:pPr>
        <w:adjustRightInd w:val="0"/>
        <w:snapToGrid w:val="0"/>
        <w:spacing w:line="360" w:lineRule="auto"/>
        <w:ind w:firstLine="422" w:firstLineChars="200"/>
        <w:rPr>
          <w:rFonts w:hint="eastAsia" w:ascii="宋体" w:hAnsi="宋体" w:eastAsia="宋体" w:cs="宋体"/>
          <w:sz w:val="21"/>
          <w:szCs w:val="21"/>
          <w:u w:val="single"/>
        </w:rPr>
      </w:pPr>
      <w:bookmarkStart w:id="120" w:name="_Toc528927453"/>
      <w:bookmarkStart w:id="121" w:name="_Toc9902"/>
      <w:bookmarkStart w:id="122" w:name="_Toc528927454"/>
      <w:bookmarkStart w:id="123" w:name="_Toc508888809"/>
      <w:bookmarkStart w:id="124" w:name="_Toc458084045"/>
      <w:r>
        <w:rPr>
          <w:rFonts w:hint="eastAsia" w:ascii="宋体" w:hAnsi="宋体" w:eastAsia="宋体" w:cs="宋体"/>
          <w:b/>
          <w:sz w:val="21"/>
          <w:szCs w:val="21"/>
        </w:rPr>
        <w:t>发包人（全称）</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仙居县白塔镇人民政府</w:t>
      </w:r>
      <w:r>
        <w:rPr>
          <w:rFonts w:hint="eastAsia" w:ascii="宋体" w:hAnsi="宋体" w:eastAsia="宋体" w:cs="宋体"/>
          <w:sz w:val="21"/>
          <w:szCs w:val="21"/>
          <w:u w:val="single"/>
        </w:rPr>
        <w:t xml:space="preserve">                                   </w:t>
      </w:r>
    </w:p>
    <w:p w14:paraId="1C49E416">
      <w:pPr>
        <w:adjustRightInd w:val="0"/>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承包人（全称）</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14:paraId="6509B41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依照《中华人民共和国民法典》、《中华人民共和国建筑法》及其他有关法律、行政法规、遵循平等、自愿、公平和诚实信用的原则，双方就本建设工程施工项协商一致，订立本合同。</w:t>
      </w:r>
    </w:p>
    <w:p w14:paraId="4DC42227">
      <w:pPr>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一、工程概况</w:t>
      </w:r>
    </w:p>
    <w:p w14:paraId="1CF6DE33">
      <w:pPr>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1.工程名称：</w:t>
      </w:r>
      <w:r>
        <w:rPr>
          <w:rFonts w:hint="eastAsia" w:ascii="宋体" w:hAnsi="宋体" w:eastAsia="宋体" w:cs="宋体"/>
          <w:sz w:val="21"/>
          <w:szCs w:val="21"/>
          <w:u w:val="single"/>
        </w:rPr>
        <w:t xml:space="preserve"> </w:t>
      </w:r>
      <w:r>
        <w:rPr>
          <w:rFonts w:hint="eastAsia" w:ascii="宋体" w:hAnsi="宋体" w:cs="宋体"/>
          <w:sz w:val="21"/>
          <w:szCs w:val="21"/>
          <w:u w:val="single"/>
          <w:lang w:eastAsia="zh-CN"/>
        </w:rPr>
        <w:t>神仙居5A景区镇基础设施提升项目-游客集散中心（景区集散点）项目（重新招标）</w:t>
      </w:r>
    </w:p>
    <w:p w14:paraId="6415D670">
      <w:pPr>
        <w:numPr>
          <w:ilvl w:val="0"/>
          <w:numId w:val="12"/>
        </w:numPr>
        <w:adjustRightInd w:val="0"/>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工程地点：</w:t>
      </w:r>
      <w:r>
        <w:rPr>
          <w:rFonts w:hint="eastAsia" w:ascii="宋体" w:hAnsi="宋体" w:eastAsia="宋体" w:cs="宋体"/>
          <w:sz w:val="21"/>
          <w:szCs w:val="21"/>
          <w:u w:val="single"/>
          <w:lang w:val="en-US" w:eastAsia="zh-CN"/>
        </w:rPr>
        <w:t>仙居县白塔镇</w:t>
      </w:r>
    </w:p>
    <w:p w14:paraId="7970C7EB">
      <w:pPr>
        <w:adjustRightInd w:val="0"/>
        <w:snapToGrid w:val="0"/>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rPr>
        <w:t xml:space="preserve">    3.工程立项批准文号：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highlight w:val="none"/>
          <w:u w:val="single"/>
          <w:lang w:val="en-US" w:eastAsia="zh-CN"/>
        </w:rPr>
        <w:t xml:space="preserve">仙发改审批〔2025〕10号 </w:t>
      </w:r>
      <w:r>
        <w:rPr>
          <w:rFonts w:hint="eastAsia" w:ascii="宋体" w:hAnsi="宋体" w:eastAsia="宋体" w:cs="宋体"/>
          <w:sz w:val="21"/>
          <w:szCs w:val="21"/>
          <w:highlight w:val="none"/>
          <w:u w:val="single"/>
        </w:rPr>
        <w:t xml:space="preserve"> </w:t>
      </w:r>
    </w:p>
    <w:p w14:paraId="63529AAB">
      <w:pPr>
        <w:pStyle w:val="9"/>
        <w:keepNext w:val="0"/>
        <w:keepLines w:val="0"/>
        <w:pageBreakBefore w:val="0"/>
        <w:widowControl w:val="0"/>
        <w:tabs>
          <w:tab w:val="left" w:pos="574"/>
        </w:tabs>
        <w:kinsoku/>
        <w:wordWrap/>
        <w:overflowPunct/>
        <w:topLinePunct w:val="0"/>
        <w:autoSpaceDE w:val="0"/>
        <w:autoSpaceDN w:val="0"/>
        <w:bidi w:val="0"/>
        <w:adjustRightInd w:val="0"/>
        <w:snapToGrid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4.资金来源：</w:t>
      </w:r>
      <w:r>
        <w:rPr>
          <w:rFonts w:hint="eastAsia" w:ascii="宋体" w:hAnsi="宋体" w:eastAsia="宋体" w:cs="宋体"/>
          <w:sz w:val="21"/>
          <w:szCs w:val="21"/>
          <w:u w:val="single"/>
        </w:rPr>
        <w:t xml:space="preserve"> 财政资金；</w:t>
      </w:r>
    </w:p>
    <w:p w14:paraId="019B3ABB">
      <w:pPr>
        <w:pStyle w:val="9"/>
        <w:keepNext w:val="0"/>
        <w:keepLines w:val="0"/>
        <w:pageBreakBefore w:val="0"/>
        <w:widowControl w:val="0"/>
        <w:tabs>
          <w:tab w:val="left" w:pos="574"/>
        </w:tabs>
        <w:kinsoku/>
        <w:wordWrap/>
        <w:overflowPunct/>
        <w:topLinePunct w:val="0"/>
        <w:autoSpaceDE w:val="0"/>
        <w:autoSpaceDN w:val="0"/>
        <w:bidi w:val="0"/>
        <w:adjustRightInd w:val="0"/>
        <w:snapToGrid w:val="0"/>
        <w:spacing w:line="360" w:lineRule="auto"/>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5.工程内容：</w:t>
      </w:r>
      <w:r>
        <w:rPr>
          <w:rFonts w:hint="eastAsia" w:ascii="宋体" w:hAnsi="宋体" w:eastAsia="宋体" w:cs="宋体"/>
          <w:sz w:val="21"/>
          <w:szCs w:val="21"/>
          <w:u w:val="single"/>
        </w:rPr>
        <w:t>发包人</w:t>
      </w:r>
      <w:r>
        <w:rPr>
          <w:rFonts w:hint="eastAsia" w:ascii="宋体" w:hAnsi="宋体" w:eastAsia="宋体" w:cs="宋体"/>
          <w:sz w:val="21"/>
          <w:szCs w:val="21"/>
          <w:u w:val="single"/>
          <w:lang w:eastAsia="zh-CN"/>
        </w:rPr>
        <w:t>的施工图纸及预算书中所包含的全部工程组成，具体详见施工图纸、工程量清单及编制说明</w:t>
      </w:r>
      <w:r>
        <w:rPr>
          <w:rFonts w:hint="eastAsia" w:ascii="宋体" w:hAnsi="宋体" w:eastAsia="宋体" w:cs="宋体"/>
          <w:sz w:val="21"/>
          <w:szCs w:val="21"/>
          <w:u w:val="single"/>
        </w:rPr>
        <w:t>。</w:t>
      </w:r>
    </w:p>
    <w:p w14:paraId="73C376E3">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群体工程应附《承包人承揽工程项目一览表》（附件1）。</w:t>
      </w:r>
    </w:p>
    <w:p w14:paraId="54B65694">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6.工程承包范围：</w:t>
      </w:r>
      <w:r>
        <w:rPr>
          <w:rFonts w:hint="eastAsia" w:ascii="宋体" w:hAnsi="宋体" w:eastAsia="宋体" w:cs="宋体"/>
          <w:sz w:val="21"/>
          <w:szCs w:val="21"/>
          <w:u w:val="single"/>
        </w:rPr>
        <w:t>发包人</w:t>
      </w:r>
      <w:r>
        <w:rPr>
          <w:rFonts w:hint="eastAsia" w:ascii="宋体" w:hAnsi="宋体" w:eastAsia="宋体" w:cs="宋体"/>
          <w:sz w:val="21"/>
          <w:szCs w:val="21"/>
          <w:u w:val="single"/>
          <w:lang w:eastAsia="zh-CN"/>
        </w:rPr>
        <w:t>的施工图纸及预算书中所包含的全部工程组成，具体详见施工图纸、工程量清单及编制说明</w:t>
      </w:r>
      <w:r>
        <w:rPr>
          <w:rFonts w:hint="eastAsia" w:ascii="宋体" w:hAnsi="宋体" w:eastAsia="宋体" w:cs="宋体"/>
          <w:sz w:val="21"/>
          <w:szCs w:val="21"/>
          <w:u w:val="single"/>
        </w:rPr>
        <w:t>。</w:t>
      </w:r>
    </w:p>
    <w:p w14:paraId="269D029E">
      <w:pPr>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二、合同工期</w:t>
      </w:r>
    </w:p>
    <w:p w14:paraId="438A0FD8">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计划开工日期：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日。（以开工令为准）</w:t>
      </w:r>
    </w:p>
    <w:p w14:paraId="0189D29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计划竣工日期：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日。（以竣工报告为准）</w:t>
      </w:r>
    </w:p>
    <w:p w14:paraId="492895B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工期总日历天数：</w:t>
      </w:r>
      <w:r>
        <w:rPr>
          <w:rFonts w:hint="eastAsia" w:ascii="宋体" w:hAnsi="宋体" w:eastAsia="宋体" w:cs="宋体"/>
          <w:sz w:val="21"/>
          <w:szCs w:val="21"/>
          <w:u w:val="single"/>
        </w:rPr>
        <w:t xml:space="preserve">           </w:t>
      </w:r>
      <w:r>
        <w:rPr>
          <w:rFonts w:hint="eastAsia" w:ascii="宋体" w:hAnsi="宋体" w:eastAsia="宋体" w:cs="宋体"/>
          <w:sz w:val="21"/>
          <w:szCs w:val="21"/>
        </w:rPr>
        <w:t>天。工期总日历天数与根据前述计划开、竣工日期计算的工期天数不一致的，以工期总日历天数为准。</w:t>
      </w:r>
    </w:p>
    <w:p w14:paraId="268B75F9">
      <w:pPr>
        <w:spacing w:line="360" w:lineRule="exact"/>
        <w:ind w:firstLine="420" w:firstLineChars="200"/>
        <w:rPr>
          <w:rFonts w:hint="eastAsia" w:ascii="宋体" w:hAnsi="宋体" w:eastAsia="宋体" w:cs="宋体"/>
          <w:color w:val="0000FF"/>
          <w:sz w:val="21"/>
          <w:szCs w:val="21"/>
          <w:u w:val="single"/>
        </w:rPr>
      </w:pPr>
      <w:r>
        <w:rPr>
          <w:rFonts w:hint="eastAsia" w:ascii="宋体" w:hAnsi="宋体" w:eastAsia="宋体" w:cs="宋体"/>
          <w:sz w:val="21"/>
          <w:szCs w:val="21"/>
        </w:rPr>
        <w:t>中间形象进度工期要求：</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u w:val="single"/>
          <w:lang w:val="en-US" w:eastAsia="zh-CN"/>
        </w:rPr>
        <w:t xml:space="preserve">                              </w:t>
      </w:r>
      <w:r>
        <w:rPr>
          <w:rFonts w:hint="eastAsia" w:ascii="宋体" w:hAnsi="宋体" w:eastAsia="宋体" w:cs="宋体"/>
          <w:color w:val="0000FF"/>
          <w:sz w:val="21"/>
          <w:szCs w:val="21"/>
          <w:u w:val="single"/>
          <w:lang w:eastAsia="zh-CN"/>
        </w:rPr>
        <w:t>。</w:t>
      </w:r>
    </w:p>
    <w:p w14:paraId="40609BAE">
      <w:pPr>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三、质量标准</w:t>
      </w:r>
    </w:p>
    <w:p w14:paraId="7799ABA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工程质量符合</w:t>
      </w:r>
      <w:r>
        <w:rPr>
          <w:rFonts w:hint="eastAsia" w:ascii="宋体" w:hAnsi="宋体" w:eastAsia="宋体" w:cs="宋体"/>
          <w:sz w:val="21"/>
          <w:szCs w:val="21"/>
          <w:u w:val="single"/>
        </w:rPr>
        <w:t xml:space="preserve">                                     </w:t>
      </w:r>
      <w:r>
        <w:rPr>
          <w:rFonts w:hint="eastAsia" w:ascii="宋体" w:hAnsi="宋体" w:eastAsia="宋体" w:cs="宋体"/>
          <w:sz w:val="21"/>
          <w:szCs w:val="21"/>
        </w:rPr>
        <w:t>标准。</w:t>
      </w:r>
    </w:p>
    <w:p w14:paraId="1821FD9F">
      <w:pPr>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四、签约合同价与合同价格形式</w:t>
      </w:r>
      <w:r>
        <w:rPr>
          <w:rFonts w:hint="eastAsia" w:ascii="宋体" w:hAnsi="宋体" w:eastAsia="宋体" w:cs="宋体"/>
          <w:b/>
          <w:sz w:val="21"/>
          <w:szCs w:val="21"/>
        </w:rPr>
        <w:tab/>
      </w:r>
    </w:p>
    <w:p w14:paraId="48879AB5">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1.签约合同价为：</w:t>
      </w:r>
    </w:p>
    <w:p w14:paraId="2FB60FB4">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r>
        <w:rPr>
          <w:rFonts w:hint="eastAsia" w:ascii="宋体" w:hAnsi="宋体" w:eastAsia="宋体" w:cs="宋体"/>
          <w:sz w:val="21"/>
          <w:szCs w:val="21"/>
          <w:lang w:eastAsia="zh-CN"/>
        </w:rPr>
        <w:t>）</w:t>
      </w:r>
      <w:r>
        <w:rPr>
          <w:rFonts w:hint="eastAsia" w:ascii="宋体" w:hAnsi="宋体" w:eastAsia="宋体" w:cs="宋体"/>
          <w:sz w:val="21"/>
          <w:szCs w:val="21"/>
        </w:rPr>
        <w:t>；</w:t>
      </w:r>
    </w:p>
    <w:p w14:paraId="2087A0C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2.合同价格形式：</w:t>
      </w:r>
      <w:r>
        <w:rPr>
          <w:rFonts w:hint="eastAsia" w:ascii="宋体" w:hAnsi="宋体" w:eastAsia="宋体" w:cs="宋体"/>
          <w:sz w:val="21"/>
          <w:szCs w:val="21"/>
          <w:u w:val="single"/>
        </w:rPr>
        <w:t xml:space="preserve">    单价合同                    </w:t>
      </w:r>
      <w:r>
        <w:rPr>
          <w:rFonts w:hint="eastAsia" w:ascii="宋体" w:hAnsi="宋体" w:eastAsia="宋体" w:cs="宋体"/>
          <w:sz w:val="21"/>
          <w:szCs w:val="21"/>
        </w:rPr>
        <w:t>。</w:t>
      </w:r>
    </w:p>
    <w:p w14:paraId="77D32EAB">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3．发包人向承包人支付工程价款及其他应当支付的款项均须汇入承包人合同协议书中的银行账户，并开具增值税发票。</w:t>
      </w:r>
    </w:p>
    <w:p w14:paraId="2903B106">
      <w:pPr>
        <w:spacing w:line="360" w:lineRule="exact"/>
        <w:ind w:firstLine="420" w:firstLineChars="20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根据《关于全面推开营业税改征增值税试点的通知》（财税〔2016〕36号）等有关规定，</w:t>
      </w:r>
    </w:p>
    <w:p w14:paraId="0F42CDD2">
      <w:pPr>
        <w:spacing w:line="360" w:lineRule="exact"/>
        <w:ind w:firstLine="352" w:firstLineChars="168"/>
        <w:rPr>
          <w:rFonts w:hint="eastAsia" w:ascii="宋体" w:hAnsi="宋体" w:eastAsia="宋体" w:cs="宋体"/>
          <w:sz w:val="21"/>
          <w:szCs w:val="21"/>
        </w:rPr>
      </w:pPr>
      <w:r>
        <w:rPr>
          <w:rFonts w:hint="eastAsia" w:ascii="宋体" w:hAnsi="宋体" w:eastAsia="宋体" w:cs="宋体"/>
          <w:sz w:val="21"/>
          <w:szCs w:val="21"/>
          <w:shd w:val="clear" w:color="auto" w:fill="FFFFFF"/>
        </w:rPr>
        <w:t>承包人完成本合同项下应税行为的计税方式按</w:t>
      </w:r>
      <w:r>
        <w:rPr>
          <w:rFonts w:hint="eastAsia" w:ascii="宋体" w:hAnsi="宋体" w:eastAsia="宋体" w:cs="宋体"/>
          <w:sz w:val="21"/>
          <w:szCs w:val="21"/>
        </w:rPr>
        <w:t>以下第</w:t>
      </w:r>
      <w:r>
        <w:rPr>
          <w:rFonts w:hint="eastAsia" w:ascii="宋体" w:hAnsi="宋体" w:eastAsia="宋体" w:cs="宋体"/>
          <w:sz w:val="21"/>
          <w:szCs w:val="21"/>
          <w:u w:val="single"/>
          <w:shd w:val="clear" w:color="auto" w:fill="FFFFFF"/>
        </w:rPr>
        <w:t xml:space="preserve"> （1） </w:t>
      </w:r>
      <w:r>
        <w:rPr>
          <w:rFonts w:hint="eastAsia" w:ascii="宋体" w:hAnsi="宋体" w:eastAsia="宋体" w:cs="宋体"/>
          <w:sz w:val="21"/>
          <w:szCs w:val="21"/>
          <w:shd w:val="clear" w:color="auto" w:fill="FFFFFF"/>
        </w:rPr>
        <w:t>种方法，并与</w:t>
      </w:r>
      <w:r>
        <w:rPr>
          <w:rFonts w:hint="eastAsia" w:ascii="宋体" w:hAnsi="宋体" w:eastAsia="宋体" w:cs="宋体"/>
          <w:sz w:val="21"/>
          <w:szCs w:val="21"/>
        </w:rPr>
        <w:t>工程计价时采用的计税方法一致。</w:t>
      </w:r>
    </w:p>
    <w:p w14:paraId="2B00D6BA">
      <w:pPr>
        <w:spacing w:line="360" w:lineRule="exact"/>
        <w:ind w:firstLine="352" w:firstLineChars="168"/>
        <w:rPr>
          <w:rFonts w:hint="eastAsia" w:ascii="宋体" w:hAnsi="宋体" w:eastAsia="宋体" w:cs="宋体"/>
          <w:sz w:val="21"/>
          <w:szCs w:val="21"/>
        </w:rPr>
      </w:pPr>
      <w:r>
        <w:rPr>
          <w:rFonts w:hint="eastAsia" w:ascii="宋体" w:hAnsi="宋体" w:eastAsia="宋体" w:cs="宋体"/>
          <w:sz w:val="21"/>
          <w:szCs w:val="21"/>
          <w:shd w:val="clear" w:color="auto" w:fill="FFFFFF"/>
        </w:rPr>
        <w:t>（1）一般计税方法。</w:t>
      </w:r>
    </w:p>
    <w:p w14:paraId="54F14DA6">
      <w:pPr>
        <w:spacing w:line="360" w:lineRule="exact"/>
        <w:ind w:firstLine="352" w:firstLineChars="168"/>
        <w:rPr>
          <w:rFonts w:hint="eastAsia" w:ascii="宋体" w:hAnsi="宋体" w:eastAsia="宋体" w:cs="宋体"/>
          <w:sz w:val="21"/>
          <w:szCs w:val="21"/>
        </w:rPr>
      </w:pPr>
      <w:r>
        <w:rPr>
          <w:rFonts w:hint="eastAsia" w:ascii="宋体" w:hAnsi="宋体" w:eastAsia="宋体" w:cs="宋体"/>
          <w:sz w:val="21"/>
          <w:szCs w:val="21"/>
        </w:rPr>
        <w:t>（2）本工程为</w:t>
      </w:r>
      <w:r>
        <w:rPr>
          <w:rFonts w:hint="eastAsia" w:ascii="宋体" w:hAnsi="宋体" w:eastAsia="宋体" w:cs="宋体"/>
          <w:sz w:val="21"/>
          <w:szCs w:val="21"/>
          <w:u w:val="single"/>
        </w:rPr>
        <w:t xml:space="preserve">   /   </w:t>
      </w:r>
      <w:r>
        <w:rPr>
          <w:rFonts w:hint="eastAsia" w:ascii="宋体" w:hAnsi="宋体" w:eastAsia="宋体" w:cs="宋体"/>
          <w:sz w:val="21"/>
          <w:szCs w:val="21"/>
        </w:rPr>
        <w:t>工程，</w:t>
      </w:r>
      <w:r>
        <w:rPr>
          <w:rFonts w:hint="eastAsia" w:ascii="宋体" w:hAnsi="宋体" w:eastAsia="宋体" w:cs="宋体"/>
          <w:sz w:val="21"/>
          <w:szCs w:val="21"/>
          <w:shd w:val="clear" w:color="auto" w:fill="FFFFFF"/>
        </w:rPr>
        <w:t>简易计税方法。</w:t>
      </w:r>
    </w:p>
    <w:p w14:paraId="42507378">
      <w:pPr>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五、项目经理</w:t>
      </w:r>
    </w:p>
    <w:p w14:paraId="743AD20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承包人项目经理：</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F6DA765">
      <w:pPr>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六、合同文件构成</w:t>
      </w:r>
    </w:p>
    <w:p w14:paraId="44B79882">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本协议书与下列文件一起构成合同文件：</w:t>
      </w:r>
    </w:p>
    <w:p w14:paraId="21987705">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（1）中标通知书（如果有）；</w:t>
      </w:r>
    </w:p>
    <w:p w14:paraId="70AA1F60">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（2）投标函及其附录（如果有）； </w:t>
      </w:r>
    </w:p>
    <w:p w14:paraId="65C4D7C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（3）专用合同条款及其附件；</w:t>
      </w:r>
    </w:p>
    <w:p w14:paraId="29A022A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（4）通用合同条款；</w:t>
      </w:r>
    </w:p>
    <w:p w14:paraId="4012436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（5）技术标准和要求；</w:t>
      </w:r>
    </w:p>
    <w:p w14:paraId="2F04B8CC">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（6）图纸；</w:t>
      </w:r>
    </w:p>
    <w:p w14:paraId="1D1289D2">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（7）已标价工程量清单或预算书；</w:t>
      </w:r>
    </w:p>
    <w:p w14:paraId="201445D9">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（8）其他合同文件。</w:t>
      </w:r>
    </w:p>
    <w:p w14:paraId="25A355C8">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在合同订立及履行过程中形成的与合同有关的文件均构成合同文件组成部分。</w:t>
      </w:r>
    </w:p>
    <w:p w14:paraId="4A205C12">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上述各项合同文件包括合同当事人就该项合同文件所作出的补充和修改，属于同一类内容的文件，应以最新签署的为准。专用合同条款及其附件须经合同当事人签字或盖章。</w:t>
      </w:r>
    </w:p>
    <w:p w14:paraId="508AAA2B">
      <w:pPr>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七、创优目标</w:t>
      </w:r>
    </w:p>
    <w:p w14:paraId="6BDBF73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工程质量创</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152363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安全文明施工创</w:t>
      </w:r>
      <w:r>
        <w:rPr>
          <w:rFonts w:hint="eastAsia" w:ascii="宋体" w:hAnsi="宋体" w:eastAsia="宋体" w:cs="宋体"/>
          <w:sz w:val="21"/>
          <w:szCs w:val="21"/>
          <w:u w:val="single"/>
        </w:rPr>
        <w:t xml:space="preserve">   / 。</w:t>
      </w:r>
    </w:p>
    <w:p w14:paraId="4E1E8461">
      <w:pPr>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 八、承诺</w:t>
      </w:r>
    </w:p>
    <w:p w14:paraId="1AB5193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1．发包人承诺按照法律规定履行项目审批手续、筹集工程建设资金并按照合同约定的期限和方式支付合同价款。</w:t>
      </w:r>
    </w:p>
    <w:p w14:paraId="4F90A98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2．承包人承诺按照法律规定及合同约定组织完成工程施工，确保工程质量和安全，不进行转包及违法分包，并在缺陷责任期及保修期内承担相应的工程维修责任。</w:t>
      </w:r>
    </w:p>
    <w:p w14:paraId="175E860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承包人承诺不拖欠工人工资，因拖欠工资造成的一切后果，均由承包人承担，发包人有权将应拨付的工程款，先代付工资。</w:t>
      </w:r>
    </w:p>
    <w:p w14:paraId="1652B8C2">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4．发包人和承包人通过招投标形式签订合同的，双方理解并承诺不再就同一工程另行签订与合同实质性内容相背离的协议。另行签订的协议不能作为结算依据。</w:t>
      </w:r>
    </w:p>
    <w:p w14:paraId="38017796">
      <w:pPr>
        <w:spacing w:line="360" w:lineRule="exact"/>
        <w:rPr>
          <w:rFonts w:hint="eastAsia" w:ascii="宋体" w:hAnsi="宋体" w:eastAsia="宋体" w:cs="宋体"/>
          <w:bCs/>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九、词语含义</w:t>
      </w:r>
    </w:p>
    <w:p w14:paraId="63DD0DC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本协议书中词语含义与第二部分通用合同条款中赋予的含义相同。</w:t>
      </w:r>
    </w:p>
    <w:p w14:paraId="772638B8">
      <w:pPr>
        <w:pStyle w:val="5"/>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十、签订时间</w:t>
      </w:r>
    </w:p>
    <w:p w14:paraId="675B661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本合同于</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日签订。</w:t>
      </w:r>
    </w:p>
    <w:p w14:paraId="1225C2C9">
      <w:pPr>
        <w:pStyle w:val="5"/>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十一、签订地点</w:t>
      </w:r>
    </w:p>
    <w:p w14:paraId="09A065A4">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本合同在</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eastAsia="zh-CN"/>
        </w:rPr>
        <w:t>仙居县白塔镇人民政府</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签订。</w:t>
      </w:r>
    </w:p>
    <w:p w14:paraId="388FCDD4">
      <w:pPr>
        <w:pStyle w:val="5"/>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十二、补充协议</w:t>
      </w:r>
    </w:p>
    <w:p w14:paraId="7E0C6412">
      <w:pPr>
        <w:spacing w:line="360" w:lineRule="exact"/>
        <w:ind w:firstLine="420" w:firstLineChars="200"/>
        <w:rPr>
          <w:rFonts w:hint="eastAsia" w:ascii="宋体" w:hAnsi="宋体" w:eastAsia="宋体" w:cs="宋体"/>
          <w:b/>
          <w:bCs/>
          <w:sz w:val="21"/>
          <w:szCs w:val="21"/>
        </w:rPr>
      </w:pPr>
      <w:r>
        <w:rPr>
          <w:rFonts w:hint="eastAsia" w:ascii="宋体" w:hAnsi="宋体" w:eastAsia="宋体" w:cs="宋体"/>
          <w:bCs/>
          <w:sz w:val="21"/>
          <w:szCs w:val="21"/>
        </w:rPr>
        <w:t>合同未尽事宜，合同当事人另行签订补充协议，补充协议是合同的组成部分。</w:t>
      </w:r>
    </w:p>
    <w:p w14:paraId="0B1E172A">
      <w:pPr>
        <w:pStyle w:val="5"/>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十三、合同生效</w:t>
      </w:r>
    </w:p>
    <w:p w14:paraId="0F196241">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本合同自</w:t>
      </w:r>
      <w:r>
        <w:rPr>
          <w:rFonts w:hint="eastAsia" w:ascii="宋体" w:hAnsi="宋体" w:eastAsia="宋体" w:cs="宋体"/>
          <w:bCs/>
          <w:sz w:val="21"/>
          <w:szCs w:val="21"/>
          <w:u w:val="single"/>
        </w:rPr>
        <w:t>双方法定代表人或委托代理人签字并加盖公章后生效。</w:t>
      </w:r>
    </w:p>
    <w:p w14:paraId="6F11F634">
      <w:pPr>
        <w:pStyle w:val="5"/>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十四、合同份数</w:t>
      </w:r>
    </w:p>
    <w:p w14:paraId="6B6B9E43">
      <w:pPr>
        <w:wordWrap w:val="0"/>
        <w:spacing w:line="360" w:lineRule="exact"/>
        <w:ind w:firstLine="420" w:firstLineChars="200"/>
        <w:rPr>
          <w:rFonts w:hint="eastAsia" w:ascii="宋体" w:hAnsi="宋体" w:eastAsia="宋体" w:cs="宋体"/>
          <w:bCs/>
          <w:snapToGrid w:val="0"/>
          <w:sz w:val="21"/>
          <w:szCs w:val="21"/>
        </w:rPr>
      </w:pPr>
      <w:r>
        <w:rPr>
          <w:rFonts w:hint="eastAsia" w:ascii="宋体" w:hAnsi="宋体" w:eastAsia="宋体" w:cs="宋体"/>
          <w:bCs/>
          <w:sz w:val="21"/>
          <w:szCs w:val="21"/>
        </w:rPr>
        <w:t>本合同一式</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份，均具有同等法律效力，发包人执</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份，承包人执</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份。</w:t>
      </w:r>
    </w:p>
    <w:tbl>
      <w:tblPr>
        <w:tblStyle w:val="28"/>
        <w:tblW w:w="0" w:type="auto"/>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25"/>
        <w:gridCol w:w="4592"/>
      </w:tblGrid>
      <w:tr w14:paraId="64F211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94" w:hRule="atLeast"/>
        </w:trPr>
        <w:tc>
          <w:tcPr>
            <w:tcW w:w="4425" w:type="dxa"/>
            <w:tcBorders>
              <w:top w:val="single" w:color="auto" w:sz="2" w:space="0"/>
              <w:left w:val="single" w:color="auto" w:sz="2" w:space="0"/>
              <w:bottom w:val="single" w:color="auto" w:sz="2" w:space="0"/>
              <w:right w:val="single" w:color="auto" w:sz="2" w:space="0"/>
            </w:tcBorders>
            <w:noWrap w:val="0"/>
            <w:vAlign w:val="top"/>
          </w:tcPr>
          <w:p w14:paraId="12B15931">
            <w:pPr>
              <w:wordWrap w:val="0"/>
              <w:adjustRightInd w:val="0"/>
              <w:snapToGrid w:val="0"/>
              <w:spacing w:before="240" w:beforeLines="100"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发包人：（公章或合同专用章）</w:t>
            </w:r>
          </w:p>
          <w:p w14:paraId="1F557320">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住所：</w:t>
            </w:r>
          </w:p>
          <w:p w14:paraId="5003B280">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法定代表人（签字）：</w:t>
            </w:r>
          </w:p>
          <w:p w14:paraId="55A105E7">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或委托代理人（签字）：</w:t>
            </w:r>
          </w:p>
          <w:p w14:paraId="515A8581">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电话：</w:t>
            </w:r>
          </w:p>
          <w:p w14:paraId="4FD83E90">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传真：</w:t>
            </w:r>
          </w:p>
          <w:p w14:paraId="26BE8F66">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开户银行：</w:t>
            </w:r>
          </w:p>
          <w:p w14:paraId="31B6CAD4">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账号：</w:t>
            </w:r>
          </w:p>
          <w:p w14:paraId="5BAB784B">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邮政编码：</w:t>
            </w:r>
          </w:p>
          <w:p w14:paraId="6A85F769">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电子邮箱：</w:t>
            </w:r>
          </w:p>
        </w:tc>
        <w:tc>
          <w:tcPr>
            <w:tcW w:w="4592" w:type="dxa"/>
            <w:tcBorders>
              <w:top w:val="single" w:color="auto" w:sz="2" w:space="0"/>
              <w:left w:val="single" w:color="auto" w:sz="2" w:space="0"/>
              <w:bottom w:val="single" w:color="auto" w:sz="2" w:space="0"/>
              <w:right w:val="single" w:color="auto" w:sz="2" w:space="0"/>
            </w:tcBorders>
            <w:noWrap w:val="0"/>
            <w:vAlign w:val="top"/>
          </w:tcPr>
          <w:p w14:paraId="6F0594AB">
            <w:pPr>
              <w:wordWrap w:val="0"/>
              <w:adjustRightInd w:val="0"/>
              <w:snapToGrid w:val="0"/>
              <w:spacing w:before="240" w:beforeLines="100"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承包人：（公章或合同专用章）</w:t>
            </w:r>
          </w:p>
          <w:p w14:paraId="14629DEE">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住所：</w:t>
            </w:r>
          </w:p>
          <w:p w14:paraId="40358A0D">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法定代表人（签字）：</w:t>
            </w:r>
          </w:p>
          <w:p w14:paraId="51698D4C">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或委托代理人（签字）：</w:t>
            </w:r>
          </w:p>
          <w:p w14:paraId="300E6991">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电话：</w:t>
            </w:r>
          </w:p>
          <w:p w14:paraId="2FD6F6C1">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传真：</w:t>
            </w:r>
          </w:p>
          <w:p w14:paraId="2B055D13">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开户银行：</w:t>
            </w:r>
          </w:p>
          <w:p w14:paraId="0D552BF1">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账号：</w:t>
            </w:r>
          </w:p>
          <w:p w14:paraId="7E0BBF00">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邮政编码：　　　　</w:t>
            </w:r>
          </w:p>
          <w:p w14:paraId="70B3838A">
            <w:pPr>
              <w:wordWrap w:val="0"/>
              <w:adjustRightInd w:val="0"/>
              <w:snapToGrid w:val="0"/>
              <w:spacing w:line="360" w:lineRule="auto"/>
              <w:ind w:firstLine="210" w:firstLineChars="100"/>
              <w:rPr>
                <w:rFonts w:hint="eastAsia" w:ascii="宋体" w:hAnsi="宋体" w:eastAsia="宋体" w:cs="宋体"/>
                <w:snapToGrid w:val="0"/>
                <w:sz w:val="21"/>
                <w:szCs w:val="21"/>
              </w:rPr>
            </w:pPr>
            <w:r>
              <w:rPr>
                <w:rFonts w:hint="eastAsia" w:ascii="宋体" w:hAnsi="宋体" w:eastAsia="宋体" w:cs="宋体"/>
                <w:snapToGrid w:val="0"/>
                <w:sz w:val="21"/>
                <w:szCs w:val="21"/>
              </w:rPr>
              <w:t>电子邮箱：</w:t>
            </w:r>
          </w:p>
        </w:tc>
      </w:tr>
    </w:tbl>
    <w:p w14:paraId="62EBC225">
      <w:pPr>
        <w:pStyle w:val="4"/>
        <w:tabs>
          <w:tab w:val="left" w:pos="0"/>
        </w:tabs>
        <w:snapToGrid w:val="0"/>
        <w:spacing w:before="0" w:after="0" w:line="312" w:lineRule="auto"/>
        <w:jc w:val="center"/>
        <w:rPr>
          <w:rFonts w:hint="eastAsia" w:ascii="宋体" w:hAnsi="宋体" w:eastAsia="宋体" w:cs="宋体"/>
          <w:bCs w:val="0"/>
          <w:sz w:val="21"/>
          <w:szCs w:val="21"/>
        </w:rPr>
      </w:pPr>
      <w:bookmarkStart w:id="125" w:name="_Toc136335613"/>
      <w:bookmarkStart w:id="126" w:name="_Toc107735838"/>
      <w:r>
        <w:rPr>
          <w:rFonts w:hint="eastAsia" w:ascii="宋体" w:hAnsi="宋体" w:eastAsia="宋体" w:cs="宋体"/>
          <w:sz w:val="21"/>
          <w:szCs w:val="21"/>
        </w:rPr>
        <w:br w:type="page"/>
      </w:r>
      <w:bookmarkEnd w:id="125"/>
      <w:bookmarkEnd w:id="126"/>
      <w:r>
        <w:rPr>
          <w:rFonts w:hint="eastAsia" w:ascii="宋体" w:hAnsi="宋体" w:eastAsia="宋体" w:cs="宋体"/>
          <w:bCs w:val="0"/>
          <w:sz w:val="21"/>
          <w:szCs w:val="21"/>
        </w:rPr>
        <w:t>第二部分　通用合同条款（略）</w:t>
      </w:r>
    </w:p>
    <w:p w14:paraId="38C2952F">
      <w:pPr>
        <w:pStyle w:val="3"/>
        <w:tabs>
          <w:tab w:val="left" w:pos="0"/>
        </w:tabs>
        <w:snapToGrid w:val="0"/>
        <w:spacing w:before="0" w:after="0" w:line="312" w:lineRule="auto"/>
        <w:jc w:val="center"/>
        <w:rPr>
          <w:rFonts w:hint="eastAsia" w:ascii="宋体" w:hAnsi="宋体" w:eastAsia="宋体" w:cs="宋体"/>
          <w:bCs w:val="0"/>
          <w:sz w:val="21"/>
          <w:szCs w:val="21"/>
        </w:rPr>
      </w:pPr>
      <w:r>
        <w:rPr>
          <w:rFonts w:hint="eastAsia" w:ascii="宋体" w:hAnsi="宋体" w:eastAsia="宋体" w:cs="宋体"/>
          <w:bCs w:val="0"/>
          <w:sz w:val="21"/>
          <w:szCs w:val="21"/>
        </w:rPr>
        <w:t>第三部分　专用合同条款</w:t>
      </w:r>
    </w:p>
    <w:p w14:paraId="3F263FF8">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 一般约定</w:t>
      </w:r>
    </w:p>
    <w:p w14:paraId="11DF0AC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 词语定义</w:t>
      </w:r>
    </w:p>
    <w:p w14:paraId="4CC4D8F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1.1.1合同</w:t>
      </w:r>
    </w:p>
    <w:p w14:paraId="54A6DFE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1.1.1.10其他合同文件包括：</w:t>
      </w:r>
      <w:r>
        <w:rPr>
          <w:rFonts w:hint="eastAsia" w:ascii="宋体" w:hAnsi="宋体" w:eastAsia="宋体" w:cs="宋体"/>
          <w:kern w:val="0"/>
          <w:sz w:val="21"/>
          <w:szCs w:val="21"/>
          <w:u w:val="single"/>
        </w:rPr>
        <w:t>工程招标文件、除投标函及其附录和已标价</w:t>
      </w:r>
      <w:r>
        <w:rPr>
          <w:rFonts w:hint="eastAsia" w:ascii="宋体" w:hAnsi="宋体" w:eastAsia="宋体" w:cs="宋体"/>
          <w:kern w:val="0"/>
          <w:sz w:val="21"/>
          <w:szCs w:val="21"/>
          <w:u w:val="single"/>
          <w:lang w:val="en-US" w:eastAsia="zh-CN"/>
        </w:rPr>
        <w:t>.</w:t>
      </w:r>
      <w:r>
        <w:rPr>
          <w:rFonts w:hint="eastAsia" w:ascii="宋体" w:hAnsi="宋体" w:eastAsia="宋体" w:cs="宋体"/>
          <w:kern w:val="0"/>
          <w:sz w:val="21"/>
          <w:szCs w:val="21"/>
          <w:u w:val="single"/>
        </w:rPr>
        <w:t>或预算书外的其它投标文件</w:t>
      </w:r>
      <w:r>
        <w:rPr>
          <w:rFonts w:hint="eastAsia" w:ascii="宋体" w:hAnsi="宋体" w:eastAsia="宋体" w:cs="宋体"/>
          <w:sz w:val="21"/>
          <w:szCs w:val="21"/>
        </w:rPr>
        <w:t>。</w:t>
      </w:r>
    </w:p>
    <w:p w14:paraId="7C274D3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 合同当事人及其他相关方</w:t>
      </w:r>
    </w:p>
    <w:p w14:paraId="67B8FA0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1.1.2.4监理人：</w:t>
      </w:r>
    </w:p>
    <w:p w14:paraId="695AAA1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EBAD3B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686FC3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1647BE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2E52D0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09B2D9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1.1.2.5 设计人：</w:t>
      </w:r>
    </w:p>
    <w:p w14:paraId="3B35F56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177448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C13BE2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45E58A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2A6770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10B280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 工程和设备</w:t>
      </w:r>
    </w:p>
    <w:p w14:paraId="6D527F2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1.1.3.7 作为施工现场组成部分的其他场所包括：</w:t>
      </w:r>
      <w:r>
        <w:rPr>
          <w:rFonts w:hint="eastAsia" w:ascii="宋体" w:hAnsi="宋体" w:eastAsia="宋体" w:cs="宋体"/>
          <w:sz w:val="21"/>
          <w:szCs w:val="21"/>
          <w:u w:val="single"/>
        </w:rPr>
        <w:t xml:space="preserve"> 建设项目规划红线范围  </w:t>
      </w:r>
      <w:r>
        <w:rPr>
          <w:rFonts w:hint="eastAsia" w:ascii="宋体" w:hAnsi="宋体" w:eastAsia="宋体" w:cs="宋体"/>
          <w:sz w:val="21"/>
          <w:szCs w:val="21"/>
        </w:rPr>
        <w:t>。</w:t>
      </w:r>
    </w:p>
    <w:p w14:paraId="47247BF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1.1.3.9 永久占地包括：</w:t>
      </w:r>
      <w:r>
        <w:rPr>
          <w:rFonts w:hint="eastAsia" w:ascii="宋体" w:hAnsi="宋体" w:eastAsia="宋体" w:cs="宋体"/>
          <w:sz w:val="21"/>
          <w:szCs w:val="21"/>
          <w:u w:val="single"/>
        </w:rPr>
        <w:t xml:space="preserve">   工程规划红线范围内的土地           </w:t>
      </w:r>
      <w:r>
        <w:rPr>
          <w:rFonts w:hint="eastAsia" w:ascii="宋体" w:hAnsi="宋体" w:eastAsia="宋体" w:cs="宋体"/>
          <w:sz w:val="21"/>
          <w:szCs w:val="21"/>
        </w:rPr>
        <w:t>。</w:t>
      </w:r>
    </w:p>
    <w:p w14:paraId="50FB098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1.1.3.10 临时占地包括：</w:t>
      </w:r>
      <w:r>
        <w:rPr>
          <w:rFonts w:hint="eastAsia" w:ascii="宋体" w:hAnsi="宋体" w:eastAsia="宋体" w:cs="宋体"/>
          <w:sz w:val="21"/>
          <w:szCs w:val="21"/>
          <w:u w:val="single"/>
        </w:rPr>
        <w:t xml:space="preserve">    发包人不提供项目红线外临时用地         </w:t>
      </w:r>
      <w:r>
        <w:rPr>
          <w:rFonts w:hint="eastAsia" w:ascii="宋体" w:hAnsi="宋体" w:eastAsia="宋体" w:cs="宋体"/>
          <w:sz w:val="21"/>
          <w:szCs w:val="21"/>
        </w:rPr>
        <w:t>。</w:t>
      </w:r>
    </w:p>
    <w:p w14:paraId="03BE893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1.3法律 </w:t>
      </w:r>
    </w:p>
    <w:p w14:paraId="6D691569">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i/>
          <w:color w:val="0000FF"/>
          <w:sz w:val="21"/>
          <w:szCs w:val="21"/>
          <w:highlight w:val="yellow"/>
          <w:u w:val="single"/>
          <w:lang w:val="en-US" w:eastAsia="zh-CN"/>
        </w:rPr>
      </w:pPr>
      <w:r>
        <w:rPr>
          <w:rFonts w:hint="eastAsia" w:ascii="宋体" w:hAnsi="宋体" w:eastAsia="宋体" w:cs="宋体"/>
          <w:sz w:val="21"/>
          <w:szCs w:val="21"/>
        </w:rPr>
        <w:t>适用于合同的其他规范性文件：</w:t>
      </w:r>
      <w:r>
        <w:rPr>
          <w:rFonts w:hint="eastAsia" w:ascii="宋体" w:hAnsi="宋体" w:eastAsia="宋体" w:cs="宋体"/>
          <w:i/>
          <w:color w:val="0000FF"/>
          <w:sz w:val="21"/>
          <w:szCs w:val="21"/>
          <w:highlight w:val="none"/>
          <w:u w:val="single"/>
          <w:lang w:val="en-US" w:eastAsia="zh-CN"/>
        </w:rPr>
        <w:t>《建设工程工程量清单计价规范》（GB50500－2013）；浙江省建设工程工程量清单计价实用手册》；浙江省建筑工程预算定额（2018版）；浙江省安装工程预算定额（2018版）；浙江省市政工程预算定额（2018版）；浙江省园林工程预算定额（2018版）；《浙江省建设工程施工取费定额（2018版）》；其它有关定额解释及国家、省、市工程量有关计算规则；材料价格按《台州建设工程造价信息》202</w:t>
      </w:r>
      <w:r>
        <w:rPr>
          <w:rFonts w:hint="eastAsia" w:ascii="宋体" w:hAnsi="宋体" w:cs="宋体"/>
          <w:i/>
          <w:color w:val="0000FF"/>
          <w:sz w:val="21"/>
          <w:szCs w:val="21"/>
          <w:highlight w:val="none"/>
          <w:u w:val="single"/>
          <w:lang w:val="en-US" w:eastAsia="zh-CN"/>
        </w:rPr>
        <w:t>5</w:t>
      </w:r>
      <w:r>
        <w:rPr>
          <w:rFonts w:hint="eastAsia" w:ascii="宋体" w:hAnsi="宋体" w:eastAsia="宋体" w:cs="宋体"/>
          <w:i/>
          <w:color w:val="0000FF"/>
          <w:sz w:val="21"/>
          <w:szCs w:val="21"/>
          <w:highlight w:val="none"/>
          <w:u w:val="single"/>
          <w:lang w:val="en-US" w:eastAsia="zh-CN"/>
        </w:rPr>
        <w:t>年1月仙居价格为依据，并结合市场价；委托方提供的工程设计施工图；电子文件和其它原始资料；其他有关文件、标准图、预算软件和规范。</w:t>
      </w:r>
    </w:p>
    <w:p w14:paraId="3F3E3F2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 标准和规范</w:t>
      </w:r>
    </w:p>
    <w:p w14:paraId="7645827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1.4.1适用于工程的标准规范包括：</w:t>
      </w:r>
      <w:r>
        <w:rPr>
          <w:rFonts w:hint="eastAsia" w:ascii="宋体" w:hAnsi="宋体" w:eastAsia="宋体" w:cs="宋体"/>
          <w:sz w:val="21"/>
          <w:szCs w:val="21"/>
          <w:u w:val="single"/>
        </w:rPr>
        <w:t>按现行的国家、省、市施工验收规范、质量评定标准及有关规定。合同工期内的标准、规范，招标文件中的技术要求等。</w:t>
      </w:r>
    </w:p>
    <w:p w14:paraId="712BBD6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1.4.2 发包人提供国外标准、规范的名称</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697770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发包人提供国外标准、规范的份数：</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6C9EF6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发包人提供国外标准、规范的名称：</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6BA654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1.4.3发包人对工程的技术标准和功能要求的特殊要求：</w:t>
      </w:r>
      <w:r>
        <w:rPr>
          <w:rFonts w:hint="eastAsia" w:ascii="宋体" w:hAnsi="宋体" w:eastAsia="宋体" w:cs="宋体"/>
          <w:sz w:val="21"/>
          <w:szCs w:val="21"/>
          <w:u w:val="single"/>
        </w:rPr>
        <w:t>没有国家标准、规范时，有行业标准、规范的，使用行业标准、规范；没有国家和行业标准、规范的，使用地方的标准、规范。</w:t>
      </w:r>
    </w:p>
    <w:p w14:paraId="2936D0E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 合同文件的优先顺序</w:t>
      </w:r>
    </w:p>
    <w:p w14:paraId="7EA7122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合同文件组成及优先顺序为：</w:t>
      </w:r>
      <w:r>
        <w:rPr>
          <w:rFonts w:hint="eastAsia" w:ascii="宋体" w:hAnsi="宋体" w:eastAsia="宋体" w:cs="宋体"/>
          <w:sz w:val="21"/>
          <w:szCs w:val="21"/>
          <w:u w:val="single"/>
        </w:rPr>
        <w:t>按合同通用条款。</w:t>
      </w:r>
    </w:p>
    <w:p w14:paraId="5BCE172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 图纸和承包人文件</w:t>
      </w:r>
      <w:r>
        <w:rPr>
          <w:rFonts w:hint="eastAsia" w:ascii="宋体" w:hAnsi="宋体" w:eastAsia="宋体" w:cs="宋体"/>
          <w:sz w:val="21"/>
          <w:szCs w:val="21"/>
        </w:rPr>
        <w:tab/>
      </w:r>
    </w:p>
    <w:p w14:paraId="3AA6E9F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 图纸的提供</w:t>
      </w:r>
    </w:p>
    <w:p w14:paraId="5A03187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发包人向承包人提供图纸的期限：</w:t>
      </w:r>
      <w:r>
        <w:rPr>
          <w:rFonts w:hint="eastAsia" w:ascii="宋体" w:hAnsi="宋体" w:eastAsia="宋体" w:cs="宋体"/>
          <w:sz w:val="21"/>
          <w:szCs w:val="21"/>
          <w:u w:val="single"/>
        </w:rPr>
        <w:t>开工日期前14天前</w:t>
      </w:r>
      <w:r>
        <w:rPr>
          <w:rFonts w:hint="eastAsia" w:ascii="宋体" w:hAnsi="宋体" w:eastAsia="宋体" w:cs="宋体"/>
          <w:sz w:val="21"/>
          <w:szCs w:val="21"/>
        </w:rPr>
        <w:t>；</w:t>
      </w:r>
    </w:p>
    <w:p w14:paraId="41CABE1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发包人向承包人提供图纸的数量：</w:t>
      </w:r>
      <w:r>
        <w:rPr>
          <w:rFonts w:hint="eastAsia" w:ascii="宋体" w:hAnsi="宋体" w:eastAsia="宋体" w:cs="宋体"/>
          <w:sz w:val="21"/>
          <w:szCs w:val="21"/>
          <w:u w:val="single"/>
        </w:rPr>
        <w:t>纸质施工图[    ]套及与其一致的电子版施工图</w:t>
      </w:r>
      <w:r>
        <w:rPr>
          <w:rFonts w:hint="eastAsia" w:ascii="宋体" w:hAnsi="宋体" w:eastAsia="宋体" w:cs="宋体"/>
          <w:sz w:val="21"/>
          <w:szCs w:val="21"/>
        </w:rPr>
        <w:t>；</w:t>
      </w:r>
      <w:r>
        <w:rPr>
          <w:rFonts w:hint="eastAsia" w:ascii="宋体" w:hAnsi="宋体" w:eastAsia="宋体" w:cs="宋体"/>
          <w:sz w:val="21"/>
          <w:szCs w:val="21"/>
          <w:u w:val="single"/>
        </w:rPr>
        <w:t>如承包人需要增加图纸的，费用由承包人自行承担。</w:t>
      </w:r>
    </w:p>
    <w:p w14:paraId="398654A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发包人向承包人提供图纸的内容：</w:t>
      </w:r>
      <w:r>
        <w:rPr>
          <w:rFonts w:hint="eastAsia" w:ascii="宋体" w:hAnsi="宋体" w:eastAsia="宋体" w:cs="宋体"/>
          <w:sz w:val="21"/>
          <w:szCs w:val="21"/>
          <w:u w:val="single"/>
        </w:rPr>
        <w:t>（载明施工图纸名称、工程号、版本、出图日期、目录、变更联系单编号等）。</w:t>
      </w:r>
    </w:p>
    <w:p w14:paraId="7EBB623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1.6.4 承包人文件</w:t>
      </w:r>
    </w:p>
    <w:p w14:paraId="372EB4C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需要由承包人提供的文件，包括：</w:t>
      </w:r>
      <w:r>
        <w:rPr>
          <w:rFonts w:hint="eastAsia" w:ascii="宋体" w:hAnsi="宋体" w:eastAsia="宋体" w:cs="宋体"/>
          <w:sz w:val="21"/>
          <w:szCs w:val="21"/>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r>
        <w:rPr>
          <w:rFonts w:hint="eastAsia" w:ascii="宋体" w:hAnsi="宋体" w:eastAsia="宋体" w:cs="宋体"/>
          <w:sz w:val="21"/>
          <w:szCs w:val="21"/>
          <w:u w:val="single"/>
          <w:lang w:eastAsia="zh-CN"/>
        </w:rPr>
        <w:t>。</w:t>
      </w:r>
    </w:p>
    <w:p w14:paraId="3251EFD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承包人提供的文件的期限为：</w:t>
      </w:r>
      <w:r>
        <w:rPr>
          <w:rFonts w:hint="eastAsia" w:ascii="宋体" w:hAnsi="宋体" w:eastAsia="宋体" w:cs="宋体"/>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eastAsia="宋体" w:cs="宋体"/>
          <w:sz w:val="21"/>
          <w:szCs w:val="21"/>
          <w:u w:val="single"/>
          <w:lang w:eastAsia="zh-CN"/>
        </w:rPr>
        <w:t>。</w:t>
      </w:r>
    </w:p>
    <w:p w14:paraId="59DECCE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承包人提供的文件的数量为：</w:t>
      </w:r>
      <w:r>
        <w:rPr>
          <w:rFonts w:hint="eastAsia" w:ascii="宋体" w:hAnsi="宋体" w:eastAsia="宋体" w:cs="宋体"/>
          <w:sz w:val="21"/>
          <w:szCs w:val="21"/>
          <w:u w:val="single"/>
        </w:rPr>
        <w:t xml:space="preserve"> 按发包人要求 </w:t>
      </w:r>
      <w:r>
        <w:rPr>
          <w:rFonts w:hint="eastAsia" w:ascii="宋体" w:hAnsi="宋体" w:eastAsia="宋体" w:cs="宋体"/>
          <w:sz w:val="21"/>
          <w:szCs w:val="21"/>
        </w:rPr>
        <w:t>；</w:t>
      </w:r>
    </w:p>
    <w:p w14:paraId="42E971A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承包人提供的文件的形式为：</w:t>
      </w:r>
      <w:r>
        <w:rPr>
          <w:rFonts w:hint="eastAsia" w:ascii="宋体" w:hAnsi="宋体" w:eastAsia="宋体" w:cs="宋体"/>
          <w:sz w:val="21"/>
          <w:szCs w:val="21"/>
          <w:u w:val="single"/>
        </w:rPr>
        <w:t>纸质及电子版本</w:t>
      </w:r>
      <w:r>
        <w:rPr>
          <w:rFonts w:hint="eastAsia" w:ascii="宋体" w:hAnsi="宋体" w:eastAsia="宋体" w:cs="宋体"/>
          <w:sz w:val="21"/>
          <w:szCs w:val="21"/>
        </w:rPr>
        <w:t>；</w:t>
      </w:r>
    </w:p>
    <w:p w14:paraId="5BAA6A3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发包人审批承包人文件的期限：</w:t>
      </w:r>
      <w:r>
        <w:rPr>
          <w:rFonts w:hint="eastAsia" w:ascii="宋体" w:hAnsi="宋体" w:eastAsia="宋体" w:cs="宋体"/>
          <w:sz w:val="21"/>
          <w:szCs w:val="21"/>
          <w:u w:val="single"/>
        </w:rPr>
        <w:t>收到相应文件后7天内</w:t>
      </w:r>
      <w:r>
        <w:rPr>
          <w:rFonts w:hint="eastAsia" w:ascii="宋体" w:hAnsi="宋体" w:eastAsia="宋体" w:cs="宋体"/>
          <w:sz w:val="21"/>
          <w:szCs w:val="21"/>
        </w:rPr>
        <w:t>。</w:t>
      </w:r>
    </w:p>
    <w:p w14:paraId="7450F06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1.6.5 现场图纸准备</w:t>
      </w:r>
    </w:p>
    <w:p w14:paraId="69C9090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关于现场图纸准备的约定：</w:t>
      </w:r>
      <w:r>
        <w:rPr>
          <w:rFonts w:hint="eastAsia" w:ascii="宋体" w:hAnsi="宋体" w:eastAsia="宋体" w:cs="宋体"/>
          <w:sz w:val="21"/>
          <w:szCs w:val="21"/>
          <w:u w:val="single"/>
        </w:rPr>
        <w:t>由监理人在现场保管一套完整施工图，供发包人、监理人及有关人员进行工程检查等活动时使用</w:t>
      </w:r>
      <w:r>
        <w:rPr>
          <w:rFonts w:hint="eastAsia" w:ascii="宋体" w:hAnsi="宋体" w:eastAsia="宋体" w:cs="宋体"/>
          <w:sz w:val="21"/>
          <w:szCs w:val="21"/>
        </w:rPr>
        <w:t>。</w:t>
      </w:r>
    </w:p>
    <w:p w14:paraId="6055793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 联络</w:t>
      </w:r>
    </w:p>
    <w:p w14:paraId="2F70B25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1.7.1发包人和承包人应当在</w:t>
      </w:r>
      <w:r>
        <w:rPr>
          <w:rFonts w:hint="eastAsia" w:ascii="宋体" w:hAnsi="宋体" w:eastAsia="宋体" w:cs="宋体"/>
          <w:sz w:val="21"/>
          <w:szCs w:val="21"/>
          <w:u w:val="single"/>
        </w:rPr>
        <w:t xml:space="preserve">7   </w:t>
      </w:r>
      <w:r>
        <w:rPr>
          <w:rFonts w:hint="eastAsia" w:ascii="宋体" w:hAnsi="宋体" w:eastAsia="宋体" w:cs="宋体"/>
          <w:sz w:val="21"/>
          <w:szCs w:val="21"/>
        </w:rPr>
        <w:t>天内将与合同有关的通知、批准、证明、证书、指示、指令、要求、请求、同意、意见、确定和决定等书面函件送达对方当事人。</w:t>
      </w:r>
    </w:p>
    <w:p w14:paraId="44170ED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1.7.2 发包人接收文件的地点：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6F5A5A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发包人指定的接收人为：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1032DE8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承包人接收文件的地点：</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30FD2D7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承包人指定的接收人为：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3C23E68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监理人接收文件的地点：</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177764A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监理人指定的接收人为：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549C011D">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u w:val="single"/>
        </w:rPr>
        <w:t>发包人、承包人、监理人的文件接收地址、接收人（含联系电话）发生变动的，应提前3天通知各方。</w:t>
      </w:r>
    </w:p>
    <w:p w14:paraId="485FB59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1.10 交通运输</w:t>
      </w:r>
    </w:p>
    <w:p w14:paraId="63B0903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1.10.1 出入现场的权利</w:t>
      </w:r>
    </w:p>
    <w:p w14:paraId="01ED036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关于出入现场的权利的约定：</w:t>
      </w:r>
      <w:r>
        <w:rPr>
          <w:rFonts w:hint="eastAsia" w:ascii="宋体" w:hAnsi="宋体" w:eastAsia="宋体" w:cs="宋体"/>
          <w:b w:val="0"/>
          <w:bCs w:val="0"/>
          <w:sz w:val="21"/>
          <w:szCs w:val="21"/>
          <w:u w:val="single"/>
        </w:rPr>
        <w:t>按合同通用条款 ，可视工程实际双方再补充约定</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w:t>
      </w:r>
    </w:p>
    <w:p w14:paraId="2BC79E8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1.10.3 场内交通</w:t>
      </w:r>
    </w:p>
    <w:p w14:paraId="6FF3CF2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关于场外交通和场内交通的边界的约定：</w:t>
      </w:r>
      <w:r>
        <w:rPr>
          <w:rFonts w:hint="eastAsia" w:ascii="宋体" w:hAnsi="宋体" w:eastAsia="宋体" w:cs="宋体"/>
          <w:sz w:val="21"/>
          <w:szCs w:val="21"/>
          <w:u w:val="single"/>
        </w:rPr>
        <w:t>　场外交通的边界按现状，场内按施工平面图边界所属范围内　　　</w:t>
      </w:r>
      <w:r>
        <w:rPr>
          <w:rFonts w:hint="eastAsia" w:ascii="宋体" w:hAnsi="宋体" w:eastAsia="宋体" w:cs="宋体"/>
          <w:sz w:val="21"/>
          <w:szCs w:val="21"/>
        </w:rPr>
        <w:t>。</w:t>
      </w:r>
    </w:p>
    <w:p w14:paraId="16B54A5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关于发包人向承包人免费提供满足工程施工需要的场内道路和交通设施的约定：</w:t>
      </w:r>
      <w:r>
        <w:rPr>
          <w:rFonts w:hint="eastAsia" w:ascii="宋体" w:hAnsi="宋体" w:eastAsia="宋体" w:cs="宋体"/>
          <w:sz w:val="21"/>
          <w:szCs w:val="21"/>
          <w:highlight w:val="none"/>
          <w:u w:val="single"/>
        </w:rPr>
        <w:t>发包人提供的场内交通条件为现状，承包人自行组织现场踏勘</w:t>
      </w:r>
      <w:r>
        <w:rPr>
          <w:rFonts w:hint="eastAsia" w:ascii="宋体" w:hAnsi="宋体" w:eastAsia="宋体" w:cs="宋体"/>
          <w:b/>
          <w:bCs/>
          <w:sz w:val="21"/>
          <w:szCs w:val="21"/>
          <w:highlight w:val="none"/>
          <w:u w:val="single"/>
        </w:rPr>
        <w:t>。施工场地施工期间的维护、管理及相应费用由承包人承担；如因工程需要临时占用红线外场地及市政道路，由承包人自行协调并负责办理审批手续同时承担相应费用。</w:t>
      </w:r>
    </w:p>
    <w:p w14:paraId="7BACB56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1.10.4超大件和超重件的运输</w:t>
      </w:r>
    </w:p>
    <w:p w14:paraId="02A930D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w:t>
      </w:r>
      <w:r>
        <w:rPr>
          <w:rFonts w:hint="eastAsia" w:ascii="宋体" w:hAnsi="宋体" w:eastAsia="宋体" w:cs="宋体"/>
          <w:sz w:val="21"/>
          <w:szCs w:val="21"/>
          <w:u w:val="single"/>
        </w:rPr>
        <w:t>由承包人在报价中综合考虑，并承担相应费用承担。</w:t>
      </w:r>
    </w:p>
    <w:p w14:paraId="6334DCE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 知识产权</w:t>
      </w:r>
    </w:p>
    <w:p w14:paraId="20E57E9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u w:val="single"/>
        </w:rPr>
        <w:t xml:space="preserve">按合同通用条款  </w:t>
      </w:r>
      <w:r>
        <w:rPr>
          <w:rFonts w:hint="eastAsia" w:ascii="宋体" w:hAnsi="宋体" w:eastAsia="宋体" w:cs="宋体"/>
          <w:sz w:val="21"/>
          <w:szCs w:val="21"/>
        </w:rPr>
        <w:t>。</w:t>
      </w:r>
    </w:p>
    <w:p w14:paraId="35A6DD2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关于发包人提供的上述文件的使用限制的要求：</w:t>
      </w:r>
      <w:r>
        <w:rPr>
          <w:rFonts w:hint="eastAsia" w:ascii="宋体" w:hAnsi="宋体" w:eastAsia="宋体" w:cs="宋体"/>
          <w:sz w:val="21"/>
          <w:szCs w:val="21"/>
          <w:u w:val="single"/>
        </w:rPr>
        <w:t xml:space="preserve">按合同通用条款  </w:t>
      </w:r>
      <w:r>
        <w:rPr>
          <w:rFonts w:hint="eastAsia" w:ascii="宋体" w:hAnsi="宋体" w:eastAsia="宋体" w:cs="宋体"/>
          <w:sz w:val="21"/>
          <w:szCs w:val="21"/>
        </w:rPr>
        <w:t>。</w:t>
      </w:r>
    </w:p>
    <w:p w14:paraId="6D14ABF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1.11.2 关于承包人为实施工程所编制文件的著作权的归属：</w:t>
      </w:r>
      <w:r>
        <w:rPr>
          <w:rFonts w:hint="eastAsia" w:ascii="宋体" w:hAnsi="宋体" w:eastAsia="宋体" w:cs="宋体"/>
          <w:sz w:val="21"/>
          <w:szCs w:val="21"/>
          <w:u w:val="single"/>
        </w:rPr>
        <w:t>发包人</w:t>
      </w:r>
      <w:r>
        <w:rPr>
          <w:rFonts w:hint="eastAsia" w:ascii="宋体" w:hAnsi="宋体" w:eastAsia="宋体" w:cs="宋体"/>
          <w:sz w:val="21"/>
          <w:szCs w:val="21"/>
        </w:rPr>
        <w:t>。</w:t>
      </w:r>
    </w:p>
    <w:p w14:paraId="2F83A47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关于承包人提供的上述文件的使用限制的要求：</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1AE1C18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1.11.4 承包人在施工过程中所采用的专利、专有技术、技术秘密的使用费的承担方式：</w:t>
      </w:r>
      <w:r>
        <w:rPr>
          <w:rFonts w:hint="eastAsia" w:ascii="宋体" w:hAnsi="宋体" w:eastAsia="宋体" w:cs="宋体"/>
          <w:sz w:val="21"/>
          <w:szCs w:val="21"/>
          <w:u w:val="single"/>
        </w:rPr>
        <w:t>包含在签约合同价内</w:t>
      </w:r>
      <w:r>
        <w:rPr>
          <w:rFonts w:hint="eastAsia" w:ascii="宋体" w:hAnsi="宋体" w:eastAsia="宋体" w:cs="宋体"/>
          <w:sz w:val="21"/>
          <w:szCs w:val="21"/>
        </w:rPr>
        <w:t>。</w:t>
      </w:r>
    </w:p>
    <w:p w14:paraId="18FA7D4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1.13工程量清单错误的修正</w:t>
      </w:r>
    </w:p>
    <w:p w14:paraId="4EEA0C0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出现工程量清单错误时，是否调整合同价格：</w:t>
      </w:r>
      <w:r>
        <w:rPr>
          <w:rFonts w:hint="eastAsia" w:ascii="宋体" w:hAnsi="宋体" w:eastAsia="宋体" w:cs="宋体"/>
          <w:sz w:val="21"/>
          <w:szCs w:val="21"/>
          <w:u w:val="single"/>
        </w:rPr>
        <w:t xml:space="preserve">工程量清单特征描述不符引起造价变化的子目及工程量清单漏项子目按专用条款10.4.1（2）（3）（4）条约定调整合同价格 </w:t>
      </w:r>
      <w:r>
        <w:rPr>
          <w:rFonts w:hint="eastAsia" w:ascii="宋体" w:hAnsi="宋体" w:eastAsia="宋体" w:cs="宋体"/>
          <w:sz w:val="21"/>
          <w:szCs w:val="21"/>
        </w:rPr>
        <w:t>。</w:t>
      </w:r>
    </w:p>
    <w:p w14:paraId="4289455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允许调整合同价格的工程量偏差范围：</w:t>
      </w:r>
      <w:r>
        <w:rPr>
          <w:rFonts w:hint="eastAsia" w:ascii="宋体" w:hAnsi="宋体" w:eastAsia="宋体" w:cs="宋体"/>
          <w:sz w:val="21"/>
          <w:szCs w:val="21"/>
          <w:u w:val="single"/>
        </w:rPr>
        <w:t>因招标工程量清单中的工程量</w:t>
      </w:r>
      <w:r>
        <w:rPr>
          <w:rFonts w:hint="eastAsia" w:ascii="宋体" w:hAnsi="宋体" w:eastAsia="宋体" w:cs="宋体"/>
          <w:sz w:val="21"/>
          <w:szCs w:val="21"/>
          <w:u w:val="single"/>
          <w:lang w:val="zh-CN"/>
        </w:rPr>
        <w:t>计算偏差或工程变更等引起的</w:t>
      </w:r>
      <w:r>
        <w:rPr>
          <w:rFonts w:hint="eastAsia" w:ascii="宋体" w:hAnsi="宋体" w:eastAsia="宋体" w:cs="宋体"/>
          <w:sz w:val="21"/>
          <w:szCs w:val="21"/>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14:paraId="027E7E48">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 发包人</w:t>
      </w:r>
    </w:p>
    <w:p w14:paraId="127C653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 发包人代表</w:t>
      </w:r>
    </w:p>
    <w:p w14:paraId="4A3F995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发包人代表：</w:t>
      </w:r>
    </w:p>
    <w:p w14:paraId="03C5FF1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948FA0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C98758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D623CD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7850D2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BE5132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CF8F08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发包人对发包人代表的授权范围如下：</w:t>
      </w:r>
      <w:r>
        <w:rPr>
          <w:rFonts w:hint="eastAsia" w:ascii="宋体" w:hAnsi="宋体" w:eastAsia="宋体" w:cs="宋体"/>
          <w:i/>
          <w:sz w:val="21"/>
          <w:szCs w:val="21"/>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⑦施工工期、工程量复核、施工联系单、工程款支付签证由发包人代表和监理工程师共同签署，按规定报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5923BB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 施工现场、施工条件和基础资料的提供</w:t>
      </w:r>
    </w:p>
    <w:p w14:paraId="2E4DAC8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2.4.1 提供施工现场</w:t>
      </w:r>
    </w:p>
    <w:p w14:paraId="33AC65A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关于发包人移交施工现场的期限要求：</w:t>
      </w:r>
      <w:r>
        <w:rPr>
          <w:rFonts w:hint="eastAsia" w:ascii="宋体" w:hAnsi="宋体" w:eastAsia="宋体" w:cs="宋体"/>
          <w:sz w:val="21"/>
          <w:szCs w:val="21"/>
          <w:u w:val="single"/>
        </w:rPr>
        <w:t xml:space="preserve">  开工日期7天前。</w:t>
      </w:r>
    </w:p>
    <w:p w14:paraId="3E7031F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2.4.2 提供施工条件</w:t>
      </w:r>
    </w:p>
    <w:p w14:paraId="03B69C0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yellow"/>
        </w:rPr>
      </w:pPr>
      <w:r>
        <w:rPr>
          <w:rFonts w:hint="eastAsia" w:ascii="宋体" w:hAnsi="宋体" w:eastAsia="宋体" w:cs="宋体"/>
          <w:sz w:val="21"/>
          <w:szCs w:val="21"/>
        </w:rPr>
        <w:t>关于发包人应负责提供施工所需要的条件，包括：</w:t>
      </w:r>
      <w:r>
        <w:rPr>
          <w:rFonts w:hint="eastAsia" w:ascii="宋体" w:hAnsi="宋体" w:eastAsia="宋体" w:cs="宋体"/>
          <w:b w:val="0"/>
          <w:bCs w:val="0"/>
          <w:i/>
          <w:iCs/>
          <w:sz w:val="21"/>
          <w:szCs w:val="21"/>
          <w:highlight w:val="none"/>
          <w:u w:val="single"/>
        </w:rPr>
        <w:t>施工现场用水、用电已由发包人统一接至项目现场配置点，场地内接线及施工期间的维护工作由承包人负责，且相关人员应持证上岗。</w:t>
      </w:r>
      <w:r>
        <w:rPr>
          <w:rFonts w:hint="eastAsia" w:ascii="宋体" w:hAnsi="宋体" w:eastAsia="宋体" w:cs="宋体"/>
          <w:b/>
          <w:bCs/>
          <w:sz w:val="21"/>
          <w:szCs w:val="21"/>
          <w:highlight w:val="none"/>
        </w:rPr>
        <w:t xml:space="preserve"> </w:t>
      </w:r>
    </w:p>
    <w:p w14:paraId="06CB42B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 资金来源证明及支付担保</w:t>
      </w:r>
    </w:p>
    <w:p w14:paraId="7CD9406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发包人提供资金来源证明的期限要求：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65935C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发包人是否提供支付担保：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91AB86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发包人提供支付担保的形式：</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16FFDB2">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2.6 支付合同价款</w:t>
      </w:r>
    </w:p>
    <w:p w14:paraId="1E7C4CC7">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发包人应按合同约定向承包人及时支付合同价款。</w:t>
      </w:r>
    </w:p>
    <w:p w14:paraId="5FB87E1B">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 组织竣工验收</w:t>
      </w:r>
    </w:p>
    <w:p w14:paraId="4318A5B6">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发包人应按合同约定及时组织竣工验收。</w:t>
      </w:r>
    </w:p>
    <w:p w14:paraId="475D394C">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承包人完成合同范围内工程内容，发包人应根据施工图纸、现行施工验收规范和质量验收标准及时组织工程质量验收。</w:t>
      </w:r>
    </w:p>
    <w:p w14:paraId="1FB6E923">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3. 承包人</w:t>
      </w:r>
    </w:p>
    <w:p w14:paraId="5A3694A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 承包人的一般义务</w:t>
      </w:r>
    </w:p>
    <w:p w14:paraId="1C38ED3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（9）承包人提交的竣工资料的内容：</w:t>
      </w:r>
      <w:r>
        <w:rPr>
          <w:rFonts w:hint="eastAsia" w:ascii="宋体" w:hAnsi="宋体" w:eastAsia="宋体" w:cs="宋体"/>
          <w:sz w:val="21"/>
          <w:szCs w:val="21"/>
          <w:u w:val="single"/>
        </w:rPr>
        <w:t>向发包人提交按规范规定应由承包人编制部分的竣工资料，包括含施工过程中验收、检查时拍摄或录制的相片、影像资料等，并符合建设工程资料存档要求。</w:t>
      </w:r>
    </w:p>
    <w:p w14:paraId="7D79408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承包人需要提交的竣工资料套数：</w:t>
      </w:r>
      <w:r>
        <w:rPr>
          <w:rFonts w:hint="eastAsia" w:ascii="宋体" w:hAnsi="宋体" w:eastAsia="宋体" w:cs="宋体"/>
          <w:sz w:val="21"/>
          <w:szCs w:val="21"/>
          <w:u w:val="single"/>
        </w:rPr>
        <w:t>按发包人要求提供</w:t>
      </w:r>
      <w:r>
        <w:rPr>
          <w:rFonts w:hint="eastAsia" w:ascii="宋体" w:hAnsi="宋体" w:eastAsia="宋体" w:cs="宋体"/>
          <w:sz w:val="21"/>
          <w:szCs w:val="21"/>
        </w:rPr>
        <w:t>。</w:t>
      </w:r>
    </w:p>
    <w:p w14:paraId="20B64C3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承包人提交的竣工资料的费用承担：</w:t>
      </w:r>
      <w:r>
        <w:rPr>
          <w:rFonts w:hint="eastAsia" w:ascii="宋体" w:hAnsi="宋体" w:eastAsia="宋体" w:cs="宋体"/>
          <w:sz w:val="21"/>
          <w:szCs w:val="21"/>
          <w:u w:val="single"/>
        </w:rPr>
        <w:t xml:space="preserve">由承包人承担  </w:t>
      </w:r>
      <w:r>
        <w:rPr>
          <w:rFonts w:hint="eastAsia" w:ascii="宋体" w:hAnsi="宋体" w:eastAsia="宋体" w:cs="宋体"/>
          <w:sz w:val="21"/>
          <w:szCs w:val="21"/>
        </w:rPr>
        <w:t>。</w:t>
      </w:r>
    </w:p>
    <w:p w14:paraId="218FA62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承包人提交的竣工资料移交时间：</w:t>
      </w:r>
      <w:r>
        <w:rPr>
          <w:rFonts w:hint="eastAsia" w:ascii="宋体" w:hAnsi="宋体" w:eastAsia="宋体" w:cs="宋体"/>
          <w:sz w:val="21"/>
          <w:szCs w:val="21"/>
          <w:u w:val="single"/>
        </w:rPr>
        <w:t>工程竣工验收合格后7天内</w:t>
      </w:r>
      <w:r>
        <w:rPr>
          <w:rFonts w:hint="eastAsia" w:ascii="宋体" w:hAnsi="宋体" w:eastAsia="宋体" w:cs="宋体"/>
          <w:sz w:val="21"/>
          <w:szCs w:val="21"/>
        </w:rPr>
        <w:t>。</w:t>
      </w:r>
    </w:p>
    <w:p w14:paraId="25628FD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承包人提交的竣工资料形式要求：</w:t>
      </w:r>
      <w:r>
        <w:rPr>
          <w:rFonts w:hint="eastAsia" w:ascii="宋体" w:hAnsi="宋体" w:eastAsia="宋体" w:cs="宋体"/>
          <w:sz w:val="21"/>
          <w:szCs w:val="21"/>
          <w:u w:val="single"/>
        </w:rPr>
        <w:t xml:space="preserve">纸质及相关电子数据  </w:t>
      </w:r>
      <w:r>
        <w:rPr>
          <w:rFonts w:hint="eastAsia" w:ascii="宋体" w:hAnsi="宋体" w:eastAsia="宋体" w:cs="宋体"/>
          <w:sz w:val="21"/>
          <w:szCs w:val="21"/>
        </w:rPr>
        <w:t>。</w:t>
      </w:r>
    </w:p>
    <w:p w14:paraId="7C65285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sz w:val="21"/>
          <w:szCs w:val="21"/>
          <w:u w:val="single"/>
        </w:rPr>
      </w:pPr>
      <w:r>
        <w:rPr>
          <w:rFonts w:hint="eastAsia" w:ascii="宋体" w:hAnsi="宋体" w:eastAsia="宋体" w:cs="宋体"/>
          <w:sz w:val="21"/>
          <w:szCs w:val="21"/>
        </w:rPr>
        <w:t>（10）承包人应履行的其他义务：</w:t>
      </w:r>
    </w:p>
    <w:p w14:paraId="7E8E507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i/>
          <w:sz w:val="21"/>
          <w:szCs w:val="21"/>
          <w:u w:val="single"/>
        </w:rPr>
        <w:t>a、</w:t>
      </w:r>
      <w:r>
        <w:rPr>
          <w:rFonts w:hint="eastAsia" w:ascii="Times New Roman" w:hAnsi="Times New Roman" w:eastAsia="宋体" w:cs="Times New Roman"/>
          <w:iCs/>
          <w:color w:val="auto"/>
          <w:kern w:val="2"/>
          <w:sz w:val="21"/>
          <w:highlight w:val="none"/>
          <w:u w:val="single"/>
        </w:rPr>
        <w:t>向监理人提供施工现场足够面积的办公室【配套空调设施、办公桌椅及办公所需的通信网络】</w:t>
      </w:r>
      <w:r>
        <w:rPr>
          <w:rFonts w:hint="eastAsia" w:ascii="Times New Roman" w:hAnsi="Times New Roman" w:eastAsia="宋体" w:cs="Times New Roman"/>
          <w:iCs/>
          <w:color w:val="auto"/>
          <w:kern w:val="2"/>
          <w:sz w:val="21"/>
          <w:highlight w:val="none"/>
          <w:u w:val="single"/>
          <w:lang w:eastAsia="zh-CN"/>
        </w:rPr>
        <w:t>，</w:t>
      </w:r>
      <w:r>
        <w:rPr>
          <w:rFonts w:hint="eastAsia" w:ascii="Times New Roman" w:hAnsi="Times New Roman" w:eastAsia="宋体" w:cs="Times New Roman"/>
          <w:iCs/>
          <w:color w:val="auto"/>
          <w:kern w:val="2"/>
          <w:sz w:val="21"/>
          <w:highlight w:val="none"/>
          <w:u w:val="single"/>
          <w:lang w:val="en-US" w:eastAsia="zh-CN"/>
        </w:rPr>
        <w:t>向发包人提供单独1间办公室</w:t>
      </w:r>
      <w:r>
        <w:rPr>
          <w:rFonts w:hint="eastAsia" w:ascii="Times New Roman" w:hAnsi="Times New Roman" w:eastAsia="宋体" w:cs="Times New Roman"/>
          <w:iCs/>
          <w:color w:val="auto"/>
          <w:kern w:val="2"/>
          <w:sz w:val="21"/>
          <w:highlight w:val="none"/>
          <w:u w:val="single"/>
        </w:rPr>
        <w:t>【配套空调设施、办公桌椅</w:t>
      </w:r>
      <w:r>
        <w:rPr>
          <w:rFonts w:hint="eastAsia" w:ascii="Times New Roman" w:hAnsi="Times New Roman" w:eastAsia="宋体" w:cs="Times New Roman"/>
          <w:iCs/>
          <w:color w:val="auto"/>
          <w:kern w:val="2"/>
          <w:sz w:val="21"/>
          <w:highlight w:val="none"/>
          <w:u w:val="single"/>
          <w:lang w:eastAsia="zh-CN"/>
        </w:rPr>
        <w:t>、</w:t>
      </w:r>
      <w:r>
        <w:rPr>
          <w:rFonts w:hint="eastAsia" w:ascii="Times New Roman" w:hAnsi="Times New Roman" w:eastAsia="宋体" w:cs="Times New Roman"/>
          <w:iCs/>
          <w:color w:val="auto"/>
          <w:kern w:val="2"/>
          <w:sz w:val="21"/>
          <w:highlight w:val="none"/>
          <w:u w:val="single"/>
          <w:lang w:val="en-US" w:eastAsia="zh-CN"/>
        </w:rPr>
        <w:t>电脑、打印机</w:t>
      </w:r>
      <w:r>
        <w:rPr>
          <w:rFonts w:hint="eastAsia" w:ascii="Times New Roman" w:hAnsi="Times New Roman" w:eastAsia="宋体" w:cs="Times New Roman"/>
          <w:iCs/>
          <w:color w:val="auto"/>
          <w:kern w:val="2"/>
          <w:sz w:val="21"/>
          <w:highlight w:val="none"/>
          <w:u w:val="single"/>
        </w:rPr>
        <w:t>及办公所需的通信网络】，会议室一间（配套空调设施）免费使用，上述用房、设施的维护费用均由承包人负责，并包含在合同总价中，不再另行计取</w:t>
      </w:r>
      <w:r>
        <w:rPr>
          <w:rFonts w:hint="eastAsia" w:ascii="宋体" w:hAnsi="宋体" w:eastAsia="宋体" w:cs="宋体"/>
          <w:i/>
          <w:sz w:val="21"/>
          <w:szCs w:val="21"/>
          <w:u w:val="single"/>
        </w:rPr>
        <w:t xml:space="preserve">。 </w:t>
      </w:r>
      <w:r>
        <w:rPr>
          <w:rFonts w:hint="eastAsia" w:ascii="宋体" w:hAnsi="宋体" w:eastAsia="宋体" w:cs="宋体"/>
          <w:sz w:val="21"/>
          <w:szCs w:val="21"/>
          <w:u w:val="single"/>
        </w:rPr>
        <w:t xml:space="preserve"> </w:t>
      </w:r>
    </w:p>
    <w:p w14:paraId="3A6F50E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b、在施工中必须严格按照规范操作，并针对邻近建筑物实际情况，采取相应防护措施，对不按规范要求施工或未采取防护措施的，造成的损失由承包人承担。</w:t>
      </w:r>
    </w:p>
    <w:p w14:paraId="5E56831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c、本项目施工安全由承包人负总责。</w:t>
      </w:r>
    </w:p>
    <w:p w14:paraId="2218A5D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d、按当地有关部门要求,由承包人办理的有关施工场地交通、环卫和施工噪声管理等手续。 </w:t>
      </w:r>
    </w:p>
    <w:p w14:paraId="334A744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val="0"/>
          <w:iCs w:val="0"/>
          <w:sz w:val="21"/>
          <w:szCs w:val="21"/>
          <w:u w:val="single"/>
        </w:rPr>
      </w:pPr>
      <w:r>
        <w:rPr>
          <w:rFonts w:hint="eastAsia" w:ascii="宋体" w:hAnsi="宋体" w:eastAsia="宋体" w:cs="宋体"/>
          <w:i w:val="0"/>
          <w:iCs w:val="0"/>
          <w:sz w:val="21"/>
          <w:szCs w:val="21"/>
          <w:u w:val="single"/>
        </w:rPr>
        <w:t>e、本项目夜间施工照明由承包人负总责，施工期间必须做好安全保卫工作，实际施工时，</w:t>
      </w:r>
    </w:p>
    <w:p w14:paraId="3A0CA08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val="0"/>
          <w:iCs w:val="0"/>
          <w:sz w:val="21"/>
          <w:szCs w:val="21"/>
          <w:u w:val="single"/>
        </w:rPr>
      </w:pPr>
      <w:r>
        <w:rPr>
          <w:rFonts w:hint="eastAsia" w:ascii="宋体" w:hAnsi="宋体" w:eastAsia="宋体" w:cs="宋体"/>
          <w:i w:val="0"/>
          <w:iCs w:val="0"/>
          <w:sz w:val="21"/>
          <w:szCs w:val="21"/>
          <w:u w:val="single"/>
        </w:rPr>
        <w:t>在施工场内外做好警示标识，合理安排交通组织，确保安全, 降低施工噪声对周边环境正常秩序的干扰。承包人施工期间要做好现场安全防护，工程未竣工验收、交付使用前，所有非发包人原因导致的发包人、承包人或第三方人员伤亡或财产损失，由承包人负责，在报价中自行综合考虑。不管投标时有无承诺，施工现场必须配备能满足停电、电荒时施工所需要的发电机组和满足停水时必要的储水设施，该配备设施的费用及油电、网电的差价已包含在合同价内综合考虑，不再另行计取。</w:t>
      </w:r>
    </w:p>
    <w:p w14:paraId="1D6AAD2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val="0"/>
          <w:iCs w:val="0"/>
          <w:sz w:val="21"/>
          <w:szCs w:val="21"/>
          <w:u w:val="single"/>
        </w:rPr>
      </w:pPr>
      <w:r>
        <w:rPr>
          <w:rFonts w:hint="eastAsia" w:ascii="宋体" w:hAnsi="宋体" w:eastAsia="宋体" w:cs="宋体"/>
          <w:i w:val="0"/>
          <w:iCs w:val="0"/>
          <w:sz w:val="21"/>
          <w:szCs w:val="21"/>
          <w:u w:val="single"/>
        </w:rPr>
        <w:t>f.对发包人的现场监督工作予以充分的配合与协助。承包人服从发包人、监理</w:t>
      </w:r>
      <w:r>
        <w:rPr>
          <w:rFonts w:hint="eastAsia" w:ascii="宋体" w:hAnsi="宋体" w:eastAsia="宋体" w:cs="宋体"/>
          <w:i w:val="0"/>
          <w:iCs w:val="0"/>
          <w:sz w:val="21"/>
          <w:szCs w:val="21"/>
          <w:u w:val="single"/>
          <w:lang w:val="en-US" w:eastAsia="zh-CN"/>
        </w:rPr>
        <w:t>公司</w:t>
      </w:r>
      <w:r>
        <w:rPr>
          <w:rFonts w:hint="eastAsia" w:ascii="宋体" w:hAnsi="宋体" w:eastAsia="宋体" w:cs="宋体"/>
          <w:i w:val="0"/>
          <w:iCs w:val="0"/>
          <w:sz w:val="21"/>
          <w:szCs w:val="21"/>
          <w:u w:val="single"/>
        </w:rPr>
        <w:t>的管理，做好交叉施工事宜及其他与本工程施工相关的工作。</w:t>
      </w:r>
    </w:p>
    <w:p w14:paraId="74E517F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val="0"/>
          <w:iCs w:val="0"/>
          <w:sz w:val="21"/>
          <w:szCs w:val="21"/>
          <w:u w:val="single"/>
        </w:rPr>
      </w:pPr>
      <w:r>
        <w:rPr>
          <w:rFonts w:hint="eastAsia" w:ascii="宋体" w:hAnsi="宋体" w:eastAsia="宋体" w:cs="宋体"/>
          <w:i w:val="0"/>
          <w:iCs w:val="0"/>
          <w:sz w:val="21"/>
          <w:szCs w:val="21"/>
          <w:u w:val="single"/>
        </w:rPr>
        <w:t>g.协助办理竣工验收备案、工程档案移交、工程项目移交（包括招标人另行招标的专业分包、设备安装工程）的相关手续，并协助发包人进行工程移交。承包人协助组织施工过程中的专项验收、竣工验收等，相关费用含在本合同价款中，发包人不再另行支付。</w:t>
      </w:r>
    </w:p>
    <w:p w14:paraId="07AF100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val="0"/>
          <w:iCs w:val="0"/>
          <w:sz w:val="21"/>
          <w:szCs w:val="21"/>
          <w:u w:val="single"/>
        </w:rPr>
      </w:pPr>
      <w:r>
        <w:rPr>
          <w:rFonts w:hint="eastAsia" w:ascii="宋体" w:hAnsi="宋体" w:eastAsia="宋体" w:cs="宋体"/>
          <w:i w:val="0"/>
          <w:iCs w:val="0"/>
          <w:sz w:val="21"/>
          <w:szCs w:val="21"/>
          <w:u w:val="single"/>
        </w:rPr>
        <w:t>h.重大活动期间以及发包人需要的时间段内，可能对施工做出某些限制和配合要求，承包人应按照要求做出必要的配合。</w:t>
      </w:r>
    </w:p>
    <w:p w14:paraId="6A71402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val="0"/>
          <w:iCs w:val="0"/>
          <w:sz w:val="21"/>
          <w:szCs w:val="21"/>
          <w:u w:val="single"/>
        </w:rPr>
      </w:pPr>
      <w:r>
        <w:rPr>
          <w:rFonts w:hint="eastAsia" w:ascii="宋体" w:hAnsi="宋体" w:eastAsia="宋体" w:cs="宋体"/>
          <w:i w:val="0"/>
          <w:iCs w:val="0"/>
          <w:sz w:val="21"/>
          <w:szCs w:val="21"/>
          <w:u w:val="single"/>
        </w:rPr>
        <w:t>i.要加强工程施工车辆的管理，施工车辆不得无故堵塞道路交通，不得沿途抛洒丢弃。施工主出入口按当地要求配置车辆清洗设备及专职清洗人员，包括但不限于洗车槽、高压冲洗水枪、沉淀池等，确保驶出工地的机动车辆满足当地政府要求且确保运输单位车辆正常通行，相关费用由承包人在投标报价中综合考虑，发包人不再另行支付。</w:t>
      </w:r>
    </w:p>
    <w:p w14:paraId="74C13E0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val="0"/>
          <w:iCs w:val="0"/>
          <w:sz w:val="21"/>
          <w:szCs w:val="21"/>
          <w:u w:val="single"/>
        </w:rPr>
      </w:pPr>
      <w:r>
        <w:rPr>
          <w:rFonts w:hint="eastAsia" w:ascii="宋体" w:hAnsi="宋体" w:eastAsia="宋体" w:cs="宋体"/>
          <w:i w:val="0"/>
          <w:iCs w:val="0"/>
          <w:sz w:val="21"/>
          <w:szCs w:val="21"/>
          <w:u w:val="single"/>
        </w:rPr>
        <w:t>j.承包人在合同履行过程中，应严格遵守和执行发包人制定的各项管理制度和规定，严格执行发包人关于工程设计变更、签证等方面的审批程序及制度。</w:t>
      </w:r>
    </w:p>
    <w:p w14:paraId="229E153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k.施工过程中耗用的施工用电和施工用水的费用由承包人在报价时综合考虑，结算时不再另行计取。</w:t>
      </w:r>
    </w:p>
    <w:p w14:paraId="5B833E5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l.本项目建筑垃圾外运处置由承包人办理相关手续，必须符合相关规定要求，不得乱排乱放，否则相关责任均由承包人承担。</w:t>
      </w:r>
    </w:p>
    <w:p w14:paraId="2672D4B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m.施工单位进场施工前须对周围树木、房屋建筑、管线等做好摸底排查工作，在施工中必须严格按照规范操作，并针对周围树木、管线和邻近建筑物实际情况，采取相应防护措施，对不按规范要求施工或未采取防护措施的，造成的损失由承包人承担。</w:t>
      </w:r>
    </w:p>
    <w:p w14:paraId="60FE1D1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（11）承包人诚实信用的承诺：</w:t>
      </w:r>
      <w:r>
        <w:rPr>
          <w:rFonts w:hint="eastAsia" w:ascii="宋体" w:hAnsi="宋体" w:eastAsia="宋体" w:cs="宋体"/>
          <w:sz w:val="21"/>
          <w:szCs w:val="21"/>
          <w:u w:val="single"/>
        </w:rPr>
        <w:t xml:space="preserve"> </w:t>
      </w:r>
      <w:r>
        <w:rPr>
          <w:rFonts w:hint="eastAsia" w:ascii="宋体" w:hAnsi="宋体" w:eastAsia="宋体" w:cs="宋体"/>
          <w:i/>
          <w:sz w:val="21"/>
          <w:szCs w:val="21"/>
          <w:u w:val="single"/>
          <w:lang w:bidi="ar"/>
        </w:rPr>
        <w:t>承包人向发包人承诺按照本合同约定及现场甲方和监理工程师的指令进行施工。竣工后，保修期内承担工程质量保修责任，并履行本合同约定的全部义务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CC8BA5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（12）承包人使用新技术、工法、工艺的承诺：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5CCF6A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 项目经理</w:t>
      </w:r>
    </w:p>
    <w:p w14:paraId="37E743D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3.2.1 项目经理：</w:t>
      </w:r>
    </w:p>
    <w:p w14:paraId="1A7AC93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2531F6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DF0ED7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建造师执业资格等级：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B5C241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建造师注册证书号：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0993B3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0C9061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安全生产考核合格证书号：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19A405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D37EC5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63BE31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B89D86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承包人对项目经理的授权范围如下：</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46C4D8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关于项目经理每月在施工现场的时间要求：</w:t>
      </w:r>
      <w:r>
        <w:rPr>
          <w:rFonts w:hint="eastAsia" w:ascii="宋体" w:hAnsi="宋体" w:eastAsia="宋体" w:cs="宋体"/>
          <w:sz w:val="21"/>
          <w:szCs w:val="21"/>
          <w:u w:val="single"/>
        </w:rPr>
        <w:t>月到岗率须达到24天</w:t>
      </w:r>
      <w:r>
        <w:rPr>
          <w:rFonts w:hint="eastAsia" w:ascii="宋体" w:hAnsi="宋体" w:eastAsia="宋体" w:cs="宋体"/>
          <w:sz w:val="21"/>
          <w:szCs w:val="21"/>
        </w:rPr>
        <w:t>。</w:t>
      </w:r>
    </w:p>
    <w:p w14:paraId="401AFD8C">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u w:val="single"/>
        </w:rPr>
        <w:t>月到岗达不到约定天数，按相关行业主管部发布的规定处理；遇有工程检查、验收或参观等活动时，无特殊原因不得</w:t>
      </w:r>
      <w:r>
        <w:rPr>
          <w:rFonts w:hint="eastAsia" w:ascii="宋体" w:hAnsi="宋体" w:eastAsia="宋体" w:cs="宋体"/>
          <w:kern w:val="0"/>
          <w:sz w:val="21"/>
          <w:szCs w:val="21"/>
          <w:u w:val="single"/>
        </w:rPr>
        <w:t>离开施工现场。</w:t>
      </w:r>
    </w:p>
    <w:p w14:paraId="366893A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承包人未提交劳动合同，以及没有为项目经理缴纳社会保险证明的违约责任：</w:t>
      </w:r>
      <w:r>
        <w:rPr>
          <w:rFonts w:hint="eastAsia" w:ascii="宋体" w:hAnsi="宋体" w:eastAsia="宋体" w:cs="宋体"/>
          <w:sz w:val="21"/>
          <w:szCs w:val="21"/>
          <w:u w:val="single"/>
        </w:rPr>
        <w:t>发包人有权要求更换项目经理，由此增加的费用和（或）延误的工期由承包人承担，并承担违约责任</w:t>
      </w:r>
      <w:r>
        <w:rPr>
          <w:rFonts w:hint="eastAsia" w:ascii="宋体" w:hAnsi="宋体" w:eastAsia="宋体" w:cs="宋体"/>
          <w:sz w:val="21"/>
          <w:szCs w:val="21"/>
        </w:rPr>
        <w:t>。</w:t>
      </w:r>
    </w:p>
    <w:p w14:paraId="335244A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项目经理未</w:t>
      </w:r>
      <w:r>
        <w:rPr>
          <w:rFonts w:hint="eastAsia" w:ascii="宋体" w:hAnsi="宋体" w:eastAsia="宋体" w:cs="宋体"/>
          <w:sz w:val="21"/>
          <w:szCs w:val="21"/>
          <w:u w:val="single"/>
        </w:rPr>
        <w:t>经批准，擅自离开施工现场的违约责任：月到岗须达到24天，不足天数，每天扣除履约担保金额的0.1%，每月结算，在当期工程款支付时扣除；连续三个月达不到要求且项目经理不能到岗的，一次性扣除履约担保金的8%（含前三个月已扣除的履约担保金），且发包人有权终止合同，没收全部履约担保金，同时由承包人赔偿发包人由此造成的损失。另遇有工程检查、验收或参观等活动时，无特殊原因不得离开施工现场。</w:t>
      </w:r>
    </w:p>
    <w:p w14:paraId="0312387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3.2.3 承包人擅自更换项目经理的违约责任：</w:t>
      </w:r>
      <w:r>
        <w:rPr>
          <w:rFonts w:hint="eastAsia" w:ascii="宋体" w:hAnsi="宋体" w:eastAsia="宋体" w:cs="宋体"/>
          <w:sz w:val="21"/>
          <w:szCs w:val="21"/>
          <w:u w:val="single"/>
        </w:rPr>
        <w:t>项目经理因发生重大安全事故不适合再任、生病住院、终止劳动合同关系（提供相关部门或单位证明材料）、被责令停止执业、羁押或判刑等情形，确已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r>
        <w:rPr>
          <w:rFonts w:hint="eastAsia" w:ascii="宋体" w:hAnsi="宋体" w:eastAsia="宋体" w:cs="宋体"/>
          <w:sz w:val="21"/>
          <w:szCs w:val="21"/>
        </w:rPr>
        <w:t>。</w:t>
      </w:r>
    </w:p>
    <w:p w14:paraId="28C4539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3.2.4 承包人无正当理由拒绝更换项目经理的违约责任：</w:t>
      </w:r>
      <w:r>
        <w:rPr>
          <w:rFonts w:hint="eastAsia" w:ascii="宋体" w:hAnsi="宋体" w:eastAsia="宋体" w:cs="宋体"/>
          <w:sz w:val="21"/>
          <w:szCs w:val="21"/>
          <w:u w:val="single"/>
        </w:rPr>
        <w:t>发包人可通知承包人全部解除合同，所有履约担保金归发包人，同时赔偿发包人损失</w:t>
      </w:r>
      <w:r>
        <w:rPr>
          <w:rFonts w:hint="eastAsia" w:ascii="宋体" w:hAnsi="宋体" w:eastAsia="宋体" w:cs="宋体"/>
          <w:sz w:val="21"/>
          <w:szCs w:val="21"/>
        </w:rPr>
        <w:t>。</w:t>
      </w:r>
    </w:p>
    <w:p w14:paraId="114FCB1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 承包人人员</w:t>
      </w:r>
    </w:p>
    <w:p w14:paraId="72750C4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3.3.1 承包人提交项目管理机构及施工现场管理人员安排报告的期限：</w:t>
      </w:r>
      <w:r>
        <w:rPr>
          <w:rFonts w:hint="eastAsia" w:ascii="宋体" w:hAnsi="宋体" w:eastAsia="宋体" w:cs="宋体"/>
          <w:sz w:val="21"/>
          <w:szCs w:val="21"/>
          <w:u w:val="single"/>
        </w:rPr>
        <w:t>接到开工通知（或确定开工日期）后7天内。</w:t>
      </w:r>
    </w:p>
    <w:p w14:paraId="253DAEE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3.3.3 承包人无正当理由拒绝撤换主要施工管理人员的违约责任：</w:t>
      </w:r>
      <w:r>
        <w:rPr>
          <w:rFonts w:hint="eastAsia" w:ascii="宋体" w:hAnsi="宋体" w:eastAsia="宋体" w:cs="宋体"/>
          <w:sz w:val="21"/>
          <w:szCs w:val="21"/>
          <w:u w:val="single"/>
        </w:rPr>
        <w:t>发包人可通知承包人全部解除合同，所有履约担保金归发包人，同时赔偿发包人损失。</w:t>
      </w:r>
    </w:p>
    <w:p w14:paraId="2E6C0F2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3.3.4 承包人主要施工管理人员离开施工现场的批准要求：</w:t>
      </w:r>
      <w:r>
        <w:rPr>
          <w:rFonts w:hint="eastAsia" w:ascii="宋体" w:hAnsi="宋体" w:eastAsia="宋体" w:cs="宋体"/>
          <w:sz w:val="21"/>
          <w:szCs w:val="21"/>
          <w:u w:val="single"/>
        </w:rPr>
        <w:t>按通用条款执行；未经批准擅自离开施工现场按相关行业主管部发布的规定处理；另遇有工程检查、验收或参观等活动时，无特殊原因不得请假。</w:t>
      </w:r>
    </w:p>
    <w:p w14:paraId="69EDA41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3.3.5承包人擅自更换主要施工管理人员的违约责任：</w:t>
      </w:r>
      <w:r>
        <w:rPr>
          <w:rFonts w:hint="eastAsia" w:ascii="宋体" w:hAnsi="宋体" w:eastAsia="宋体" w:cs="宋体"/>
          <w:sz w:val="21"/>
          <w:szCs w:val="21"/>
          <w:u w:val="single"/>
        </w:rPr>
        <w:t>因发生重大安全事故不适合再任、</w:t>
      </w:r>
      <w:r>
        <w:rPr>
          <w:rFonts w:hint="eastAsia" w:ascii="宋体" w:hAnsi="宋体" w:eastAsia="宋体" w:cs="宋体"/>
          <w:sz w:val="21"/>
          <w:szCs w:val="21"/>
          <w:u w:val="single"/>
          <w:lang w:val="en-US" w:eastAsia="zh-CN"/>
        </w:rPr>
        <w:t>因</w:t>
      </w:r>
      <w:r>
        <w:rPr>
          <w:rFonts w:hint="eastAsia" w:ascii="宋体" w:hAnsi="宋体" w:eastAsia="宋体" w:cs="宋体"/>
          <w:sz w:val="21"/>
          <w:szCs w:val="21"/>
          <w:u w:val="single"/>
        </w:rPr>
        <w:t>生病住院、终止劳动合同关系（提供相关部门或单位证明材料）、被责令停止执业、羁押或判刑情形，确已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21392399">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承包人主要施工管理人员擅自离开施工现场的违约责任：</w:t>
      </w:r>
      <w:r>
        <w:rPr>
          <w:rFonts w:hint="eastAsia" w:ascii="宋体" w:hAnsi="宋体" w:eastAsia="宋体" w:cs="宋体"/>
          <w:sz w:val="21"/>
          <w:szCs w:val="21"/>
          <w:u w:val="single"/>
        </w:rPr>
        <w:t>关键岗位人员到岗达不到24天的，不足天数每人次每天扣除履约担保金额的0.05%，每月结算，在当期工程款支付时扣除。某关键岗位人员连续三个月到岗率达不到要求且不能到岗的，一次性扣除履约担保金的3%（含前三个月已扣除的履约担保金），且发包人有权要求承包人更换该关键岗位人员。</w:t>
      </w:r>
    </w:p>
    <w:p w14:paraId="5C4C541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 分包</w:t>
      </w:r>
    </w:p>
    <w:p w14:paraId="726538F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3.5.1 分包的一般约定</w:t>
      </w:r>
    </w:p>
    <w:p w14:paraId="2D8F65B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禁止分包的工程包括：</w:t>
      </w:r>
      <w:r>
        <w:rPr>
          <w:rFonts w:hint="eastAsia" w:ascii="宋体" w:hAnsi="宋体" w:eastAsia="宋体" w:cs="宋体"/>
          <w:sz w:val="21"/>
          <w:szCs w:val="21"/>
          <w:u w:val="single"/>
        </w:rPr>
        <w:t xml:space="preserve">工程主体结构、关键性工作  </w:t>
      </w:r>
      <w:r>
        <w:rPr>
          <w:rFonts w:hint="eastAsia" w:ascii="宋体" w:hAnsi="宋体" w:eastAsia="宋体" w:cs="宋体"/>
          <w:sz w:val="21"/>
          <w:szCs w:val="21"/>
        </w:rPr>
        <w:t>。</w:t>
      </w:r>
    </w:p>
    <w:p w14:paraId="1E65CAA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主体结构、关键性工作的范围：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05587A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3.5.2分包的确定</w:t>
      </w:r>
    </w:p>
    <w:p w14:paraId="130F2B2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允许分包的专业工程包括：</w:t>
      </w:r>
      <w:r>
        <w:rPr>
          <w:rFonts w:hint="eastAsia" w:ascii="宋体" w:hAnsi="宋体" w:eastAsia="宋体" w:cs="宋体"/>
          <w:sz w:val="21"/>
          <w:szCs w:val="21"/>
          <w:highlight w:val="none"/>
          <w:u w:val="single"/>
        </w:rPr>
        <w:t xml:space="preserve"> </w:t>
      </w:r>
      <w:r>
        <w:rPr>
          <w:rFonts w:hint="eastAsia" w:ascii="宋体" w:hAnsi="宋体" w:eastAsia="宋体" w:cs="宋体"/>
          <w:i w:val="0"/>
          <w:iCs w:val="0"/>
          <w:snapToGrid w:val="0"/>
          <w:color w:val="auto"/>
          <w:sz w:val="21"/>
          <w:szCs w:val="21"/>
          <w:highlight w:val="none"/>
          <w:u w:val="single"/>
          <w:lang w:val="en-US" w:eastAsia="zh-CN"/>
        </w:rPr>
        <w:t>/</w:t>
      </w:r>
      <w:r>
        <w:rPr>
          <w:rFonts w:hint="eastAsia" w:ascii="宋体" w:hAnsi="宋体" w:eastAsia="宋体" w:cs="宋体"/>
          <w:sz w:val="21"/>
          <w:szCs w:val="21"/>
          <w:highlight w:val="none"/>
          <w:u w:val="single"/>
        </w:rPr>
        <w:t>。</w:t>
      </w:r>
    </w:p>
    <w:p w14:paraId="42A5163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其他关于分包的约定：</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sz w:val="21"/>
          <w:szCs w:val="21"/>
          <w:highlight w:val="none"/>
        </w:rPr>
        <w:t>。</w:t>
      </w:r>
    </w:p>
    <w:p w14:paraId="4B2D37B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3.5.3 分包管理：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43B688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3.5.4 分包合同价款</w:t>
      </w:r>
    </w:p>
    <w:p w14:paraId="02EF9E0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u w:val="single"/>
          <w:lang w:val="en-US" w:eastAsia="zh-CN" w:bidi="ar-SA"/>
        </w:rPr>
      </w:pPr>
      <w:r>
        <w:rPr>
          <w:rFonts w:hint="eastAsia" w:ascii="宋体" w:hAnsi="宋体" w:eastAsia="宋体" w:cs="宋体"/>
          <w:sz w:val="21"/>
          <w:szCs w:val="21"/>
        </w:rPr>
        <w:t>关于分包合同价款支付的约定：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p>
    <w:p w14:paraId="4C42F19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3.6 工程照管与成品、半成品保护</w:t>
      </w:r>
    </w:p>
    <w:p w14:paraId="17E0236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承包人负责照管工程及工程相关的材料、工程设备的起始时间：</w:t>
      </w:r>
      <w:r>
        <w:rPr>
          <w:rFonts w:hint="eastAsia" w:ascii="宋体" w:hAnsi="宋体" w:eastAsia="宋体" w:cs="宋体"/>
          <w:sz w:val="21"/>
          <w:szCs w:val="21"/>
          <w:u w:val="single"/>
        </w:rPr>
        <w:t>按合同通用条款执行</w:t>
      </w:r>
      <w:r>
        <w:rPr>
          <w:rFonts w:hint="eastAsia" w:ascii="宋体" w:hAnsi="宋体" w:eastAsia="宋体" w:cs="宋体"/>
          <w:sz w:val="21"/>
          <w:szCs w:val="21"/>
        </w:rPr>
        <w:t>。</w:t>
      </w:r>
    </w:p>
    <w:p w14:paraId="6A26BEA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3.7 履约担保</w:t>
      </w:r>
    </w:p>
    <w:p w14:paraId="0957DCA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承包人是否提供履约担保：</w:t>
      </w:r>
      <w:r>
        <w:rPr>
          <w:rFonts w:hint="eastAsia" w:ascii="宋体" w:hAnsi="宋体" w:eastAsia="宋体" w:cs="宋体"/>
          <w:sz w:val="21"/>
          <w:szCs w:val="21"/>
          <w:u w:val="single"/>
        </w:rPr>
        <w:t xml:space="preserve">  是 ，提供履约担保   </w:t>
      </w:r>
      <w:r>
        <w:rPr>
          <w:rFonts w:hint="eastAsia" w:ascii="宋体" w:hAnsi="宋体" w:eastAsia="宋体" w:cs="宋体"/>
          <w:sz w:val="21"/>
          <w:szCs w:val="21"/>
        </w:rPr>
        <w:t>。</w:t>
      </w:r>
    </w:p>
    <w:p w14:paraId="31298AB5">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none"/>
        </w:rPr>
        <w:t>承包人提供履约担保的形式、金额及期限的：</w:t>
      </w:r>
      <w:r>
        <w:rPr>
          <w:rFonts w:hint="eastAsia" w:ascii="宋体" w:hAnsi="宋体" w:eastAsia="宋体" w:cs="宋体"/>
          <w:sz w:val="21"/>
          <w:szCs w:val="21"/>
          <w:u w:val="single"/>
        </w:rPr>
        <w:t>签订工程合同时提供履约保函，保函形式为转账或发包人认可的担保形式（如银行保函、保险机构保证保险保单和融资担保公司保函），金额为签约合同价的2%。履约担保如为现金,不计息。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承担。</w:t>
      </w:r>
    </w:p>
    <w:p w14:paraId="6C40C733">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发包人在工程竣工验收后10天内，向承包人全额返还；承包人应保证履约担保在工程竣工验收前持续有效。</w:t>
      </w:r>
    </w:p>
    <w:p w14:paraId="387042B1">
      <w:pPr>
        <w:keepNext w:val="0"/>
        <w:keepLines w:val="0"/>
        <w:pageBreakBefore w:val="0"/>
        <w:kinsoku/>
        <w:wordWrap/>
        <w:overflowPunct/>
        <w:topLinePunct w:val="0"/>
        <w:bidi w:val="0"/>
        <w:snapToGrid w:val="0"/>
        <w:spacing w:line="360" w:lineRule="exact"/>
        <w:ind w:firstLine="420" w:firstLineChars="200"/>
        <w:textAlignment w:val="auto"/>
        <w:rPr>
          <w:rFonts w:hint="eastAsia"/>
        </w:rPr>
      </w:pPr>
      <w:r>
        <w:rPr>
          <w:rFonts w:hint="eastAsia" w:ascii="宋体" w:hAnsi="宋体" w:eastAsia="宋体" w:cs="宋体"/>
          <w:sz w:val="21"/>
          <w:szCs w:val="21"/>
          <w:u w:val="single"/>
        </w:rPr>
        <w:t>非承包人原因导致的工期延长，承包人继续提供履约担保所增加的费用由发包人承担。</w:t>
      </w:r>
    </w:p>
    <w:p w14:paraId="76E8D57A">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 监理人</w:t>
      </w:r>
    </w:p>
    <w:p w14:paraId="61BED89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4.1监理人的一般规定</w:t>
      </w:r>
    </w:p>
    <w:p w14:paraId="67BB569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关于监理人的监理内容：</w:t>
      </w:r>
      <w:r>
        <w:rPr>
          <w:rFonts w:hint="eastAsia" w:ascii="宋体" w:hAnsi="宋体" w:eastAsia="宋体" w:cs="宋体"/>
          <w:sz w:val="21"/>
          <w:szCs w:val="21"/>
          <w:u w:val="single"/>
        </w:rPr>
        <w:t xml:space="preserve"> 按本工程监理合同约定内容</w:t>
      </w:r>
      <w:r>
        <w:rPr>
          <w:rFonts w:hint="eastAsia" w:ascii="宋体" w:hAnsi="宋体" w:eastAsia="宋体" w:cs="宋体"/>
          <w:sz w:val="21"/>
          <w:szCs w:val="21"/>
        </w:rPr>
        <w:t>。</w:t>
      </w:r>
    </w:p>
    <w:p w14:paraId="3EBF2EA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关于监理人的监理权限：</w:t>
      </w:r>
      <w:r>
        <w:rPr>
          <w:rFonts w:hint="eastAsia" w:ascii="宋体" w:hAnsi="宋体" w:eastAsia="宋体" w:cs="宋体"/>
          <w:sz w:val="21"/>
          <w:szCs w:val="21"/>
          <w:u w:val="single"/>
        </w:rPr>
        <w:t>〔按本工程监理合同约定内容，涉及工程变更（含设计变更等参建各方变更）均需报发包人审批后生效〕。</w:t>
      </w:r>
    </w:p>
    <w:p w14:paraId="40662D2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关于监理人在施工现场的办公场所、生活场所的提供和费用承担的约定：</w:t>
      </w:r>
      <w:r>
        <w:rPr>
          <w:rFonts w:hint="eastAsia" w:ascii="宋体" w:hAnsi="宋体" w:eastAsia="宋体" w:cs="宋体"/>
          <w:sz w:val="21"/>
          <w:szCs w:val="21"/>
          <w:u w:val="single"/>
        </w:rPr>
        <w:t xml:space="preserve"> 由承包人免费提供办公室1间使用 </w:t>
      </w:r>
      <w:r>
        <w:rPr>
          <w:rFonts w:hint="eastAsia" w:ascii="宋体" w:hAnsi="宋体" w:eastAsia="宋体" w:cs="宋体"/>
          <w:sz w:val="21"/>
          <w:szCs w:val="21"/>
        </w:rPr>
        <w:t>。</w:t>
      </w:r>
    </w:p>
    <w:p w14:paraId="5B237C4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 监理人员</w:t>
      </w:r>
    </w:p>
    <w:p w14:paraId="7F2C865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总监理工程师：</w:t>
      </w:r>
    </w:p>
    <w:p w14:paraId="5D00BCC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 </w:t>
      </w:r>
      <w:r>
        <w:rPr>
          <w:rFonts w:hint="eastAsia" w:ascii="宋体" w:hAnsi="宋体" w:eastAsia="宋体" w:cs="宋体"/>
          <w:sz w:val="21"/>
          <w:szCs w:val="21"/>
        </w:rPr>
        <w:t>；</w:t>
      </w:r>
    </w:p>
    <w:p w14:paraId="34447AC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 </w:t>
      </w:r>
      <w:r>
        <w:rPr>
          <w:rFonts w:hint="eastAsia" w:ascii="宋体" w:hAnsi="宋体" w:eastAsia="宋体" w:cs="宋体"/>
          <w:sz w:val="21"/>
          <w:szCs w:val="21"/>
        </w:rPr>
        <w:t>；</w:t>
      </w:r>
    </w:p>
    <w:p w14:paraId="2102571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监理工程师执业资格证书号：</w:t>
      </w:r>
      <w:r>
        <w:rPr>
          <w:rFonts w:hint="eastAsia" w:ascii="宋体" w:hAnsi="宋体" w:eastAsia="宋体" w:cs="宋体"/>
          <w:sz w:val="21"/>
          <w:szCs w:val="21"/>
          <w:u w:val="single"/>
        </w:rPr>
        <w:t> </w:t>
      </w:r>
      <w:r>
        <w:rPr>
          <w:rFonts w:hint="eastAsia" w:ascii="宋体" w:hAnsi="宋体" w:eastAsia="宋体" w:cs="宋体"/>
          <w:sz w:val="21"/>
          <w:szCs w:val="21"/>
        </w:rPr>
        <w:t>；</w:t>
      </w:r>
    </w:p>
    <w:p w14:paraId="63376AE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 </w:t>
      </w:r>
      <w:r>
        <w:rPr>
          <w:rFonts w:hint="eastAsia" w:ascii="宋体" w:hAnsi="宋体" w:eastAsia="宋体" w:cs="宋体"/>
          <w:sz w:val="21"/>
          <w:szCs w:val="21"/>
        </w:rPr>
        <w:t>；</w:t>
      </w:r>
    </w:p>
    <w:p w14:paraId="22C306F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 </w:t>
      </w:r>
      <w:r>
        <w:rPr>
          <w:rFonts w:hint="eastAsia" w:ascii="宋体" w:hAnsi="宋体" w:eastAsia="宋体" w:cs="宋体"/>
          <w:sz w:val="21"/>
          <w:szCs w:val="21"/>
        </w:rPr>
        <w:t>；</w:t>
      </w:r>
    </w:p>
    <w:p w14:paraId="4FF980A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 </w:t>
      </w:r>
      <w:r>
        <w:rPr>
          <w:rFonts w:hint="eastAsia" w:ascii="宋体" w:hAnsi="宋体" w:eastAsia="宋体" w:cs="宋体"/>
          <w:sz w:val="21"/>
          <w:szCs w:val="21"/>
        </w:rPr>
        <w:t>；</w:t>
      </w:r>
    </w:p>
    <w:p w14:paraId="08282DA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关于监理人的其他约定： </w:t>
      </w:r>
    </w:p>
    <w:p w14:paraId="3CCD79D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（1）监理人授权超出合同约定，承包人有权提出异议，如监理人对于承包人合理的异议不予接受，则承包人可要求发包人就该事项作出处理决定；</w:t>
      </w:r>
    </w:p>
    <w:p w14:paraId="67DFF8F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（2）对于监理人更换其委派的监理人员的，监理人在征得发包人同意后应当提前48小时书面通知承包人；</w:t>
      </w:r>
    </w:p>
    <w:p w14:paraId="2E652EC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（3）监理人对其监理人员的任何授权，承包人均应当要求监理人提供书面的授权，否则，承包人有权拒绝接受监理人员的指示。</w:t>
      </w:r>
    </w:p>
    <w:p w14:paraId="46143A2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4.4 商定或确定</w:t>
      </w:r>
    </w:p>
    <w:p w14:paraId="2118552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在发包人和承包人不能通过协商达成一致意见时，发包人授权监理人对以下事项进行确定：</w:t>
      </w:r>
    </w:p>
    <w:p w14:paraId="1256679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无价材料、设备的确定</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14:paraId="1E8CED6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      清单特征描述不清</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14:paraId="034A2FB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B87F61E">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5. 工程质量</w:t>
      </w:r>
    </w:p>
    <w:p w14:paraId="6233D64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 质量要求</w:t>
      </w:r>
    </w:p>
    <w:p w14:paraId="6DF6018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5.1.1 特殊质量标准和要求：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E4E516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关于工程奖项的约定：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C9630C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 隐蔽工程检查</w:t>
      </w:r>
    </w:p>
    <w:p w14:paraId="3DFDD21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5.3.2承包人提前通知监理人隐蔽工程检查的期限的约定：</w:t>
      </w:r>
      <w:r>
        <w:rPr>
          <w:rFonts w:hint="eastAsia" w:ascii="宋体" w:hAnsi="宋体" w:eastAsia="宋体" w:cs="宋体"/>
          <w:sz w:val="21"/>
          <w:szCs w:val="21"/>
          <w:u w:val="single"/>
        </w:rPr>
        <w:t>按合同通用条款执行</w:t>
      </w:r>
      <w:r>
        <w:rPr>
          <w:rFonts w:hint="eastAsia" w:ascii="宋体" w:hAnsi="宋体" w:eastAsia="宋体" w:cs="宋体"/>
          <w:sz w:val="21"/>
          <w:szCs w:val="21"/>
        </w:rPr>
        <w:t>。</w:t>
      </w:r>
    </w:p>
    <w:p w14:paraId="435B6D5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14:paraId="08A8D82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小时。由此导致工期延误的，工期予以顺延。</w:t>
      </w:r>
    </w:p>
    <w:p w14:paraId="4692F7B4">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重要节点的隐蔽工程验收过程、验收部位除办理纸质验收记录，承包人还应保留验收部位、验收过程、验收人员相片、影像等资料。</w:t>
      </w:r>
    </w:p>
    <w:p w14:paraId="4998B8FB">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6. 安全文明施工与环境保护</w:t>
      </w:r>
    </w:p>
    <w:p w14:paraId="31A06B1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6.1安全文明施工</w:t>
      </w:r>
    </w:p>
    <w:p w14:paraId="062E1FF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6.1.1 项目安全生产的达标目标及相应事项的约定：</w:t>
      </w:r>
      <w:r>
        <w:rPr>
          <w:rFonts w:hint="eastAsia" w:ascii="宋体" w:hAnsi="宋体" w:eastAsia="宋体" w:cs="宋体"/>
          <w:b/>
          <w:bCs/>
          <w:sz w:val="21"/>
          <w:szCs w:val="21"/>
          <w:u w:val="single"/>
        </w:rPr>
        <w:t>按《浙江省建筑施工安全标准化管理规定》（浙建建〔2012〕54号），及工程所在地相关主管部门发布的有关施工现场安全文明施工（含扬尘防护、监测），门禁考勤管理，噪声、污水排放，视频监控等管理规定执行。（注：根据工程所在地管理部门对该区域内现场安全文明施工要求不同调整）</w:t>
      </w:r>
      <w:r>
        <w:rPr>
          <w:rFonts w:hint="eastAsia" w:ascii="宋体" w:hAnsi="宋体" w:eastAsia="宋体" w:cs="宋体"/>
          <w:b/>
          <w:bCs/>
          <w:sz w:val="21"/>
          <w:szCs w:val="21"/>
        </w:rPr>
        <w:t>。</w:t>
      </w:r>
    </w:p>
    <w:p w14:paraId="6B94004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6.1.4 关于治安保卫的特别约定：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0DE0489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关于编制施工场地治安管理计划的约定：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4ACFC27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6.1.5 文明施工</w:t>
      </w:r>
    </w:p>
    <w:p w14:paraId="69C96A2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rPr>
        <w:t>按省、市发有关文明施工管理规定执行</w:t>
      </w:r>
      <w:r>
        <w:rPr>
          <w:rFonts w:hint="eastAsia" w:ascii="宋体" w:hAnsi="宋体" w:eastAsia="宋体" w:cs="宋体"/>
          <w:sz w:val="21"/>
          <w:szCs w:val="21"/>
        </w:rPr>
        <w:t>。</w:t>
      </w:r>
    </w:p>
    <w:p w14:paraId="67AE620F">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6.1.6 关于安全文明施工费支付比例和支付期限的约定：</w:t>
      </w:r>
      <w:r>
        <w:rPr>
          <w:rFonts w:hint="eastAsia" w:ascii="宋体" w:hAnsi="宋体" w:eastAsia="宋体" w:cs="宋体"/>
          <w:sz w:val="21"/>
          <w:szCs w:val="21"/>
          <w:u w:val="single"/>
        </w:rPr>
        <w:t>安全文明施工费预付费用包含在工程预付款内，与工程预付款一并支付，支付比例为安全文明施工费（不含创标化工地增加费）总额的（   ）%，金额为（    ）元（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w:t>
      </w:r>
      <w:r>
        <w:rPr>
          <w:rFonts w:hint="eastAsia" w:ascii="宋体" w:hAnsi="宋体" w:eastAsia="宋体" w:cs="宋体"/>
          <w:sz w:val="21"/>
          <w:szCs w:val="21"/>
        </w:rPr>
        <w:t>。</w:t>
      </w:r>
    </w:p>
    <w:p w14:paraId="44A684C7">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安全文明施工费包含在合同价内。承包人经发包人同意采取合同约定以外的安全文明施工措施所产生的费用，由发、承包人协商处理；未经发包人同意，发包人可不承担由此增加费用。</w:t>
      </w:r>
    </w:p>
    <w:p w14:paraId="18E725E4">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7. 工期和进度</w:t>
      </w:r>
    </w:p>
    <w:p w14:paraId="23FAF6E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 施工组织设计</w:t>
      </w:r>
    </w:p>
    <w:p w14:paraId="36A99B8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7.1.1 合同当事人约定的施工组织设计应包括的其他内容</w:t>
      </w:r>
      <w:r>
        <w:rPr>
          <w:rFonts w:hint="eastAsia" w:ascii="宋体" w:hAnsi="宋体" w:eastAsia="宋体" w:cs="宋体"/>
          <w:sz w:val="21"/>
          <w:szCs w:val="21"/>
          <w:u w:val="single"/>
        </w:rPr>
        <w:t>：对特殊工艺施工、危险性较大分部分项工程施工（如基坑支护方案、高大支模架方案、外墙悬挑架等专项施工方案）应按规定办理审批手续和按当地建设行政主管部门要求组织专家论证</w:t>
      </w:r>
      <w:r>
        <w:rPr>
          <w:rFonts w:hint="eastAsia" w:ascii="宋体" w:hAnsi="宋体" w:eastAsia="宋体" w:cs="宋体"/>
          <w:sz w:val="21"/>
          <w:szCs w:val="21"/>
        </w:rPr>
        <w:t>。</w:t>
      </w:r>
    </w:p>
    <w:p w14:paraId="15B48E5B">
      <w:pPr>
        <w:keepNext w:val="0"/>
        <w:keepLines w:val="0"/>
        <w:pageBreakBefore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ascii="宋体" w:hAnsi="宋体" w:eastAsia="宋体" w:cs="宋体"/>
          <w:kern w:val="0"/>
          <w:sz w:val="21"/>
          <w:szCs w:val="21"/>
          <w:highlight w:val="none"/>
          <w:u w:val="single"/>
        </w:rPr>
        <w:t>注：</w:t>
      </w:r>
      <w:r>
        <w:rPr>
          <w:rFonts w:hint="eastAsia" w:ascii="宋体" w:hAnsi="宋体" w:eastAsia="宋体" w:cs="宋体"/>
          <w:sz w:val="21"/>
          <w:szCs w:val="21"/>
          <w:highlight w:val="none"/>
          <w:u w:val="single"/>
        </w:rPr>
        <w:t>政府性投资项目，应按当地政府规定的项目变更办理程序办理）。</w:t>
      </w:r>
    </w:p>
    <w:p w14:paraId="23895BF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7.1.2 施工组织设计的提交和修改</w:t>
      </w:r>
    </w:p>
    <w:p w14:paraId="5E9A4BB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承包人提交详细施工组织设计的期限的约定：</w:t>
      </w:r>
      <w:r>
        <w:rPr>
          <w:rFonts w:hint="eastAsia" w:ascii="宋体" w:hAnsi="宋体" w:eastAsia="宋体" w:cs="宋体"/>
          <w:sz w:val="21"/>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14:paraId="69232CA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发包人和监理人在收到详细的施工组织设计后确认或提出修改意见的期限：</w:t>
      </w:r>
      <w:r>
        <w:rPr>
          <w:rFonts w:hint="eastAsia" w:ascii="宋体" w:hAnsi="宋体" w:eastAsia="宋体" w:cs="宋体"/>
          <w:sz w:val="21"/>
          <w:szCs w:val="21"/>
          <w:u w:val="single"/>
        </w:rPr>
        <w:t>收到相应文件后7天内。</w:t>
      </w:r>
    </w:p>
    <w:p w14:paraId="2527F2A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7.2 施工进度计划</w:t>
      </w:r>
    </w:p>
    <w:p w14:paraId="1C49484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7.2.2 施工进度计划的修订</w:t>
      </w:r>
    </w:p>
    <w:p w14:paraId="21C02DE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发包人和监理人在收到修订的施工进度计划后确认或提出修改意见的期限：</w:t>
      </w:r>
      <w:r>
        <w:rPr>
          <w:rFonts w:hint="eastAsia" w:ascii="宋体" w:hAnsi="宋体" w:eastAsia="宋体" w:cs="宋体"/>
          <w:sz w:val="21"/>
          <w:szCs w:val="21"/>
          <w:u w:val="single"/>
        </w:rPr>
        <w:t>收到相应文件后7天内。</w:t>
      </w:r>
    </w:p>
    <w:p w14:paraId="0394770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7.3 开工</w:t>
      </w:r>
    </w:p>
    <w:p w14:paraId="6D58C85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7.3.1 开工准备</w:t>
      </w:r>
    </w:p>
    <w:p w14:paraId="78F1C42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关于承包人提交工程开工报审表的期限：</w:t>
      </w:r>
      <w:r>
        <w:rPr>
          <w:rFonts w:hint="eastAsia" w:ascii="宋体" w:hAnsi="宋体" w:eastAsia="宋体" w:cs="宋体"/>
          <w:sz w:val="21"/>
          <w:szCs w:val="21"/>
          <w:u w:val="single"/>
        </w:rPr>
        <w:t xml:space="preserve">接到开工通知（或确定开工日期）后7天内  </w:t>
      </w:r>
      <w:r>
        <w:rPr>
          <w:rFonts w:hint="eastAsia" w:ascii="宋体" w:hAnsi="宋体" w:eastAsia="宋体" w:cs="宋体"/>
          <w:sz w:val="21"/>
          <w:szCs w:val="21"/>
        </w:rPr>
        <w:t>。</w:t>
      </w:r>
    </w:p>
    <w:p w14:paraId="262311A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关于发包人应完成的其他开工准备工作及期限：</w:t>
      </w:r>
      <w:r>
        <w:rPr>
          <w:rFonts w:hint="eastAsia" w:ascii="宋体" w:hAnsi="宋体" w:eastAsia="宋体" w:cs="宋体"/>
          <w:sz w:val="21"/>
          <w:szCs w:val="21"/>
          <w:u w:val="single"/>
        </w:rPr>
        <w:t>开工前7天</w:t>
      </w:r>
      <w:r>
        <w:rPr>
          <w:rFonts w:hint="eastAsia" w:ascii="宋体" w:hAnsi="宋体" w:eastAsia="宋体" w:cs="宋体"/>
          <w:sz w:val="21"/>
          <w:szCs w:val="21"/>
        </w:rPr>
        <w:t>。</w:t>
      </w:r>
    </w:p>
    <w:p w14:paraId="21146BF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关于承包人应完成的其他开工准备工作及期限：</w:t>
      </w:r>
      <w:r>
        <w:rPr>
          <w:rFonts w:hint="eastAsia" w:ascii="宋体" w:hAnsi="宋体" w:eastAsia="宋体" w:cs="宋体"/>
          <w:sz w:val="21"/>
          <w:szCs w:val="21"/>
          <w:u w:val="single"/>
        </w:rPr>
        <w:t>开工前</w:t>
      </w:r>
      <w:r>
        <w:rPr>
          <w:rFonts w:hint="eastAsia" w:ascii="宋体" w:hAnsi="宋体" w:eastAsia="宋体" w:cs="宋体"/>
          <w:sz w:val="21"/>
          <w:szCs w:val="21"/>
        </w:rPr>
        <w:t>。</w:t>
      </w:r>
    </w:p>
    <w:p w14:paraId="06E6B70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7.3.2开工通知</w:t>
      </w:r>
    </w:p>
    <w:p w14:paraId="00BBFE4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发包人（或监理人）在计划开工日期前7天向承包人发出开工通知，工期自开工通知中载明的开工日期起算。</w:t>
      </w:r>
    </w:p>
    <w:p w14:paraId="4593A06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p w14:paraId="11FEA83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7.4 测量放线</w:t>
      </w:r>
    </w:p>
    <w:p w14:paraId="719A3FC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rPr>
        <w:t xml:space="preserve">按合同通用条款执行   </w:t>
      </w:r>
      <w:r>
        <w:rPr>
          <w:rFonts w:hint="eastAsia" w:ascii="宋体" w:hAnsi="宋体" w:eastAsia="宋体" w:cs="宋体"/>
          <w:sz w:val="21"/>
          <w:szCs w:val="21"/>
        </w:rPr>
        <w:t>。</w:t>
      </w:r>
    </w:p>
    <w:p w14:paraId="332C93A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7.5 工期延误</w:t>
      </w:r>
    </w:p>
    <w:p w14:paraId="7EFD25B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7.5.1 因发包人原因导致工期延误</w:t>
      </w:r>
    </w:p>
    <w:p w14:paraId="31F6237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rPr>
        <w:t>①重大设计变更；②因政策处理不完善导致无</w:t>
      </w:r>
      <w:r>
        <w:rPr>
          <w:rFonts w:hint="eastAsia" w:ascii="宋体" w:hAnsi="宋体" w:eastAsia="宋体" w:cs="宋体"/>
          <w:color w:val="auto"/>
          <w:sz w:val="21"/>
          <w:szCs w:val="21"/>
          <w:u w:val="single"/>
        </w:rPr>
        <w:t>法施工</w:t>
      </w:r>
      <w:r>
        <w:rPr>
          <w:rFonts w:hint="eastAsia" w:ascii="宋体" w:hAnsi="宋体" w:eastAsia="宋体" w:cs="宋体"/>
          <w:color w:val="auto"/>
          <w:sz w:val="21"/>
          <w:szCs w:val="21"/>
        </w:rPr>
        <w:t>。</w:t>
      </w:r>
    </w:p>
    <w:p w14:paraId="4179D86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7.5.2 因承包人原因导致工期延误</w:t>
      </w:r>
    </w:p>
    <w:p w14:paraId="7A71125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因承包人原因造成工期延误，逾期竣工违约金的计算方法为：</w:t>
      </w:r>
      <w:r>
        <w:rPr>
          <w:rFonts w:hint="eastAsia" w:ascii="宋体" w:hAnsi="宋体" w:eastAsia="宋体" w:cs="宋体"/>
          <w:i/>
          <w:color w:val="auto"/>
          <w:sz w:val="21"/>
          <w:szCs w:val="21"/>
          <w:highlight w:val="none"/>
          <w:u w:val="single"/>
          <w:lang w:val="en-US" w:eastAsia="zh-CN"/>
        </w:rPr>
        <w:t xml:space="preserve"> 3000</w:t>
      </w:r>
      <w:r>
        <w:rPr>
          <w:rFonts w:hint="eastAsia" w:ascii="宋体" w:hAnsi="宋体" w:eastAsia="宋体" w:cs="宋体"/>
          <w:i/>
          <w:color w:val="auto"/>
          <w:sz w:val="21"/>
          <w:szCs w:val="21"/>
          <w:highlight w:val="none"/>
          <w:u w:val="single"/>
        </w:rPr>
        <w:t>元/天。</w:t>
      </w:r>
    </w:p>
    <w:p w14:paraId="43CF419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因承包人原因造成工期延误，逾期竣工违约金的上限：</w:t>
      </w:r>
      <w:r>
        <w:rPr>
          <w:rFonts w:hint="eastAsia" w:ascii="宋体" w:hAnsi="宋体" w:eastAsia="宋体" w:cs="宋体"/>
          <w:i/>
          <w:color w:val="auto"/>
          <w:sz w:val="21"/>
          <w:szCs w:val="21"/>
          <w:u w:val="single"/>
        </w:rPr>
        <w:t xml:space="preserve"> 累加计算，最高不超过履约保证金额度，对发包人造成损失超过违约金的，除承担违约金外同时赔偿发包人损失。</w:t>
      </w:r>
    </w:p>
    <w:p w14:paraId="1737B28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7.6 不利物质条件</w:t>
      </w:r>
    </w:p>
    <w:p w14:paraId="168E25C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不利物质条件的其他情形和有关约定：</w:t>
      </w:r>
    </w:p>
    <w:p w14:paraId="21A31B5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w:t>
      </w:r>
      <w:r>
        <w:rPr>
          <w:rFonts w:hint="eastAsia" w:ascii="宋体" w:hAnsi="宋体" w:eastAsia="宋体" w:cs="宋体"/>
          <w:sz w:val="21"/>
          <w:szCs w:val="21"/>
          <w:u w:val="single"/>
        </w:rPr>
        <w:t>每天连续停水、停电超过8小时以上。</w:t>
      </w:r>
    </w:p>
    <w:p w14:paraId="5385377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因政府行政命令（因承包人原因的除外）。</w:t>
      </w:r>
    </w:p>
    <w:p w14:paraId="68BB12A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（3）</w:t>
      </w:r>
      <w:r>
        <w:rPr>
          <w:rFonts w:hint="eastAsia" w:ascii="宋体" w:hAnsi="宋体" w:eastAsia="宋体" w:cs="宋体"/>
          <w:sz w:val="21"/>
          <w:szCs w:val="21"/>
          <w:u w:val="single"/>
        </w:rPr>
        <w:t>非因双方原因而无法控制的爆炸、火灾等事件。</w:t>
      </w:r>
    </w:p>
    <w:p w14:paraId="494817A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（4）</w:t>
      </w:r>
      <w:r>
        <w:rPr>
          <w:rFonts w:hint="eastAsia" w:ascii="宋体" w:hAnsi="宋体" w:eastAsia="宋体" w:cs="宋体"/>
          <w:sz w:val="21"/>
          <w:szCs w:val="21"/>
          <w:u w:val="single"/>
        </w:rPr>
        <w:t>施工场地周围地下管线保护，地下障碍物和污染物排除，邻近建筑物、构筑物的保护要求。</w:t>
      </w:r>
    </w:p>
    <w:p w14:paraId="64F6420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（5）</w:t>
      </w:r>
      <w:r>
        <w:rPr>
          <w:rFonts w:hint="eastAsia" w:ascii="宋体" w:hAnsi="宋体" w:eastAsia="宋体" w:cs="宋体"/>
          <w:sz w:val="21"/>
          <w:szCs w:val="21"/>
          <w:u w:val="single"/>
        </w:rPr>
        <w:t>地质勘探资料未涉及的地下管道、暗沟、岩层等。</w:t>
      </w:r>
    </w:p>
    <w:p w14:paraId="48631ADF">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p w14:paraId="1DEDA16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7.7异常恶劣的气候条件</w:t>
      </w:r>
    </w:p>
    <w:p w14:paraId="50B84D9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发包人和承包人同意以下情形视为异常恶劣的气候条件：</w:t>
      </w:r>
    </w:p>
    <w:p w14:paraId="45FD5061">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w:t>
      </w:r>
      <w:r>
        <w:rPr>
          <w:rFonts w:hint="eastAsia" w:ascii="宋体" w:hAnsi="宋体" w:eastAsia="宋体" w:cs="宋体"/>
          <w:sz w:val="21"/>
          <w:szCs w:val="21"/>
          <w:u w:val="single"/>
        </w:rPr>
        <w:t>8-10级（含10级）持续24小时的大风（台风）</w:t>
      </w:r>
      <w:r>
        <w:rPr>
          <w:rFonts w:hint="eastAsia" w:ascii="宋体" w:hAnsi="宋体" w:eastAsia="宋体" w:cs="宋体"/>
          <w:sz w:val="21"/>
          <w:szCs w:val="21"/>
        </w:rPr>
        <w:t>；</w:t>
      </w:r>
    </w:p>
    <w:p w14:paraId="56FD37BF">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24小时内持续降雨且降水量为200mm以上</w:t>
      </w:r>
      <w:r>
        <w:rPr>
          <w:rFonts w:hint="eastAsia" w:ascii="宋体" w:hAnsi="宋体" w:eastAsia="宋体" w:cs="宋体"/>
          <w:sz w:val="21"/>
          <w:szCs w:val="21"/>
        </w:rPr>
        <w:t>；</w:t>
      </w:r>
    </w:p>
    <w:p w14:paraId="414EDEC2">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40摄氏度及以上且持续2天以上的高温天气</w:t>
      </w:r>
      <w:r>
        <w:rPr>
          <w:rFonts w:hint="eastAsia" w:ascii="宋体" w:hAnsi="宋体" w:eastAsia="宋体" w:cs="宋体"/>
          <w:sz w:val="21"/>
          <w:szCs w:val="21"/>
        </w:rPr>
        <w:t>。</w:t>
      </w:r>
    </w:p>
    <w:p w14:paraId="5DD9C856">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3172348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7.9 提前竣工的奖励</w:t>
      </w:r>
    </w:p>
    <w:p w14:paraId="3905D00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7.9.2提前竣工的奖励：</w:t>
      </w:r>
    </w:p>
    <w:p w14:paraId="2D22466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（1）每日历天奖励额度:</w:t>
      </w:r>
      <w:r>
        <w:rPr>
          <w:rFonts w:hint="eastAsia" w:ascii="宋体" w:hAnsi="宋体" w:eastAsia="宋体" w:cs="宋体"/>
          <w:i/>
          <w:sz w:val="21"/>
          <w:szCs w:val="21"/>
          <w:u w:val="single"/>
        </w:rPr>
        <w:t xml:space="preserve"> /　</w:t>
      </w:r>
      <w:r>
        <w:rPr>
          <w:rFonts w:hint="eastAsia" w:ascii="宋体" w:hAnsi="宋体" w:eastAsia="宋体" w:cs="宋体"/>
          <w:i/>
          <w:sz w:val="21"/>
          <w:szCs w:val="21"/>
        </w:rPr>
        <w:t>。</w:t>
      </w:r>
    </w:p>
    <w:p w14:paraId="16E6CC3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（2）提前竣工奖的最高限额是：</w:t>
      </w:r>
      <w:r>
        <w:rPr>
          <w:rFonts w:hint="eastAsia" w:ascii="宋体" w:hAnsi="宋体" w:eastAsia="宋体" w:cs="宋体"/>
          <w:i/>
          <w:sz w:val="21"/>
          <w:szCs w:val="21"/>
          <w:u w:val="single"/>
        </w:rPr>
        <w:t xml:space="preserve">　/ </w:t>
      </w:r>
      <w:r>
        <w:rPr>
          <w:rFonts w:hint="eastAsia" w:ascii="宋体" w:hAnsi="宋体" w:eastAsia="宋体" w:cs="宋体"/>
          <w:i/>
          <w:sz w:val="21"/>
          <w:szCs w:val="21"/>
        </w:rPr>
        <w:t>。</w:t>
      </w:r>
    </w:p>
    <w:p w14:paraId="42AD0CD1">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8. 材料与设备</w:t>
      </w:r>
    </w:p>
    <w:p w14:paraId="1B90F69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8.2 承包人采购材料与工程设备</w:t>
      </w:r>
    </w:p>
    <w:p w14:paraId="2AF953C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（1）材料品牌、规格和使用要求：按招标文件（相应）技术标准和要求执行。凡是招标文件注明规格、型号或品牌、产地的材料，承包人必须按照招标文件要求采购和施工；如需调整，必须经得发包人认可。</w:t>
      </w:r>
    </w:p>
    <w:p w14:paraId="6C4F90E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（2）本工程已确定承包价的建筑材料均由承包人自行询价、采购、运输和保管。新型墙体材料的使用须符合相关规定，否则相关押金由承包人承担。</w:t>
      </w:r>
    </w:p>
    <w:p w14:paraId="4166270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（3）本工程要求使用材料要求：（如商品砼、商品砂浆、保温节能材料、新型材料等）</w:t>
      </w:r>
    </w:p>
    <w:p w14:paraId="488B4D6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（4）所有材料必须有质保书或合格证，符合施工图纸和规范要求，且品牌、产地需报监理人及发包人备案</w:t>
      </w:r>
      <w:r>
        <w:rPr>
          <w:rFonts w:hint="eastAsia" w:ascii="宋体" w:hAnsi="宋体" w:eastAsia="宋体" w:cs="宋体"/>
          <w:color w:val="auto"/>
          <w:kern w:val="2"/>
          <w:sz w:val="21"/>
          <w:szCs w:val="21"/>
          <w:highlight w:val="none"/>
          <w:u w:val="single"/>
        </w:rPr>
        <w:t>后方可进场</w:t>
      </w:r>
      <w:r>
        <w:rPr>
          <w:rFonts w:hint="eastAsia" w:ascii="宋体" w:hAnsi="宋体" w:eastAsia="宋体" w:cs="宋体"/>
          <w:sz w:val="21"/>
          <w:szCs w:val="21"/>
          <w:u w:val="single"/>
        </w:rPr>
        <w:t>，否则，因此产生的后果均由承包人负责。</w:t>
      </w:r>
    </w:p>
    <w:p w14:paraId="6C05B8E9">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（5）所有材料必须有相关合格证明资料，符合施工图纸和规范要求，且品牌、产地需报监理人及发包人备案后方可进场，否则，因此产生的后果均由承包人负责。</w:t>
      </w:r>
    </w:p>
    <w:p w14:paraId="58E3B3D8">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58F81D2C">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（7）根据工程需要，发包人有权对承包人投标时确认的品牌进行更换，更换后的材料价格由发包人签证进行结算。</w:t>
      </w:r>
    </w:p>
    <w:p w14:paraId="767765F6">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p w14:paraId="132F6890">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u w:val="single"/>
        </w:rPr>
        <w:t>（9）本工程使用的预拌砂浆应按《仙商务【2020】38号 关于进一步加强建筑工程使用预拌砂浆管理工作的通知》相关规定执行。</w:t>
      </w:r>
    </w:p>
    <w:p w14:paraId="01C331D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8.4材料与工程设备的保管与使用</w:t>
      </w:r>
    </w:p>
    <w:p w14:paraId="78A2686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8.4.1发包人供应的材料设备的保管费用的承担：</w:t>
      </w:r>
      <w:r>
        <w:rPr>
          <w:rFonts w:hint="eastAsia" w:ascii="宋体" w:hAnsi="宋体" w:eastAsia="宋体" w:cs="宋体"/>
          <w:sz w:val="21"/>
          <w:szCs w:val="21"/>
          <w:u w:val="single"/>
        </w:rPr>
        <w:t>承包人在投标报价时综合考虑，并已包含在合同价内，不再另行计取。因承包人原因发生丢失毁损的，由承包人负责赔偿。发包人供应的材料和工程设备使用前，由承包人负责检验，检验费用由发包人承担，不合格的不得使用</w:t>
      </w:r>
      <w:r>
        <w:rPr>
          <w:rFonts w:hint="eastAsia" w:ascii="宋体" w:hAnsi="宋体" w:eastAsia="宋体" w:cs="宋体"/>
          <w:sz w:val="21"/>
          <w:szCs w:val="21"/>
        </w:rPr>
        <w:t>。</w:t>
      </w:r>
    </w:p>
    <w:p w14:paraId="6410975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8.6 样品</w:t>
      </w:r>
    </w:p>
    <w:p w14:paraId="3C6CE19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8.6.1</w:t>
      </w:r>
      <w:r>
        <w:rPr>
          <w:rFonts w:hint="eastAsia" w:ascii="宋体" w:hAnsi="宋体" w:eastAsia="宋体" w:cs="宋体"/>
          <w:sz w:val="21"/>
          <w:szCs w:val="21"/>
        </w:rPr>
        <w:tab/>
      </w:r>
      <w:r>
        <w:rPr>
          <w:rFonts w:hint="eastAsia" w:ascii="宋体" w:hAnsi="宋体" w:eastAsia="宋体" w:cs="宋体"/>
          <w:sz w:val="21"/>
          <w:szCs w:val="21"/>
        </w:rPr>
        <w:t>样品的报送与封存</w:t>
      </w:r>
    </w:p>
    <w:p w14:paraId="051CFB8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需要承包人报送样品的材料或工程设备，样品的种类、名称、规格、数量要求：</w:t>
      </w:r>
      <w:r>
        <w:rPr>
          <w:rFonts w:hint="eastAsia" w:ascii="宋体" w:hAnsi="宋体" w:eastAsia="宋体" w:cs="宋体"/>
          <w:sz w:val="21"/>
          <w:szCs w:val="21"/>
          <w:u w:val="single"/>
        </w:rPr>
        <w:t xml:space="preserve">   按发包人要求提供。样品的具体规格、尺寸、颜色按发包人要求执行   </w:t>
      </w:r>
      <w:r>
        <w:rPr>
          <w:rFonts w:hint="eastAsia" w:ascii="宋体" w:hAnsi="宋体" w:eastAsia="宋体" w:cs="宋体"/>
          <w:sz w:val="21"/>
          <w:szCs w:val="21"/>
        </w:rPr>
        <w:t>。</w:t>
      </w:r>
    </w:p>
    <w:p w14:paraId="771E1DA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8.8 施工设备和临时设施</w:t>
      </w:r>
    </w:p>
    <w:p w14:paraId="44B6A2B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8.8.1 承包人提供的施工设备和临时设施</w:t>
      </w:r>
    </w:p>
    <w:p w14:paraId="40691D7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关于修建临时设施费用承担的约定：</w:t>
      </w:r>
      <w:r>
        <w:rPr>
          <w:rFonts w:hint="eastAsia" w:ascii="宋体" w:hAnsi="宋体" w:eastAsia="宋体" w:cs="宋体"/>
          <w:sz w:val="21"/>
          <w:szCs w:val="21"/>
          <w:u w:val="single"/>
        </w:rPr>
        <w:t>由承包人承担</w:t>
      </w:r>
      <w:r>
        <w:rPr>
          <w:rFonts w:hint="eastAsia" w:ascii="宋体" w:hAnsi="宋体" w:eastAsia="宋体" w:cs="宋体"/>
          <w:sz w:val="21"/>
          <w:szCs w:val="21"/>
        </w:rPr>
        <w:t>。</w:t>
      </w:r>
    </w:p>
    <w:p w14:paraId="5F888BC2">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9. 试验与检验</w:t>
      </w:r>
    </w:p>
    <w:p w14:paraId="7DA3B31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9.1试验设备与试验人员</w:t>
      </w:r>
    </w:p>
    <w:p w14:paraId="1303A0F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9.1.2 试验设备</w:t>
      </w:r>
    </w:p>
    <w:p w14:paraId="36B7F10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施工现场需要配置的试验场所：</w:t>
      </w:r>
      <w:r>
        <w:rPr>
          <w:rFonts w:hint="eastAsia" w:ascii="宋体" w:hAnsi="宋体" w:eastAsia="宋体" w:cs="宋体"/>
          <w:sz w:val="21"/>
          <w:szCs w:val="21"/>
          <w:u w:val="single"/>
        </w:rPr>
        <w:t xml:space="preserve">  </w:t>
      </w:r>
      <w:r>
        <w:rPr>
          <w:rFonts w:hint="eastAsia" w:ascii="宋体" w:hAnsi="宋体" w:eastAsia="宋体" w:cs="宋体"/>
          <w:i/>
          <w:sz w:val="21"/>
          <w:szCs w:val="21"/>
          <w:u w:val="single"/>
        </w:rPr>
        <w:t>按规范及（当地）建设行政主管部门要求配置</w:t>
      </w:r>
      <w:r>
        <w:rPr>
          <w:rFonts w:hint="eastAsia" w:ascii="宋体" w:hAnsi="宋体" w:eastAsia="宋体" w:cs="宋体"/>
          <w:sz w:val="21"/>
          <w:szCs w:val="21"/>
        </w:rPr>
        <w:t xml:space="preserve">。 </w:t>
      </w:r>
    </w:p>
    <w:p w14:paraId="2C952A6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 xml:space="preserve">  </w:t>
      </w:r>
      <w:r>
        <w:rPr>
          <w:rFonts w:hint="eastAsia" w:ascii="宋体" w:hAnsi="宋体" w:eastAsia="宋体" w:cs="宋体"/>
          <w:i/>
          <w:sz w:val="21"/>
          <w:szCs w:val="21"/>
          <w:u w:val="single"/>
        </w:rPr>
        <w:t>按规范及（当地）建设行政主管部门要求配置</w:t>
      </w:r>
      <w:r>
        <w:rPr>
          <w:rFonts w:hint="eastAsia" w:ascii="宋体" w:hAnsi="宋体" w:eastAsia="宋体" w:cs="宋体"/>
          <w:sz w:val="21"/>
          <w:szCs w:val="21"/>
        </w:rPr>
        <w:t>。</w:t>
      </w:r>
    </w:p>
    <w:p w14:paraId="35559E1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 xml:space="preserve"> </w:t>
      </w:r>
      <w:r>
        <w:rPr>
          <w:rFonts w:hint="eastAsia" w:ascii="宋体" w:hAnsi="宋体" w:eastAsia="宋体" w:cs="宋体"/>
          <w:i/>
          <w:sz w:val="21"/>
          <w:szCs w:val="21"/>
          <w:u w:val="single"/>
        </w:rPr>
        <w:t>按规范及（当地）建设行政主管部门要求配置</w:t>
      </w:r>
      <w:r>
        <w:rPr>
          <w:rFonts w:hint="eastAsia" w:ascii="宋体" w:hAnsi="宋体" w:eastAsia="宋体" w:cs="宋体"/>
          <w:sz w:val="21"/>
          <w:szCs w:val="21"/>
        </w:rPr>
        <w:t>。</w:t>
      </w:r>
    </w:p>
    <w:p w14:paraId="087103B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9.3 材料、工程设备和工程的试验和检验</w:t>
      </w:r>
    </w:p>
    <w:p w14:paraId="39F6928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材料、设备和工程的试验和检验的费用：</w:t>
      </w:r>
    </w:p>
    <w:p w14:paraId="082450A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2199234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668F4A9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1150AD5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DBE3BE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9.4 现场工艺试验 </w:t>
      </w:r>
    </w:p>
    <w:p w14:paraId="24EAE8F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现场工艺试验的有关约定：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4D1BDA1">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10. 变更</w:t>
      </w:r>
    </w:p>
    <w:p w14:paraId="13F58C3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10.1变更的范围</w:t>
      </w:r>
    </w:p>
    <w:p w14:paraId="6613D40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关于变更的范围的约定：</w:t>
      </w:r>
      <w:r>
        <w:rPr>
          <w:rFonts w:hint="eastAsia" w:ascii="宋体" w:hAnsi="宋体" w:eastAsia="宋体" w:cs="宋体"/>
          <w:sz w:val="21"/>
          <w:szCs w:val="21"/>
          <w:u w:val="single"/>
        </w:rPr>
        <w:t>按合同通用条款。工程变更引起工程量的减少或增加，承包人不得因此拒绝施工</w:t>
      </w:r>
      <w:r>
        <w:rPr>
          <w:rFonts w:hint="eastAsia" w:ascii="宋体" w:hAnsi="宋体" w:eastAsia="宋体" w:cs="宋体"/>
          <w:sz w:val="21"/>
          <w:szCs w:val="21"/>
        </w:rPr>
        <w:t>。</w:t>
      </w:r>
    </w:p>
    <w:p w14:paraId="24B9542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项目实施过程中的工程变更，按照仙居县人民政府关于印发《仙居县政府投资项目工程变更管理办法》的通知（仙政发【2022】8号）和仙居县人民政府关于印发《仙居县国有资本投资项目工程变更管理办法》的通知（仙政办发[2022]39号）的规定执行。以上规定如有变化的，按相关部门</w:t>
      </w:r>
      <w:r>
        <w:rPr>
          <w:rFonts w:hint="eastAsia" w:ascii="宋体" w:hAnsi="宋体" w:eastAsia="宋体" w:cs="宋体"/>
          <w:color w:val="auto"/>
          <w:sz w:val="21"/>
          <w:szCs w:val="21"/>
          <w:u w:val="single"/>
        </w:rPr>
        <w:t>最新</w:t>
      </w:r>
      <w:r>
        <w:rPr>
          <w:rFonts w:hint="eastAsia" w:ascii="宋体" w:hAnsi="宋体" w:eastAsia="宋体" w:cs="宋体"/>
          <w:sz w:val="21"/>
          <w:szCs w:val="21"/>
          <w:u w:val="single"/>
        </w:rPr>
        <w:t>要求执行。</w:t>
      </w:r>
    </w:p>
    <w:p w14:paraId="417D716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10.4 变更估价</w:t>
      </w:r>
    </w:p>
    <w:p w14:paraId="35F0A4B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10.4.1 变更估价原则</w:t>
      </w:r>
    </w:p>
    <w:p w14:paraId="5BC8B6B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关于变更估价的约定: </w:t>
      </w:r>
    </w:p>
    <w:p w14:paraId="772D789B">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5EEF5C98">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综合单价异常是指：投标综合单价与按专用合同条款21.2条中计价依据计算的综合单价偏差±30%以上。</w:t>
      </w:r>
    </w:p>
    <w:p w14:paraId="638E7998">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（2）变更后项目与投标人已标价工程量清单中没有适用的综合单价，但有类似的工程项目综合单价，承包人可参照类似工程项目综合单价计算，并报发包人确定。</w:t>
      </w:r>
    </w:p>
    <w:p w14:paraId="2DC51C20">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a、</w:t>
      </w:r>
      <w:r>
        <w:rPr>
          <w:rFonts w:hint="eastAsia" w:ascii="宋体" w:hAnsi="宋体" w:eastAsia="宋体" w:cs="宋体"/>
          <w:sz w:val="21"/>
          <w:szCs w:val="21"/>
          <w:u w:val="single"/>
        </w:rPr>
        <w:t>某种材料（或半成品及成品）等级、标准变化的，清单组合子目不变，仅调整不同的材料市场价格之差；</w:t>
      </w:r>
    </w:p>
    <w:p w14:paraId="6EAA9A8D">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b、</w:t>
      </w:r>
      <w:r>
        <w:rPr>
          <w:rFonts w:hint="eastAsia" w:ascii="宋体" w:hAnsi="宋体" w:eastAsia="宋体" w:cs="宋体"/>
          <w:sz w:val="21"/>
          <w:szCs w:val="21"/>
          <w:u w:val="single"/>
        </w:rPr>
        <w:t>清单项目组合内容中某一个（或多个）定额子目发生变化，不影响其他特征及工程内容价格的，仅调整发生变化的定额子目价格。</w:t>
      </w:r>
    </w:p>
    <w:p w14:paraId="6044D497">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c、</w:t>
      </w:r>
      <w:r>
        <w:rPr>
          <w:rFonts w:hint="eastAsia" w:ascii="宋体" w:hAnsi="宋体" w:eastAsia="宋体" w:cs="宋体"/>
          <w:sz w:val="21"/>
          <w:szCs w:val="21"/>
          <w:u w:val="single"/>
        </w:rPr>
        <w:t>如该类似工程项目的综合单价异常，则不宜参照，按专用条款10.4.1（3）（4）款重新计算综合单价。</w:t>
      </w:r>
    </w:p>
    <w:p w14:paraId="18A2FD73">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14:paraId="2285B1EC">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（4）如按以上编制依据缺项的内容，承包人应通过市场调查等手段提出单价，并报发包人确定后执行。</w:t>
      </w:r>
    </w:p>
    <w:p w14:paraId="35D9A588">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u w:val="single"/>
        </w:rPr>
        <w:t>（5）清单项目组合内容项目特征描述中，局部工程内容对应的工程数量变化，可仅调整计算变化部分的差价</w:t>
      </w:r>
      <w:r>
        <w:rPr>
          <w:rFonts w:hint="eastAsia" w:ascii="宋体" w:hAnsi="宋体" w:eastAsia="宋体" w:cs="宋体"/>
          <w:bCs/>
          <w:sz w:val="21"/>
          <w:szCs w:val="21"/>
          <w:u w:val="single"/>
        </w:rPr>
        <w:t>。</w:t>
      </w:r>
    </w:p>
    <w:p w14:paraId="0B5EE97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10.4.2 变更估价程序</w:t>
      </w:r>
    </w:p>
    <w:p w14:paraId="70C3C9C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5EDB1B3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承包人提出工程变更、施工方案调整等变更应同时提交变更估价申请。</w:t>
      </w:r>
    </w:p>
    <w:p w14:paraId="7839B69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承包人提交的变更估价申请，发包人应予以签收，</w:t>
      </w:r>
      <w:r>
        <w:rPr>
          <w:rFonts w:hint="eastAsia" w:ascii="宋体" w:hAnsi="宋体" w:eastAsia="宋体" w:cs="宋体"/>
          <w:color w:val="auto"/>
          <w:sz w:val="21"/>
          <w:szCs w:val="21"/>
          <w:u w:val="single"/>
        </w:rPr>
        <w:t>并提交发包人主管部门审批完毕后实施。</w:t>
      </w:r>
    </w:p>
    <w:p w14:paraId="2190C1D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10.5承包人的合理化建议</w:t>
      </w:r>
    </w:p>
    <w:p w14:paraId="5AC1E16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5933314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522E7FA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承包人提出的合理化建议降低了合同价格或者提高了工程经济效益的奖励的方法和金额为：</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FFBE7D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10.7 暂估价</w:t>
      </w:r>
    </w:p>
    <w:p w14:paraId="540F04A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暂估价材料和工程设备的明细详见附件11：《暂估价一览表》。</w:t>
      </w:r>
    </w:p>
    <w:p w14:paraId="7606F22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10.7.1 依法必须招标的暂估价项目</w:t>
      </w:r>
    </w:p>
    <w:p w14:paraId="357E953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640095D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10.7.2 不属于依法必须招标的暂估价项目：</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605D100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第3种方式：承包人直接实施的暂估价项目</w:t>
      </w:r>
    </w:p>
    <w:p w14:paraId="7497CEE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承包人直接实施的暂估价项目的约定：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7C862F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10.8 暂列金额</w:t>
      </w:r>
    </w:p>
    <w:p w14:paraId="6A2C6C0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合同当事人关于暂列金额使用的约定：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E28CBC2">
      <w:pPr>
        <w:keepNext w:val="0"/>
        <w:keepLines w:val="0"/>
        <w:pageBreakBefore w:val="0"/>
        <w:kinsoku/>
        <w:wordWrap/>
        <w:overflowPunct/>
        <w:topLinePunct w:val="0"/>
        <w:autoSpaceDE w:val="0"/>
        <w:autoSpaceDN w:val="0"/>
        <w:bidi w:val="0"/>
        <w:adjustRightInd w:val="0"/>
        <w:spacing w:line="360" w:lineRule="exact"/>
        <w:ind w:firstLine="420" w:firstLineChars="200"/>
        <w:jc w:val="both"/>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创标化工地增加费计算方法：</w:t>
      </w:r>
      <w:r>
        <w:rPr>
          <w:rFonts w:hint="eastAsia" w:ascii="Times New Roman" w:hAnsi="Times New Roman" w:eastAsia="宋体" w:cs="Times New Roman"/>
          <w:color w:val="auto"/>
          <w:kern w:val="0"/>
          <w:sz w:val="21"/>
          <w:szCs w:val="21"/>
          <w:highlight w:val="none"/>
          <w:u w:val="single"/>
        </w:rPr>
        <w:t>本工程无创标化工地目标。</w:t>
      </w:r>
    </w:p>
    <w:p w14:paraId="1335E586">
      <w:pPr>
        <w:keepNext w:val="0"/>
        <w:keepLines w:val="0"/>
        <w:pageBreakBefore w:val="0"/>
        <w:kinsoku/>
        <w:wordWrap/>
        <w:overflowPunct/>
        <w:topLinePunct w:val="0"/>
        <w:autoSpaceDE w:val="0"/>
        <w:autoSpaceDN w:val="0"/>
        <w:bidi w:val="0"/>
        <w:adjustRightInd w:val="0"/>
        <w:spacing w:line="360" w:lineRule="exact"/>
        <w:ind w:firstLine="420" w:firstLineChars="200"/>
        <w:jc w:val="both"/>
        <w:textAlignment w:val="auto"/>
        <w:rPr>
          <w:rFonts w:hint="eastAsia" w:ascii="宋体" w:hAnsi="宋体" w:eastAsia="宋体" w:cs="宋体"/>
          <w:sz w:val="21"/>
          <w:szCs w:val="21"/>
          <w:highlight w:val="none"/>
        </w:rPr>
      </w:pPr>
      <w:r>
        <w:rPr>
          <w:rFonts w:hint="eastAsia" w:ascii="Times New Roman" w:hAnsi="Times New Roman" w:eastAsia="宋体" w:cs="Times New Roman"/>
          <w:color w:val="auto"/>
          <w:kern w:val="0"/>
          <w:sz w:val="21"/>
          <w:szCs w:val="21"/>
          <w:highlight w:val="none"/>
        </w:rPr>
        <w:t>创优质工程增加费计算方法：</w:t>
      </w:r>
      <w:r>
        <w:rPr>
          <w:rFonts w:hint="eastAsia" w:ascii="Times New Roman" w:hAnsi="Times New Roman" w:eastAsia="宋体" w:cs="Times New Roman"/>
          <w:color w:val="auto"/>
          <w:kern w:val="0"/>
          <w:sz w:val="21"/>
          <w:szCs w:val="21"/>
          <w:highlight w:val="none"/>
          <w:u w:val="single"/>
        </w:rPr>
        <w:t>本工程无创优质工程目标。</w:t>
      </w:r>
    </w:p>
    <w:p w14:paraId="5A003713">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价格调整</w:t>
      </w:r>
    </w:p>
    <w:p w14:paraId="19D70539">
      <w:pPr>
        <w:keepNext w:val="0"/>
        <w:keepLines w:val="0"/>
        <w:pageBreakBefore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color w:val="auto"/>
          <w:kern w:val="2"/>
          <w:sz w:val="21"/>
          <w:highlight w:val="none"/>
          <w:lang w:val="en-US" w:eastAsia="zh-CN"/>
        </w:rPr>
      </w:pPr>
      <w:r>
        <w:rPr>
          <w:rFonts w:ascii="Times New Roman" w:hAnsi="Times New Roman" w:eastAsia="宋体" w:cs="Times New Roman"/>
          <w:color w:val="auto"/>
          <w:kern w:val="2"/>
          <w:sz w:val="21"/>
          <w:highlight w:val="none"/>
        </w:rPr>
        <w:t>11.1 市场价格波动引起的调整</w:t>
      </w:r>
      <w:r>
        <w:rPr>
          <w:rFonts w:hint="eastAsia" w:ascii="Times New Roman" w:hAnsi="Times New Roman" w:eastAsia="宋体" w:cs="Times New Roman"/>
          <w:color w:val="auto"/>
          <w:kern w:val="2"/>
          <w:sz w:val="21"/>
          <w:highlight w:val="none"/>
          <w:lang w:val="en-US" w:eastAsia="zh-CN"/>
        </w:rPr>
        <w:t>:</w:t>
      </w:r>
      <w:r>
        <w:rPr>
          <w:rFonts w:hint="eastAsia" w:ascii="宋体" w:hAnsi="宋体" w:eastAsia="宋体" w:cs="Times New Roman"/>
          <w:color w:val="auto"/>
          <w:kern w:val="0"/>
          <w:sz w:val="21"/>
          <w:szCs w:val="21"/>
          <w:highlight w:val="none"/>
          <w:u w:val="single"/>
        </w:rPr>
        <w:t>不作调整</w:t>
      </w:r>
      <w:r>
        <w:rPr>
          <w:rFonts w:hint="eastAsia" w:ascii="宋体" w:hAnsi="宋体" w:eastAsia="宋体" w:cs="Times New Roman"/>
          <w:color w:val="auto"/>
          <w:kern w:val="0"/>
          <w:sz w:val="21"/>
          <w:szCs w:val="21"/>
          <w:highlight w:val="none"/>
        </w:rPr>
        <w:t>。</w:t>
      </w:r>
    </w:p>
    <w:p w14:paraId="0717EAE7">
      <w:pPr>
        <w:keepNext w:val="0"/>
        <w:keepLines w:val="0"/>
        <w:pageBreakBefore w:val="0"/>
        <w:kinsoku/>
        <w:wordWrap/>
        <w:overflowPunct/>
        <w:topLinePunct w:val="0"/>
        <w:autoSpaceDE/>
        <w:autoSpaceDN/>
        <w:bidi w:val="0"/>
        <w:adjustRightInd w:val="0"/>
        <w:snapToGrid w:val="0"/>
        <w:spacing w:line="360" w:lineRule="exact"/>
        <w:ind w:firstLine="420" w:firstLineChars="200"/>
        <w:jc w:val="both"/>
        <w:textAlignment w:val="auto"/>
        <w:rPr>
          <w:rFonts w:ascii="Times New Roman" w:hAnsi="Times New Roman" w:eastAsia="宋体" w:cs="Times New Roman"/>
          <w:color w:val="auto"/>
          <w:kern w:val="2"/>
          <w:sz w:val="21"/>
          <w:highlight w:val="none"/>
        </w:rPr>
      </w:pPr>
      <w:r>
        <w:rPr>
          <w:rFonts w:ascii="Times New Roman" w:hAnsi="Times New Roman" w:eastAsia="宋体" w:cs="Times New Roman"/>
          <w:color w:val="auto"/>
          <w:kern w:val="2"/>
          <w:sz w:val="21"/>
          <w:highlight w:val="none"/>
        </w:rPr>
        <w:t>因市场价格波动调整合同价格，采用以下第</w:t>
      </w:r>
      <w:r>
        <w:rPr>
          <w:rFonts w:ascii="Times New Roman" w:hAnsi="Times New Roman" w:eastAsia="宋体" w:cs="Times New Roman"/>
          <w:color w:val="auto"/>
          <w:kern w:val="2"/>
          <w:sz w:val="21"/>
          <w:highlight w:val="none"/>
          <w:u w:val="single"/>
        </w:rPr>
        <w:t xml:space="preserve"> </w:t>
      </w:r>
      <w:r>
        <w:rPr>
          <w:rFonts w:hint="eastAsia" w:ascii="Times New Roman" w:hAnsi="Times New Roman" w:eastAsia="宋体" w:cs="Times New Roman"/>
          <w:color w:val="auto"/>
          <w:kern w:val="2"/>
          <w:sz w:val="21"/>
          <w:highlight w:val="none"/>
          <w:u w:val="single"/>
          <w:lang w:val="en-US" w:eastAsia="zh-CN"/>
        </w:rPr>
        <w:t>3</w:t>
      </w:r>
      <w:r>
        <w:rPr>
          <w:rFonts w:ascii="Times New Roman" w:hAnsi="Times New Roman" w:eastAsia="宋体" w:cs="Times New Roman"/>
          <w:color w:val="auto"/>
          <w:kern w:val="2"/>
          <w:sz w:val="21"/>
          <w:highlight w:val="none"/>
        </w:rPr>
        <w:t>种方式对合同价格进行调整：</w:t>
      </w:r>
    </w:p>
    <w:p w14:paraId="01AEACD6">
      <w:pPr>
        <w:keepNext w:val="0"/>
        <w:keepLines w:val="0"/>
        <w:pageBreakBefore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bCs/>
          <w:color w:val="auto"/>
          <w:kern w:val="2"/>
          <w:sz w:val="21"/>
          <w:highlight w:val="none"/>
        </w:rPr>
      </w:pPr>
      <w:r>
        <w:rPr>
          <w:rFonts w:hint="eastAsia" w:ascii="Times New Roman" w:hAnsi="Times New Roman" w:eastAsia="宋体" w:cs="Times New Roman"/>
          <w:bCs/>
          <w:color w:val="auto"/>
          <w:kern w:val="2"/>
          <w:sz w:val="21"/>
          <w:highlight w:val="none"/>
        </w:rPr>
        <w:t>第1种方式：采用价格指数进行价格调整。</w:t>
      </w:r>
    </w:p>
    <w:p w14:paraId="42673AF1">
      <w:pPr>
        <w:keepNext w:val="0"/>
        <w:keepLines w:val="0"/>
        <w:pageBreakBefore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bCs/>
          <w:color w:val="auto"/>
          <w:kern w:val="2"/>
          <w:sz w:val="21"/>
          <w:highlight w:val="none"/>
        </w:rPr>
      </w:pPr>
      <w:r>
        <w:rPr>
          <w:rFonts w:hint="eastAsia" w:ascii="Times New Roman" w:hAnsi="Times New Roman" w:eastAsia="宋体" w:cs="Times New Roman"/>
          <w:bCs/>
          <w:color w:val="auto"/>
          <w:kern w:val="2"/>
          <w:sz w:val="21"/>
          <w:highlight w:val="none"/>
        </w:rPr>
        <w:t>关于各可调因子、定值和变值权重，以及基本价格指数及其来源的约定：</w:t>
      </w:r>
      <w:r>
        <w:rPr>
          <w:rFonts w:hint="eastAsia" w:ascii="Times New Roman" w:hAnsi="Times New Roman" w:eastAsia="宋体" w:cs="Times New Roman"/>
          <w:bCs/>
          <w:color w:val="auto"/>
          <w:kern w:val="2"/>
          <w:sz w:val="21"/>
          <w:highlight w:val="none"/>
          <w:u w:val="single"/>
        </w:rPr>
        <w:t xml:space="preserve"> </w:t>
      </w:r>
      <w:r>
        <w:rPr>
          <w:rFonts w:hint="eastAsia" w:ascii="Times New Roman" w:hAnsi="Times New Roman" w:eastAsia="宋体" w:cs="Times New Roman"/>
          <w:bCs/>
          <w:color w:val="auto"/>
          <w:kern w:val="2"/>
          <w:sz w:val="21"/>
          <w:highlight w:val="none"/>
          <w:u w:val="single"/>
          <w:lang w:val="en-US" w:eastAsia="zh-CN"/>
        </w:rPr>
        <w:t xml:space="preserve"> </w:t>
      </w:r>
      <w:r>
        <w:rPr>
          <w:rFonts w:hint="eastAsia" w:ascii="Times New Roman" w:hAnsi="Times New Roman" w:eastAsia="宋体" w:cs="Times New Roman"/>
          <w:bCs/>
          <w:color w:val="auto"/>
          <w:kern w:val="2"/>
          <w:sz w:val="21"/>
          <w:highlight w:val="none"/>
          <w:u w:val="single"/>
        </w:rPr>
        <w:t xml:space="preserve"> /   </w:t>
      </w:r>
      <w:r>
        <w:rPr>
          <w:rFonts w:hint="eastAsia" w:ascii="Times New Roman" w:hAnsi="Times New Roman" w:eastAsia="宋体" w:cs="Times New Roman"/>
          <w:bCs/>
          <w:color w:val="auto"/>
          <w:kern w:val="2"/>
          <w:sz w:val="21"/>
          <w:highlight w:val="none"/>
        </w:rPr>
        <w:t xml:space="preserve">；  </w:t>
      </w:r>
    </w:p>
    <w:p w14:paraId="16324304">
      <w:pPr>
        <w:keepNext w:val="0"/>
        <w:keepLines w:val="0"/>
        <w:pageBreakBefore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 xml:space="preserve">第 2 种方式：采用市场价格信息进行价格调整。 </w:t>
      </w:r>
    </w:p>
    <w:p w14:paraId="3DE6A2E1">
      <w:pPr>
        <w:keepNext w:val="0"/>
        <w:keepLines w:val="0"/>
        <w:pageBreakBefore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调整金额为可调整人工、材料差价乘对应数量。人工、材料数量根据分部分项及技术措施项目的工程数量乘对应综合单价所包含的人工、材料用量计算；人工、材料调整的差价部分不作为企业管理费、利润及施工组织措施费、规费的取费基数，仅另计取税金；人工、材料差价计算时间均为在合同工期（包括发包人同意顺延的工期）范围内。人工、材料差价按下列方式计算：</w:t>
      </w:r>
    </w:p>
    <w:p w14:paraId="6778D7A3">
      <w:pPr>
        <w:keepNext w:val="0"/>
        <w:keepLines w:val="0"/>
        <w:pageBreakBefore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 xml:space="preserve"> 1．列入调差范围的人工、材料种类：</w:t>
      </w:r>
      <w:r>
        <w:rPr>
          <w:rFonts w:hint="eastAsia" w:ascii="Times New Roman" w:hAnsi="Times New Roman" w:eastAsia="宋体" w:cs="Times New Roman"/>
          <w:color w:val="auto"/>
          <w:kern w:val="2"/>
          <w:sz w:val="21"/>
          <w:highlight w:val="none"/>
          <w:u w:val="single"/>
          <w:lang w:val="en-US" w:eastAsia="zh-CN"/>
        </w:rPr>
        <w:t>〔具体调整的人工（包括机械费中机上人工）、材料〔指圆钢、螺纹钢、型钢、水泥、商品砼、预拌砂浆、砖（指砌块）、砂、石、电线电缆、玻璃、铝合金门窗、铝板（以上材料仅限《台州造价》（正刊）范围内材料），其中电线电缆包含浙江省信息价，下同〕。〕</w:t>
      </w:r>
      <w:r>
        <w:rPr>
          <w:rFonts w:hint="eastAsia" w:ascii="Times New Roman" w:hAnsi="Times New Roman" w:eastAsia="宋体" w:cs="Times New Roman"/>
          <w:color w:val="auto"/>
          <w:kern w:val="2"/>
          <w:sz w:val="21"/>
          <w:highlight w:val="none"/>
        </w:rPr>
        <w:t xml:space="preserve">。其差价计算方法如下： </w:t>
      </w:r>
    </w:p>
    <w:p w14:paraId="4581662B">
      <w:pPr>
        <w:keepNext w:val="0"/>
        <w:keepLines w:val="0"/>
        <w:pageBreakBefore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（1）基准价格 A1 的确定：A1=编制招标控制价（预算书） 时所采用《台州造价》（工程所在地</w:t>
      </w:r>
      <w:r>
        <w:rPr>
          <w:rFonts w:hint="eastAsia" w:ascii="Times New Roman" w:hAnsi="Times New Roman" w:eastAsia="宋体" w:cs="Times New Roman"/>
          <w:color w:val="auto"/>
          <w:kern w:val="2"/>
          <w:sz w:val="21"/>
          <w:highlight w:val="none"/>
          <w:u w:val="single"/>
          <w:lang w:val="en-US" w:eastAsia="zh-CN"/>
        </w:rPr>
        <w:t>2024年第8</w:t>
      </w:r>
      <w:r>
        <w:rPr>
          <w:rFonts w:hint="eastAsia" w:ascii="Times New Roman" w:hAnsi="Times New Roman" w:eastAsia="宋体" w:cs="Times New Roman"/>
          <w:color w:val="auto"/>
          <w:kern w:val="2"/>
          <w:sz w:val="21"/>
          <w:highlight w:val="none"/>
        </w:rPr>
        <w:t xml:space="preserve">期）的人工、材料价格。 </w:t>
      </w:r>
    </w:p>
    <w:p w14:paraId="5C9612DF">
      <w:pPr>
        <w:keepNext w:val="0"/>
        <w:keepLines w:val="0"/>
        <w:pageBreakBefore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（2）施工期市场价格 A2 的确定：A2＝桩基施工期、结构施工工期、装饰施工期(整体工程或大地下室工程按地下室、各单位工程进行划分，分别计算施工期市场价格）等施工期对应《台州造价》（工程所在地）人工、材料信息价算术（或加权）平均价；</w:t>
      </w:r>
      <w:r>
        <w:rPr>
          <w:rFonts w:hint="eastAsia" w:ascii="Times New Roman" w:hAnsi="Times New Roman" w:eastAsia="宋体" w:cs="Times New Roman"/>
          <w:color w:val="auto"/>
          <w:kern w:val="2"/>
          <w:sz w:val="21"/>
          <w:highlight w:val="none"/>
          <w:lang w:val="en-US" w:eastAsia="zh-CN"/>
        </w:rPr>
        <w:t>市政工程如有多个分项工程可按分项工程分别计算对应人工、材料信息价算术（加权）平均值。</w:t>
      </w:r>
    </w:p>
    <w:p w14:paraId="68E18694">
      <w:pPr>
        <w:keepNext w:val="0"/>
        <w:keepLines w:val="0"/>
        <w:pageBreakBefore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 xml:space="preserve">（注：1.如 A2 采用加权平均值计算，则在 12.3.3 条应约定， 汇总合同约定可调的人工、材料的当月用量。2.房屋建筑的结构施工期以基础垫层砼施工所在月份开始计，至屋面梁板砼浇筑所在月份为止，具体以施工现场记录或试块报告为准；另应约定结构施工期不超过合同总工期70%月份，超过则按70% 计结构施工期月数（注：遇有小数即进位取整）。具体调差工程节点的划分应结合工程实际进行划分。) </w:t>
      </w:r>
    </w:p>
    <w:p w14:paraId="3FD06D1C">
      <w:pPr>
        <w:keepNext w:val="0"/>
        <w:keepLines w:val="0"/>
        <w:pageBreakBefore w:val="0"/>
        <w:numPr>
          <w:ilvl w:val="0"/>
          <w:numId w:val="13"/>
        </w:numPr>
        <w:kinsoku/>
        <w:wordWrap/>
        <w:overflowPunct/>
        <w:topLinePunct w:val="0"/>
        <w:autoSpaceDE/>
        <w:autoSpaceDN/>
        <w:bidi w:val="0"/>
        <w:adjustRightInd w:val="0"/>
        <w:snapToGrid w:val="0"/>
        <w:spacing w:line="360" w:lineRule="exact"/>
        <w:ind w:left="0" w:leftChars="0" w:firstLine="420" w:firstLineChars="200"/>
        <w:jc w:val="both"/>
        <w:textAlignment w:val="auto"/>
        <w:rPr>
          <w:rFonts w:hint="eastAsia"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 xml:space="preserve">材料（人工）差价=A2－A1。 </w:t>
      </w:r>
    </w:p>
    <w:p w14:paraId="26D107EF">
      <w:pPr>
        <w:keepNext w:val="0"/>
        <w:keepLines w:val="0"/>
        <w:pageBreakBefore w:val="0"/>
        <w:numPr>
          <w:ilvl w:val="0"/>
          <w:numId w:val="13"/>
        </w:numPr>
        <w:kinsoku/>
        <w:wordWrap/>
        <w:overflowPunct/>
        <w:topLinePunct w:val="0"/>
        <w:autoSpaceDE/>
        <w:autoSpaceDN/>
        <w:bidi w:val="0"/>
        <w:adjustRightInd w:val="0"/>
        <w:snapToGrid w:val="0"/>
        <w:spacing w:line="360" w:lineRule="exact"/>
        <w:ind w:left="0" w:leftChars="0" w:firstLine="420" w:firstLineChars="200"/>
        <w:jc w:val="both"/>
        <w:textAlignment w:val="auto"/>
        <w:rPr>
          <w:rFonts w:hint="eastAsia" w:ascii="Times New Roman" w:hAnsi="Times New Roman" w:eastAsia="宋体" w:cs="Times New Roman"/>
          <w:color w:val="auto"/>
          <w:kern w:val="2"/>
          <w:sz w:val="21"/>
          <w:highlight w:val="none"/>
          <w:lang w:eastAsia="zh-CN"/>
        </w:rPr>
      </w:pPr>
      <w:r>
        <w:rPr>
          <w:rFonts w:hint="eastAsia" w:ascii="Times New Roman" w:hAnsi="Times New Roman" w:eastAsia="宋体" w:cs="Times New Roman"/>
          <w:color w:val="auto"/>
          <w:kern w:val="2"/>
          <w:sz w:val="21"/>
          <w:highlight w:val="none"/>
        </w:rPr>
        <w:t>调差风险范围±</w:t>
      </w:r>
      <w:r>
        <w:rPr>
          <w:rFonts w:hint="eastAsia" w:ascii="Times New Roman" w:hAnsi="Times New Roman" w:eastAsia="宋体" w:cs="Times New Roman"/>
          <w:color w:val="auto"/>
          <w:kern w:val="2"/>
          <w:sz w:val="21"/>
          <w:highlight w:val="none"/>
          <w:lang w:val="en-US" w:eastAsia="zh-CN"/>
        </w:rPr>
        <w:t>5</w:t>
      </w:r>
      <w:r>
        <w:rPr>
          <w:rFonts w:hint="eastAsia" w:ascii="Times New Roman" w:hAnsi="Times New Roman" w:eastAsia="宋体" w:cs="Times New Roman"/>
          <w:color w:val="auto"/>
          <w:kern w:val="2"/>
          <w:sz w:val="21"/>
          <w:highlight w:val="none"/>
        </w:rPr>
        <w:t>%</w:t>
      </w:r>
      <w:r>
        <w:rPr>
          <w:rFonts w:hint="eastAsia" w:ascii="Times New Roman" w:hAnsi="Times New Roman" w:eastAsia="宋体" w:cs="Times New Roman"/>
          <w:color w:val="auto"/>
          <w:kern w:val="2"/>
          <w:sz w:val="21"/>
          <w:highlight w:val="none"/>
          <w:lang w:val="en-US" w:eastAsia="zh-CN"/>
        </w:rPr>
        <w:t xml:space="preserve"> </w:t>
      </w:r>
      <w:r>
        <w:rPr>
          <w:rFonts w:hint="eastAsia" w:ascii="Times New Roman" w:hAnsi="Times New Roman" w:eastAsia="宋体" w:cs="Times New Roman"/>
          <w:color w:val="auto"/>
          <w:kern w:val="2"/>
          <w:sz w:val="21"/>
          <w:highlight w:val="none"/>
          <w:lang w:eastAsia="zh-CN"/>
        </w:rPr>
        <w:t>。</w:t>
      </w:r>
    </w:p>
    <w:p w14:paraId="61EFA223">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lang w:val="en-US" w:eastAsia="zh-CN"/>
        </w:rPr>
        <w:t>2.</w:t>
      </w:r>
      <w:r>
        <w:rPr>
          <w:rFonts w:hint="eastAsia" w:ascii="Times New Roman" w:hAnsi="Times New Roman" w:eastAsia="宋体" w:cs="Times New Roman"/>
          <w:color w:val="auto"/>
          <w:kern w:val="2"/>
          <w:sz w:val="21"/>
          <w:highlight w:val="none"/>
        </w:rPr>
        <w:t xml:space="preserve">未列入调差范围的材料，如其合价（含税材料价）超过30万元或占签约合同价 2%（指同一材质材料），且在施工期的市场平均价相对基准价格（或招标控制价中对应价格）涨跌幅度超过 20%，则超过部分的差价调整。 </w:t>
      </w:r>
    </w:p>
    <w:p w14:paraId="331640F3">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rPr>
        <w:t xml:space="preserve">3．除上述第 1、2 点可调差情形外，其余材料及机械费（除机上人工）施工期市场价格波动不调整价格。 </w:t>
      </w:r>
    </w:p>
    <w:p w14:paraId="5BC6B555">
      <w:pPr>
        <w:keepNext w:val="0"/>
        <w:keepLines w:val="0"/>
        <w:pageBreakBefore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bCs/>
          <w:color w:val="auto"/>
          <w:kern w:val="2"/>
          <w:sz w:val="21"/>
          <w:highlight w:val="none"/>
        </w:rPr>
      </w:pPr>
      <w:r>
        <w:rPr>
          <w:rFonts w:hint="eastAsia" w:ascii="Times New Roman" w:hAnsi="Times New Roman" w:eastAsia="宋体" w:cs="Times New Roman"/>
          <w:bCs/>
          <w:color w:val="auto"/>
          <w:kern w:val="2"/>
          <w:sz w:val="21"/>
          <w:highlight w:val="none"/>
        </w:rPr>
        <w:t>第3种方式：其他价格调整方式：</w:t>
      </w:r>
      <w:r>
        <w:rPr>
          <w:rFonts w:hint="eastAsia" w:ascii="Times New Roman" w:hAnsi="Times New Roman" w:eastAsia="宋体" w:cs="Times New Roman"/>
          <w:bCs/>
          <w:color w:val="auto"/>
          <w:kern w:val="2"/>
          <w:sz w:val="21"/>
          <w:highlight w:val="none"/>
          <w:u w:val="single"/>
        </w:rPr>
        <w:t xml:space="preserve"> </w:t>
      </w:r>
      <w:r>
        <w:rPr>
          <w:rFonts w:hint="eastAsia" w:ascii="Times New Roman" w:hAnsi="Times New Roman" w:eastAsia="宋体" w:cs="Times New Roman"/>
          <w:color w:val="auto"/>
          <w:kern w:val="2"/>
          <w:sz w:val="21"/>
          <w:highlight w:val="none"/>
          <w:u w:val="single"/>
        </w:rPr>
        <w:t xml:space="preserve"> 不作调整  </w:t>
      </w:r>
      <w:r>
        <w:rPr>
          <w:rFonts w:hint="eastAsia" w:ascii="Times New Roman" w:hAnsi="Times New Roman" w:eastAsia="宋体" w:cs="Times New Roman"/>
          <w:bCs/>
          <w:color w:val="auto"/>
          <w:kern w:val="2"/>
          <w:sz w:val="21"/>
          <w:highlight w:val="none"/>
          <w:u w:val="single"/>
        </w:rPr>
        <w:t xml:space="preserve">  </w:t>
      </w:r>
      <w:r>
        <w:rPr>
          <w:rFonts w:hint="eastAsia" w:ascii="Times New Roman" w:hAnsi="Times New Roman" w:eastAsia="宋体" w:cs="Times New Roman"/>
          <w:bCs/>
          <w:color w:val="auto"/>
          <w:kern w:val="2"/>
          <w:sz w:val="21"/>
          <w:highlight w:val="none"/>
        </w:rPr>
        <w:t xml:space="preserve"> 。</w:t>
      </w:r>
    </w:p>
    <w:p w14:paraId="6C75B1F1">
      <w:pPr>
        <w:keepNext w:val="0"/>
        <w:keepLines w:val="0"/>
        <w:pageBreakBefore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Times New Roman" w:hAnsi="Times New Roman" w:eastAsia="宋体" w:cs="Times New Roman"/>
          <w:bCs/>
          <w:color w:val="auto"/>
          <w:kern w:val="2"/>
          <w:sz w:val="21"/>
          <w:highlight w:val="none"/>
        </w:rPr>
      </w:pPr>
      <w:r>
        <w:rPr>
          <w:rFonts w:hint="eastAsia" w:ascii="Times New Roman" w:hAnsi="Times New Roman" w:eastAsia="宋体" w:cs="Times New Roman"/>
          <w:bCs/>
          <w:color w:val="auto"/>
          <w:kern w:val="2"/>
          <w:sz w:val="21"/>
          <w:highlight w:val="none"/>
        </w:rPr>
        <w:t>11.2 法律变化引起的调整 ：</w:t>
      </w:r>
      <w:r>
        <w:rPr>
          <w:rFonts w:hint="eastAsia" w:ascii="Times New Roman" w:hAnsi="Times New Roman" w:eastAsia="宋体" w:cs="Times New Roman"/>
          <w:bCs/>
          <w:color w:val="auto"/>
          <w:kern w:val="2"/>
          <w:sz w:val="21"/>
          <w:highlight w:val="none"/>
          <w:u w:val="single"/>
        </w:rPr>
        <w:t xml:space="preserve">  基准日期以后变化由发包人承担，但由承包人原因导致工期延误时的法律变化引起合同价增加的由承包人承担，合同价下降的由发包人受益</w:t>
      </w:r>
      <w:r>
        <w:rPr>
          <w:rFonts w:hint="eastAsia" w:ascii="Times New Roman" w:hAnsi="Times New Roman" w:eastAsia="宋体" w:cs="Times New Roman"/>
          <w:bCs/>
          <w:color w:val="auto"/>
          <w:kern w:val="2"/>
          <w:sz w:val="21"/>
          <w:highlight w:val="none"/>
        </w:rPr>
        <w:t xml:space="preserve">。 </w:t>
      </w:r>
    </w:p>
    <w:p w14:paraId="02B5B37F">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12. 合同价格、计量与支付</w:t>
      </w:r>
    </w:p>
    <w:p w14:paraId="2C268EC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12.1 合同价格形式</w:t>
      </w:r>
    </w:p>
    <w:p w14:paraId="2D51CA6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yellow"/>
        </w:rPr>
        <w:t>本合同价款采用第</w:t>
      </w:r>
      <w:r>
        <w:rPr>
          <w:rFonts w:hint="eastAsia" w:ascii="宋体" w:hAnsi="宋体" w:eastAsia="宋体" w:cs="宋体"/>
          <w:sz w:val="21"/>
          <w:szCs w:val="21"/>
          <w:highlight w:val="yellow"/>
          <w:u w:val="single"/>
        </w:rPr>
        <w:t xml:space="preserve">  1  </w:t>
      </w:r>
      <w:r>
        <w:rPr>
          <w:rFonts w:hint="eastAsia" w:ascii="宋体" w:hAnsi="宋体" w:eastAsia="宋体" w:cs="宋体"/>
          <w:sz w:val="21"/>
          <w:szCs w:val="21"/>
          <w:highlight w:val="yellow"/>
        </w:rPr>
        <w:t>种方式</w:t>
      </w:r>
      <w:r>
        <w:rPr>
          <w:rFonts w:hint="eastAsia" w:ascii="宋体" w:hAnsi="宋体" w:eastAsia="宋体" w:cs="宋体"/>
          <w:sz w:val="21"/>
          <w:szCs w:val="21"/>
          <w:highlight w:val="yellow"/>
          <w:u w:val="single"/>
        </w:rPr>
        <w:t xml:space="preserve">  单价合同   </w:t>
      </w:r>
      <w:r>
        <w:rPr>
          <w:rFonts w:hint="eastAsia" w:ascii="宋体" w:hAnsi="宋体" w:eastAsia="宋体" w:cs="宋体"/>
          <w:sz w:val="21"/>
          <w:szCs w:val="21"/>
          <w:highlight w:val="yellow"/>
        </w:rPr>
        <w:t>确定。</w:t>
      </w:r>
    </w:p>
    <w:p w14:paraId="40E8119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1、单价合同。</w:t>
      </w:r>
    </w:p>
    <w:p w14:paraId="29C6B5B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综合单价包含的风险范围：</w:t>
      </w:r>
    </w:p>
    <w:p w14:paraId="68CE7BA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本工程结算价的计算方式同投标价。除风险范围以外约定的调整外，以下内容按承包人的投标承诺不作调整：</w:t>
      </w:r>
    </w:p>
    <w:p w14:paraId="5702E2D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1）综合单价；</w:t>
      </w:r>
    </w:p>
    <w:p w14:paraId="68AE9E4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2）施工组织措施项目费的费项及费率；</w:t>
      </w:r>
    </w:p>
    <w:p w14:paraId="16740F9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3）规费费率、税金税率；</w:t>
      </w:r>
    </w:p>
    <w:p w14:paraId="46C85F1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4）计日工综合单价（工数经发包人签证，综合单价按技术工260元/工日、普工180元/工日计取;该项费用仅另计算税金）；</w:t>
      </w:r>
    </w:p>
    <w:p w14:paraId="764F38A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5）其他可能发生的费用：</w:t>
      </w:r>
    </w:p>
    <w:p w14:paraId="5A058AF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a.因施工噪声、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r>
        <w:rPr>
          <w:rFonts w:hint="eastAsia" w:ascii="宋体" w:hAnsi="宋体" w:eastAsia="宋体" w:cs="宋体"/>
          <w:sz w:val="21"/>
          <w:szCs w:val="21"/>
          <w:u w:val="single"/>
          <w:lang w:val="en-US" w:eastAsia="zh-CN"/>
        </w:rPr>
        <w:t>承</w:t>
      </w:r>
      <w:r>
        <w:rPr>
          <w:rFonts w:hint="eastAsia" w:ascii="宋体" w:hAnsi="宋体" w:eastAsia="宋体" w:cs="宋体"/>
          <w:sz w:val="21"/>
          <w:szCs w:val="21"/>
          <w:u w:val="single"/>
        </w:rPr>
        <w:t>包人因工程需要进行夜间施工时，除应按规定办理夜间施工许可外，要采取措施降低噪音，并做好周围居民、厂房的告示和解释工作，以取得谅解，避免产生矛盾和冲突。</w:t>
      </w:r>
    </w:p>
    <w:p w14:paraId="3F79DE8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b.实际施工中可能发生如街道管理费、人行道临时占用费及押金、干扰费、环保清洁费、办理噪音排放许可证、建筑垃圾处置许可证、环卫保洁费、二次搬运费、已完工程及设备保护费等全部由承包人承担，不管实际情况如何，结算时都不予调整。</w:t>
      </w:r>
    </w:p>
    <w:p w14:paraId="22E8B0A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c.土方开挖及外运、处置及泥浆外运、处置按当地有关要求办理，费用包含在合同价内。本项目土方外运运距、建筑垃圾外运运距、熟料场内运距、场内土方调配运距、沥青砼运距、商品砼运距、苗木运距均已综合考虑在合同总价内，结算时不再另行调整。本项目建筑垃圾外运处置由承包人办理相关手续，费用包含在合同价内，结算时不再另行调整</w:t>
      </w:r>
      <w:r>
        <w:rPr>
          <w:rFonts w:hint="eastAsia" w:ascii="宋体" w:hAnsi="宋体" w:eastAsia="宋体" w:cs="宋体"/>
          <w:kern w:val="0"/>
          <w:sz w:val="21"/>
          <w:szCs w:val="21"/>
          <w:u w:val="single"/>
        </w:rPr>
        <w:t>。</w:t>
      </w:r>
    </w:p>
    <w:p w14:paraId="5919C6A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lang w:eastAsia="zh-CN"/>
        </w:rPr>
      </w:pPr>
      <w:r>
        <w:rPr>
          <w:rFonts w:hint="eastAsia" w:ascii="宋体" w:hAnsi="宋体" w:eastAsia="宋体" w:cs="宋体"/>
          <w:i/>
          <w:iCs/>
          <w:sz w:val="21"/>
          <w:szCs w:val="21"/>
          <w:u w:val="single"/>
        </w:rPr>
        <w:t>d</w:t>
      </w:r>
      <w:r>
        <w:rPr>
          <w:rFonts w:hint="eastAsia" w:ascii="宋体" w:hAnsi="宋体" w:eastAsia="宋体" w:cs="宋体"/>
          <w:i/>
          <w:iCs/>
          <w:sz w:val="21"/>
          <w:szCs w:val="21"/>
          <w:u w:val="single"/>
          <w:lang w:val="en-US" w:eastAsia="zh-CN"/>
        </w:rPr>
        <w:t>.</w:t>
      </w:r>
      <w:r>
        <w:rPr>
          <w:rFonts w:hint="eastAsia" w:ascii="宋体" w:hAnsi="宋体" w:eastAsia="宋体" w:cs="宋体"/>
          <w:i/>
          <w:iCs/>
          <w:sz w:val="21"/>
          <w:szCs w:val="21"/>
          <w:u w:val="single"/>
        </w:rPr>
        <w:t>自备发电机、储水设施费用：包括由于停电、停水及施工用水加压而增加的费用，工程结算时不另行计取</w:t>
      </w:r>
      <w:r>
        <w:rPr>
          <w:rFonts w:hint="eastAsia" w:ascii="宋体" w:hAnsi="宋体" w:eastAsia="宋体" w:cs="宋体"/>
          <w:i/>
          <w:iCs/>
          <w:sz w:val="21"/>
          <w:szCs w:val="21"/>
          <w:u w:val="single"/>
          <w:lang w:eastAsia="zh-CN"/>
        </w:rPr>
        <w:t>。临时配电房、正式通电以后临时用电设备拆除运输至发包人指定地点，费用由承包人在投标报价时综合考虑，不再另行计取。</w:t>
      </w:r>
    </w:p>
    <w:p w14:paraId="7AA5B86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e</w:t>
      </w:r>
      <w:r>
        <w:rPr>
          <w:rFonts w:hint="eastAsia" w:ascii="宋体" w:hAnsi="宋体" w:eastAsia="宋体" w:cs="宋体"/>
          <w:i/>
          <w:iCs/>
          <w:sz w:val="21"/>
          <w:szCs w:val="21"/>
          <w:u w:val="single"/>
          <w:lang w:val="en-US" w:eastAsia="zh-CN"/>
        </w:rPr>
        <w:t>.</w:t>
      </w:r>
      <w:r>
        <w:rPr>
          <w:rFonts w:hint="eastAsia" w:ascii="宋体" w:hAnsi="宋体" w:eastAsia="宋体" w:cs="宋体"/>
          <w:i/>
          <w:iCs/>
          <w:sz w:val="21"/>
          <w:szCs w:val="21"/>
          <w:u w:val="single"/>
        </w:rPr>
        <w:t>机械运杂费：大型机械进出场费和安拆费按招标人预算书一次性包死，不论实际用于本工程的机械设备是否增加或变动，均不予调整，投标人投标时综合考虑。</w:t>
      </w:r>
    </w:p>
    <w:p w14:paraId="3B78DA8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f</w:t>
      </w:r>
      <w:r>
        <w:rPr>
          <w:rFonts w:hint="eastAsia" w:ascii="宋体" w:hAnsi="宋体" w:eastAsia="宋体" w:cs="宋体"/>
          <w:i/>
          <w:iCs/>
          <w:sz w:val="21"/>
          <w:szCs w:val="21"/>
          <w:u w:val="single"/>
          <w:lang w:val="en-US" w:eastAsia="zh-CN"/>
        </w:rPr>
        <w:t>.</w:t>
      </w:r>
      <w:r>
        <w:rPr>
          <w:rFonts w:hint="eastAsia" w:ascii="宋体" w:hAnsi="宋体" w:eastAsia="宋体" w:cs="宋体"/>
          <w:i/>
          <w:iCs/>
          <w:sz w:val="21"/>
          <w:szCs w:val="21"/>
          <w:u w:val="single"/>
        </w:rPr>
        <w:t>建材二次搬运费、挖桩孔、地下障碍物清理等费用，已综合考虑在合同总价内，不管实际情况如何，都不予追加。</w:t>
      </w:r>
    </w:p>
    <w:p w14:paraId="22D76CB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g</w:t>
      </w:r>
      <w:r>
        <w:rPr>
          <w:rFonts w:hint="eastAsia" w:ascii="宋体" w:hAnsi="宋体" w:eastAsia="宋体" w:cs="宋体"/>
          <w:i/>
          <w:iCs/>
          <w:sz w:val="21"/>
          <w:szCs w:val="21"/>
          <w:u w:val="single"/>
          <w:lang w:val="en-US" w:eastAsia="zh-CN"/>
        </w:rPr>
        <w:t>.</w:t>
      </w:r>
      <w:r>
        <w:rPr>
          <w:rFonts w:hint="eastAsia" w:ascii="宋体" w:hAnsi="宋体" w:eastAsia="宋体" w:cs="宋体"/>
          <w:i/>
          <w:iCs/>
          <w:sz w:val="21"/>
          <w:szCs w:val="21"/>
          <w:u w:val="single"/>
        </w:rPr>
        <w:t>承包人不得因施工场地、周边环境、施工道路等因素向发包人要求追加任何费用，人行道占用手续等全由承包人自行办理。</w:t>
      </w:r>
    </w:p>
    <w:p w14:paraId="33EF119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h.相关主管部门要求的视频监控费用及相关手续均由承包人在投标报价中综合考虑，结算时不再另行计取。</w:t>
      </w:r>
    </w:p>
    <w:p w14:paraId="41F5B04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i.承包人根据提供的本工程相关资料（包括且不仅限于此），并结合现场实际综合报价。凡项目特征中未列出的工作内容而又是完成本工作必需的，由承包人在投标时综合考虑，结算不再另行计取。</w:t>
      </w:r>
    </w:p>
    <w:p w14:paraId="2D925EA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j.本工程施工过程可能与本区块内其他分包人发生相互干扰及交叉施工，由此发生的相关费用， 由承包人在报价时综合考虑，结算时不另列项目计算。</w:t>
      </w:r>
    </w:p>
    <w:p w14:paraId="2907D7D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k.发包人提供的招标控制价中定额套用及定额工程量仅供各投标人参考，承包人需结合图纸和清单项目特征，自行决策，综合报价。结算不因提供的组价与图纸及特征描述有异而调整综合单价。</w:t>
      </w:r>
    </w:p>
    <w:p w14:paraId="64F4BAB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l.本工程项目报价需投标单位根据施工图纸、工程内容综合报价，对于没有在预算中列出的工序内容而又是完成本工作必需的，要求各投标单位根据施工规范要求在相应子目中综合考虑，不作调整。</w:t>
      </w:r>
    </w:p>
    <w:p w14:paraId="0C9652D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rPr>
        <w:t>m.承包人在本工程施工时，应编制的专项施工方案并组织专家论证（含论证费用），此项措施费用承包人在报价时综合考虑，结算时不再另行计取。</w:t>
      </w:r>
    </w:p>
    <w:p w14:paraId="1D9F352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lang w:val="en-US" w:eastAsia="zh-CN"/>
        </w:rPr>
        <w:t>n</w:t>
      </w:r>
      <w:r>
        <w:rPr>
          <w:rFonts w:hint="eastAsia" w:ascii="宋体" w:hAnsi="宋体" w:eastAsia="宋体" w:cs="宋体"/>
          <w:i/>
          <w:iCs/>
          <w:sz w:val="21"/>
          <w:szCs w:val="21"/>
          <w:u w:val="single"/>
        </w:rPr>
        <w:t>.施工主出入口按当地要求配置车辆清洗设备及专职清洗人员，包括但不限于洗车槽、高压冲洗水枪、沉淀池等，确保驶出工地的机动车辆满足当地政府要求且确保运输单位车辆正常通行，相关费用由承包人在投标报价中综合考虑，后期不再单独计取。</w:t>
      </w:r>
    </w:p>
    <w:p w14:paraId="1453F67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lang w:val="en-US" w:eastAsia="zh-CN"/>
        </w:rPr>
        <w:t>o</w:t>
      </w:r>
      <w:r>
        <w:rPr>
          <w:rFonts w:hint="eastAsia" w:ascii="宋体" w:hAnsi="宋体" w:eastAsia="宋体" w:cs="宋体"/>
          <w:i/>
          <w:iCs/>
          <w:sz w:val="21"/>
          <w:szCs w:val="21"/>
          <w:u w:val="single"/>
        </w:rPr>
        <w:t>.</w:t>
      </w:r>
      <w:r>
        <w:rPr>
          <w:rFonts w:hint="eastAsia" w:ascii="宋体" w:hAnsi="宋体" w:eastAsia="宋体" w:cs="宋体"/>
          <w:i/>
          <w:iCs/>
          <w:sz w:val="21"/>
          <w:szCs w:val="21"/>
          <w:highlight w:val="none"/>
          <w:u w:val="single"/>
        </w:rPr>
        <w:t>枯树、植被、杂物、清理外运，表层土清理、水塘、水沟处理等。</w:t>
      </w:r>
    </w:p>
    <w:p w14:paraId="3625961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highlight w:val="none"/>
          <w:u w:val="single"/>
          <w:lang w:val="en-US" w:eastAsia="zh-CN"/>
        </w:rPr>
        <w:t>p</w:t>
      </w:r>
      <w:r>
        <w:rPr>
          <w:rFonts w:hint="eastAsia" w:ascii="宋体" w:hAnsi="宋体" w:eastAsia="宋体" w:cs="宋体"/>
          <w:i/>
          <w:iCs/>
          <w:sz w:val="21"/>
          <w:szCs w:val="21"/>
          <w:highlight w:val="none"/>
          <w:u w:val="single"/>
        </w:rPr>
        <w:t>.</w:t>
      </w:r>
      <w:r>
        <w:rPr>
          <w:rFonts w:hint="eastAsia" w:ascii="宋体" w:hAnsi="宋体" w:eastAsia="宋体" w:cs="宋体"/>
          <w:i/>
          <w:iCs/>
          <w:sz w:val="21"/>
          <w:szCs w:val="21"/>
          <w:u w:val="single"/>
        </w:rPr>
        <w:t>在本项目的装修施工进场前，承包人单位做好工作界面的交接工作，办好交接手续，如施工过程涉及的标高、轴线、卫生间蓄水试验、楼面墙面空鼓及裂缝等问题。交接后由承包人自身造成的问题由承包人自行承担，相关费用在投标报价中自行考虑，结算时不再另行计取。</w:t>
      </w:r>
    </w:p>
    <w:p w14:paraId="0D2EABC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iCs/>
          <w:sz w:val="21"/>
          <w:szCs w:val="21"/>
          <w:u w:val="single"/>
        </w:rPr>
      </w:pPr>
      <w:r>
        <w:rPr>
          <w:rFonts w:hint="eastAsia" w:ascii="宋体" w:hAnsi="宋体" w:eastAsia="宋体" w:cs="宋体"/>
          <w:i/>
          <w:iCs/>
          <w:sz w:val="21"/>
          <w:szCs w:val="21"/>
          <w:u w:val="single"/>
          <w:lang w:val="en-US" w:eastAsia="zh-CN"/>
        </w:rPr>
        <w:t>q</w:t>
      </w:r>
      <w:r>
        <w:rPr>
          <w:rFonts w:hint="eastAsia" w:ascii="宋体" w:hAnsi="宋体" w:eastAsia="宋体" w:cs="宋体"/>
          <w:i/>
          <w:iCs/>
          <w:sz w:val="21"/>
          <w:szCs w:val="21"/>
          <w:u w:val="single"/>
        </w:rPr>
        <w:t>.</w:t>
      </w:r>
      <w:r>
        <w:rPr>
          <w:rFonts w:hint="eastAsia" w:ascii="宋体" w:hAnsi="宋体" w:eastAsia="宋体" w:cs="宋体"/>
          <w:i/>
          <w:iCs/>
          <w:color w:val="auto"/>
          <w:sz w:val="21"/>
          <w:szCs w:val="21"/>
          <w:highlight w:val="none"/>
          <w:u w:val="single"/>
          <w:lang w:val="en-US" w:eastAsia="zh-CN"/>
        </w:rPr>
        <w:t>涉及安全责任险的所有相关费用已包含在投标报价内，由承包人在投标报价时综合考虑，结算时不作调整。</w:t>
      </w:r>
    </w:p>
    <w:p w14:paraId="4ED437E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rPr>
      </w:pPr>
      <w:r>
        <w:rPr>
          <w:rFonts w:hint="eastAsia" w:ascii="宋体" w:hAnsi="宋体" w:eastAsia="宋体" w:cs="宋体"/>
          <w:i/>
          <w:iCs/>
          <w:color w:val="auto"/>
          <w:sz w:val="21"/>
          <w:szCs w:val="21"/>
          <w:highlight w:val="none"/>
          <w:u w:val="single"/>
          <w:lang w:val="en-US" w:eastAsia="zh-CN"/>
        </w:rPr>
        <w:t>r.</w:t>
      </w:r>
      <w:r>
        <w:rPr>
          <w:rFonts w:hint="eastAsia" w:ascii="宋体" w:hAnsi="宋体" w:eastAsia="宋体" w:cs="宋体"/>
          <w:i/>
          <w:iCs/>
          <w:sz w:val="21"/>
          <w:szCs w:val="21"/>
          <w:u w:val="single"/>
        </w:rPr>
        <w:t>施工单位进场施工前须对周围树木、房屋建筑、管线等做好摸底排查工作，在施工中必须严格按照规范操作，并针对周围树木、管线和邻近建筑物实际情况，采取相应防护措施，对不按规范要求施工或未采取防护措施的，造成的损失由承包人承担。</w:t>
      </w:r>
    </w:p>
    <w:p w14:paraId="750CD9E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3C37165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风险范围以外合同价格的调整方法：</w:t>
      </w:r>
    </w:p>
    <w:p w14:paraId="1AAADB1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lang w:val="zh-CN"/>
        </w:rPr>
      </w:pPr>
      <w:r>
        <w:rPr>
          <w:rFonts w:hint="eastAsia" w:ascii="宋体" w:hAnsi="宋体" w:eastAsia="宋体" w:cs="宋体"/>
          <w:sz w:val="21"/>
          <w:szCs w:val="21"/>
          <w:u w:val="single"/>
          <w:lang w:val="zh-CN"/>
        </w:rPr>
        <w:t>1）工程量按照专用条款12.3.1条规定，由承包人计量，发包人及有关部门审核。</w:t>
      </w:r>
    </w:p>
    <w:p w14:paraId="4D5C014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2）因市场价格波动引起的调整按本合同专用条款第11.1款的约定调整。</w:t>
      </w:r>
    </w:p>
    <w:p w14:paraId="318F711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w:t>
      </w:r>
      <w:r>
        <w:rPr>
          <w:rFonts w:hint="eastAsia" w:ascii="宋体" w:hAnsi="宋体" w:eastAsia="宋体" w:cs="宋体"/>
          <w:sz w:val="21"/>
          <w:szCs w:val="21"/>
          <w:u w:val="single"/>
          <w:lang w:val="zh-CN"/>
        </w:rPr>
        <w:t>因发包人提供的工程量清单项目工程数量计算偏差或工程变更引起的工程量增加或减少，按专用条款10.4.1条执行。</w:t>
      </w:r>
    </w:p>
    <w:p w14:paraId="79EEACB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lang w:val="zh-CN"/>
        </w:rPr>
      </w:pPr>
      <w:r>
        <w:rPr>
          <w:rFonts w:hint="eastAsia" w:ascii="宋体" w:hAnsi="宋体" w:eastAsia="宋体" w:cs="宋体"/>
          <w:sz w:val="21"/>
          <w:szCs w:val="21"/>
          <w:u w:val="single"/>
        </w:rPr>
        <w:t>4）</w:t>
      </w:r>
      <w:r>
        <w:rPr>
          <w:rFonts w:hint="eastAsia" w:ascii="宋体" w:hAnsi="宋体" w:eastAsia="宋体" w:cs="宋体"/>
          <w:sz w:val="21"/>
          <w:szCs w:val="21"/>
          <w:u w:val="single"/>
          <w:lang w:val="zh-CN"/>
        </w:rPr>
        <w:t>发包人提供的工程量清单项目漏项、错项、工程变更引起的新增项目、工程量清单局部变更，与已标价工程量清单项目不同或相类似项目，其综合单价的确定方法按本合同专用条款10.4.1条约定调整。</w:t>
      </w:r>
    </w:p>
    <w:p w14:paraId="68A868A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lang w:val="zh-CN"/>
        </w:rPr>
      </w:pPr>
      <w:r>
        <w:rPr>
          <w:rFonts w:hint="eastAsia" w:ascii="宋体" w:hAnsi="宋体" w:eastAsia="宋体" w:cs="宋体"/>
          <w:sz w:val="21"/>
          <w:szCs w:val="21"/>
          <w:u w:val="single"/>
        </w:rPr>
        <w:t>5）</w:t>
      </w:r>
      <w:r>
        <w:rPr>
          <w:rFonts w:hint="eastAsia" w:ascii="宋体" w:hAnsi="宋体" w:eastAsia="宋体" w:cs="宋体"/>
          <w:sz w:val="21"/>
          <w:szCs w:val="21"/>
          <w:u w:val="single"/>
          <w:lang w:val="zh-CN"/>
        </w:rPr>
        <w:t>因非承包人原因的分部分项工程量清单漏项、错项、工程变更及清单工程量增减等，引起措施项目内容、工程数量发生变化，则调整措施项目费用：</w:t>
      </w:r>
    </w:p>
    <w:p w14:paraId="23A8B5F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lang w:val="zh-CN"/>
        </w:rPr>
      </w:pPr>
      <w:r>
        <w:rPr>
          <w:rFonts w:hint="eastAsia" w:ascii="宋体" w:hAnsi="宋体" w:eastAsia="宋体" w:cs="宋体"/>
          <w:sz w:val="21"/>
          <w:szCs w:val="21"/>
          <w:u w:val="single"/>
          <w:lang w:val="zh-CN"/>
        </w:rPr>
        <w:t>a、采用综合单价计价的按专用条款第10.4.1条计算综合单价。</w:t>
      </w:r>
    </w:p>
    <w:p w14:paraId="0E879D4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lang w:val="zh-CN"/>
        </w:rPr>
      </w:pPr>
      <w:r>
        <w:rPr>
          <w:rFonts w:hint="eastAsia" w:ascii="宋体" w:hAnsi="宋体" w:eastAsia="宋体" w:cs="宋体"/>
          <w:sz w:val="21"/>
          <w:szCs w:val="21"/>
          <w:u w:val="single"/>
          <w:lang w:val="zh-CN"/>
        </w:rPr>
        <w:t>b、计量单位采用以“项”计价的措施项目，工程量清单项目及工程数量变化引起措施变动部分重新组价。</w:t>
      </w:r>
    </w:p>
    <w:p w14:paraId="347A96B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lang w:val="zh-CN"/>
        </w:rPr>
      </w:pPr>
      <w:r>
        <w:rPr>
          <w:rFonts w:hint="eastAsia" w:ascii="宋体" w:hAnsi="宋体" w:eastAsia="宋体" w:cs="宋体"/>
          <w:sz w:val="21"/>
          <w:szCs w:val="21"/>
          <w:u w:val="single"/>
          <w:lang w:val="zh-CN"/>
        </w:rPr>
        <w:t>c、施工组织措施项目，按合同约定的费率内容调整措施费用计算基数。</w:t>
      </w:r>
    </w:p>
    <w:p w14:paraId="1405FA3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lang w:val="zh-CN"/>
        </w:rPr>
      </w:pPr>
      <w:r>
        <w:rPr>
          <w:rFonts w:hint="eastAsia" w:ascii="宋体" w:hAnsi="宋体" w:eastAsia="宋体" w:cs="宋体"/>
          <w:sz w:val="21"/>
          <w:szCs w:val="21"/>
          <w:u w:val="single"/>
        </w:rPr>
        <w:t>6）</w:t>
      </w:r>
      <w:r>
        <w:rPr>
          <w:rFonts w:hint="eastAsia" w:ascii="宋体" w:hAnsi="宋体" w:eastAsia="宋体" w:cs="宋体"/>
          <w:sz w:val="21"/>
          <w:szCs w:val="21"/>
          <w:u w:val="single"/>
          <w:lang w:val="zh-CN"/>
        </w:rPr>
        <w:t>未在投标价中包含的专项施工方案的施工及论证费用，根据施工现场实际参照合同专用条款10.4.1款约定方法确定或签证。</w:t>
      </w:r>
    </w:p>
    <w:p w14:paraId="1BB03EF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2、总价合同。</w:t>
      </w:r>
    </w:p>
    <w:p w14:paraId="780E21A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总价包含的风险范围：</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95AAEA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2DF04A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p w14:paraId="23D23EB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3、其他价格方式：</w:t>
      </w:r>
      <w:r>
        <w:rPr>
          <w:rFonts w:hint="eastAsia" w:ascii="宋体" w:hAnsi="宋体" w:eastAsia="宋体" w:cs="宋体"/>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E0F134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12.2 预付款</w:t>
      </w:r>
    </w:p>
    <w:p w14:paraId="00BC809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3845F0"/>
          <w:sz w:val="21"/>
          <w:szCs w:val="21"/>
        </w:rPr>
      </w:pPr>
      <w:r>
        <w:rPr>
          <w:rFonts w:hint="eastAsia" w:ascii="宋体" w:hAnsi="宋体" w:eastAsia="宋体" w:cs="宋体"/>
          <w:color w:val="auto"/>
          <w:sz w:val="21"/>
          <w:szCs w:val="21"/>
        </w:rPr>
        <w:t>12.2.1 预付款的支付</w:t>
      </w:r>
    </w:p>
    <w:p w14:paraId="0BABFEA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预付款支付比例或金额：</w:t>
      </w:r>
      <w:r>
        <w:rPr>
          <w:rFonts w:hint="eastAsia" w:ascii="宋体" w:hAnsi="宋体" w:eastAsia="宋体" w:cs="宋体"/>
          <w:b/>
          <w:color w:val="0000FF"/>
          <w:sz w:val="21"/>
          <w:szCs w:val="21"/>
          <w:highlight w:val="none"/>
          <w:u w:val="single"/>
        </w:rPr>
        <w:t>签约合同价的</w:t>
      </w:r>
      <w:r>
        <w:rPr>
          <w:rFonts w:hint="eastAsia" w:ascii="宋体" w:hAnsi="宋体" w:cs="宋体"/>
          <w:b/>
          <w:color w:val="0000FF"/>
          <w:sz w:val="21"/>
          <w:szCs w:val="21"/>
          <w:highlight w:val="none"/>
          <w:u w:val="single"/>
          <w:lang w:val="en-US" w:eastAsia="zh-CN"/>
        </w:rPr>
        <w:t>3</w:t>
      </w:r>
      <w:r>
        <w:rPr>
          <w:rFonts w:hint="eastAsia" w:ascii="宋体" w:hAnsi="宋体" w:eastAsia="宋体" w:cs="宋体"/>
          <w:b/>
          <w:color w:val="0000FF"/>
          <w:sz w:val="21"/>
          <w:szCs w:val="21"/>
          <w:highlight w:val="none"/>
          <w:u w:val="single"/>
          <w:lang w:val="en-US" w:eastAsia="zh-CN"/>
        </w:rPr>
        <w:t>0</w:t>
      </w:r>
      <w:r>
        <w:rPr>
          <w:rFonts w:hint="eastAsia" w:ascii="宋体" w:hAnsi="宋体" w:eastAsia="宋体" w:cs="宋体"/>
          <w:b/>
          <w:color w:val="0000FF"/>
          <w:sz w:val="21"/>
          <w:szCs w:val="21"/>
          <w:highlight w:val="none"/>
          <w:u w:val="single"/>
        </w:rPr>
        <w:t>%</w:t>
      </w:r>
      <w:r>
        <w:rPr>
          <w:rFonts w:hint="eastAsia" w:ascii="宋体" w:hAnsi="宋体" w:eastAsia="宋体" w:cs="宋体"/>
          <w:b/>
          <w:bCs/>
          <w:color w:val="0000FF"/>
          <w:sz w:val="21"/>
          <w:szCs w:val="21"/>
          <w:highlight w:val="none"/>
          <w:u w:val="single"/>
        </w:rPr>
        <w:t>（包含1%工资性工程预付款，转入农民工工资专用账户；包含专用条款6.1.6条例所列的安全文明施工费，其余作为备料款）</w:t>
      </w:r>
      <w:r>
        <w:rPr>
          <w:rFonts w:hint="eastAsia" w:ascii="宋体" w:hAnsi="宋体" w:eastAsia="宋体" w:cs="宋体"/>
          <w:b/>
          <w:color w:val="0000FF"/>
          <w:sz w:val="21"/>
          <w:szCs w:val="21"/>
          <w:highlight w:val="none"/>
          <w:u w:val="single"/>
        </w:rPr>
        <w:t>。</w:t>
      </w:r>
    </w:p>
    <w:p w14:paraId="63AF4B2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预付款支付期限：</w:t>
      </w:r>
      <w:r>
        <w:rPr>
          <w:rFonts w:hint="eastAsia" w:ascii="宋体" w:hAnsi="宋体" w:eastAsia="宋体" w:cs="宋体"/>
          <w:color w:val="auto"/>
          <w:sz w:val="21"/>
          <w:szCs w:val="21"/>
          <w:u w:val="single"/>
        </w:rPr>
        <w:t>按投标承诺的人员、机械设备进场后7天内</w:t>
      </w:r>
      <w:r>
        <w:rPr>
          <w:rFonts w:hint="eastAsia" w:ascii="宋体" w:hAnsi="宋体" w:eastAsia="宋体" w:cs="宋体"/>
          <w:color w:val="auto"/>
          <w:sz w:val="21"/>
          <w:szCs w:val="21"/>
        </w:rPr>
        <w:t>。</w:t>
      </w:r>
    </w:p>
    <w:p w14:paraId="1C711EF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预付款扣回的方式：</w:t>
      </w:r>
      <w:r>
        <w:rPr>
          <w:rFonts w:hint="eastAsia"/>
          <w:b/>
          <w:color w:val="auto"/>
          <w:highlight w:val="none"/>
          <w:u w:val="single"/>
        </w:rPr>
        <w:t>不扣回</w:t>
      </w:r>
      <w:r>
        <w:rPr>
          <w:rFonts w:hint="eastAsia"/>
          <w:b/>
          <w:color w:val="auto"/>
          <w:highlight w:val="none"/>
          <w:u w:val="single"/>
          <w:lang w:eastAsia="zh-CN"/>
        </w:rPr>
        <w:t>。</w:t>
      </w:r>
      <w:r>
        <w:rPr>
          <w:rFonts w:hint="eastAsia"/>
          <w:b/>
          <w:color w:val="auto"/>
          <w:highlight w:val="none"/>
          <w:u w:val="single"/>
          <w:lang w:val="en-US" w:eastAsia="zh-CN"/>
        </w:rPr>
        <w:t>作为工程款</w:t>
      </w:r>
      <w:r>
        <w:rPr>
          <w:b/>
          <w:color w:val="auto"/>
          <w:highlight w:val="none"/>
        </w:rPr>
        <w:t>。</w:t>
      </w:r>
    </w:p>
    <w:p w14:paraId="1120F44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12.2.2 预付款担保</w:t>
      </w:r>
    </w:p>
    <w:p w14:paraId="430C1DE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承包人提交预付款担保的期限：</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B4C2D5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预付款担保的形式为：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51FCFD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 计量</w:t>
      </w:r>
    </w:p>
    <w:p w14:paraId="5149A2C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12.3.1 计量原则</w:t>
      </w:r>
    </w:p>
    <w:p w14:paraId="2D61152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color w:val="0000FF"/>
          <w:sz w:val="21"/>
          <w:szCs w:val="21"/>
          <w:highlight w:val="yellow"/>
          <w:u w:val="single"/>
          <w:lang w:val="en-US" w:eastAsia="zh-CN"/>
        </w:rPr>
      </w:pPr>
      <w:r>
        <w:rPr>
          <w:rFonts w:hint="eastAsia" w:ascii="宋体" w:hAnsi="宋体" w:eastAsia="宋体" w:cs="宋体"/>
          <w:sz w:val="21"/>
          <w:szCs w:val="21"/>
        </w:rPr>
        <w:t>工程量计算按照实际完成施工图纸范围内和经发包人同意增加的施工内容按实计算，工程量计算规则按照</w:t>
      </w:r>
      <w:r>
        <w:rPr>
          <w:rFonts w:hint="eastAsia" w:ascii="宋体" w:hAnsi="宋体" w:eastAsia="宋体" w:cs="宋体"/>
          <w:i/>
          <w:color w:val="0000FF"/>
          <w:sz w:val="21"/>
          <w:szCs w:val="21"/>
          <w:highlight w:val="none"/>
          <w:u w:val="single"/>
          <w:lang w:val="en-US" w:eastAsia="zh-CN"/>
        </w:rPr>
        <w:t>《建设工程工程量清单计价规范》（GB50500－2013）；浙江省建设工程工程量清单计价实用手册》；浙江省建筑工程预算定额（2018版）；浙江省安装工程预算定额（2018版）；浙江省市政工程预算定额（2018版）；浙江省园林工程预算定额（2018版）；《浙江省建设工程施工取费定额（2018版）》；其它有关定额解释及国家、省、市工程量有关计算规则；材料价格按《台州建设工程造价信息》2025年1月仙居价格为依据，并结合市场价；委托方提供的工程设计施工图；电子文件和其它原始资料；其他有关文件、标准图、预算软件和规范。</w:t>
      </w:r>
    </w:p>
    <w:p w14:paraId="791A8B9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12.3.2 计量周期</w:t>
      </w:r>
    </w:p>
    <w:p w14:paraId="41F71BC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关于计量周期的约定：</w:t>
      </w:r>
      <w:r>
        <w:rPr>
          <w:rFonts w:hint="eastAsia" w:ascii="宋体" w:hAnsi="宋体" w:eastAsia="宋体" w:cs="宋体"/>
          <w:sz w:val="21"/>
          <w:szCs w:val="21"/>
          <w:u w:val="single"/>
        </w:rPr>
        <w:t>按月计量</w:t>
      </w:r>
      <w:r>
        <w:rPr>
          <w:rFonts w:hint="eastAsia" w:ascii="宋体" w:hAnsi="宋体" w:eastAsia="宋体" w:cs="宋体"/>
          <w:sz w:val="21"/>
          <w:szCs w:val="21"/>
        </w:rPr>
        <w:t>。</w:t>
      </w:r>
    </w:p>
    <w:p w14:paraId="3E131AF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12.3.3 单价合同的计量</w:t>
      </w:r>
    </w:p>
    <w:p w14:paraId="1F983824">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关于单价合同计量的约定：</w:t>
      </w:r>
      <w:r>
        <w:rPr>
          <w:rFonts w:hint="eastAsia" w:ascii="宋体" w:hAnsi="宋体" w:eastAsia="宋体" w:cs="宋体"/>
          <w:sz w:val="21"/>
          <w:szCs w:val="21"/>
          <w:u w:val="single"/>
        </w:rPr>
        <w:t>按合同通用条款执行。</w:t>
      </w:r>
    </w:p>
    <w:p w14:paraId="5D21282A">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sz w:val="21"/>
          <w:szCs w:val="21"/>
          <w:u w:val="single"/>
        </w:rPr>
        <w:t>（</w:t>
      </w:r>
      <w:r>
        <w:rPr>
          <w:rFonts w:hint="eastAsia" w:ascii="宋体" w:hAnsi="宋体" w:eastAsia="宋体" w:cs="宋体"/>
          <w:kern w:val="0"/>
          <w:sz w:val="21"/>
          <w:szCs w:val="21"/>
          <w:u w:val="single"/>
        </w:rPr>
        <w:t>4）确认的工程量和单价仅作为本期工程款支付的依据。</w:t>
      </w:r>
    </w:p>
    <w:p w14:paraId="0A1EC91E">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eastAsia="宋体" w:cs="宋体"/>
          <w:b/>
          <w:bCs w:val="0"/>
          <w:sz w:val="21"/>
          <w:szCs w:val="21"/>
        </w:rPr>
      </w:pPr>
      <w:r>
        <w:rPr>
          <w:rFonts w:hint="eastAsia" w:ascii="宋体" w:hAnsi="宋体" w:eastAsia="宋体" w:cs="宋体"/>
          <w:b/>
          <w:bCs w:val="0"/>
          <w:kern w:val="0"/>
          <w:sz w:val="21"/>
          <w:szCs w:val="21"/>
          <w:u w:val="single"/>
        </w:rPr>
        <w:t>（5）</w:t>
      </w:r>
      <w:r>
        <w:rPr>
          <w:rFonts w:hint="eastAsia" w:ascii="Times New Roman" w:hAnsi="Times New Roman" w:eastAsia="宋体" w:cs="Times New Roman"/>
          <w:b/>
          <w:bCs w:val="0"/>
          <w:color w:val="auto"/>
          <w:kern w:val="0"/>
          <w:sz w:val="21"/>
          <w:szCs w:val="21"/>
          <w:highlight w:val="none"/>
          <w:u w:val="single"/>
        </w:rPr>
        <w:t>如</w:t>
      </w:r>
      <w:r>
        <w:rPr>
          <w:rFonts w:hint="eastAsia" w:ascii="Times New Roman" w:hAnsi="Times New Roman" w:eastAsia="宋体" w:cs="Times New Roman"/>
          <w:b/>
          <w:bCs w:val="0"/>
          <w:color w:val="auto"/>
          <w:kern w:val="2"/>
          <w:sz w:val="21"/>
          <w:highlight w:val="none"/>
          <w:u w:val="single"/>
        </w:rPr>
        <w:t>专用条款第11.1条人工、材料调差的市场价A2采用加权平均计算，根据每月完成的工程量，汇总合同约定可调差人工、材料种类的每月用量报发包人确认</w:t>
      </w:r>
      <w:r>
        <w:rPr>
          <w:rFonts w:hint="eastAsia" w:ascii="宋体" w:hAnsi="宋体" w:eastAsia="宋体" w:cs="宋体"/>
          <w:b/>
          <w:bCs w:val="0"/>
          <w:kern w:val="0"/>
          <w:sz w:val="21"/>
          <w:szCs w:val="21"/>
          <w:u w:val="single"/>
        </w:rPr>
        <w:t>。</w:t>
      </w:r>
    </w:p>
    <w:p w14:paraId="18CACE0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12.3.4 总价合同的计量</w:t>
      </w:r>
    </w:p>
    <w:p w14:paraId="49C6C24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关于总价合同计量的约定：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D7A489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12.3.5总价合同采用支付分解表计量支付的，是否适用第12.3.4 项〔总价合同的计量〕约定进行计量：</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26CDE7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12.3.6 其他价格形式合同的计量</w:t>
      </w:r>
    </w:p>
    <w:p w14:paraId="2584F19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其他价格形式的计量方式和程序：</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w:t>
      </w:r>
    </w:p>
    <w:p w14:paraId="43135A9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12.4 工程进度款支付</w:t>
      </w:r>
    </w:p>
    <w:p w14:paraId="30FA5E7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12.4.1付款周期</w:t>
      </w:r>
    </w:p>
    <w:p w14:paraId="1893EF4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sz w:val="21"/>
          <w:szCs w:val="21"/>
        </w:rPr>
        <w:t>关于付款周期的约定：</w:t>
      </w:r>
      <w:r>
        <w:rPr>
          <w:rFonts w:hint="eastAsia" w:ascii="宋体" w:hAnsi="宋体" w:eastAsia="宋体" w:cs="宋体"/>
          <w:bCs/>
          <w:sz w:val="21"/>
          <w:szCs w:val="21"/>
          <w:u w:val="single"/>
        </w:rPr>
        <w:t>本工程按月支付工程进度款，承包人必须每月</w:t>
      </w:r>
      <w:r>
        <w:rPr>
          <w:rFonts w:hint="eastAsia" w:ascii="宋体" w:hAnsi="宋体" w:eastAsia="宋体" w:cs="宋体"/>
          <w:bCs/>
          <w:sz w:val="21"/>
          <w:szCs w:val="21"/>
          <w:u w:val="single"/>
          <w:lang w:val="en-US" w:eastAsia="zh-CN"/>
        </w:rPr>
        <w:t>20</w:t>
      </w:r>
      <w:r>
        <w:rPr>
          <w:rFonts w:hint="eastAsia" w:ascii="宋体" w:hAnsi="宋体" w:eastAsia="宋体" w:cs="宋体"/>
          <w:bCs/>
          <w:sz w:val="21"/>
          <w:szCs w:val="21"/>
          <w:u w:val="single"/>
        </w:rPr>
        <w:t>日前将当月实际完成的各部位的已完工程量报告送</w:t>
      </w:r>
      <w:r>
        <w:rPr>
          <w:rFonts w:hint="eastAsia" w:ascii="宋体" w:hAnsi="宋体" w:eastAsia="宋体" w:cs="宋体"/>
          <w:bCs/>
          <w:color w:val="auto"/>
          <w:sz w:val="21"/>
          <w:szCs w:val="21"/>
          <w:u w:val="single"/>
        </w:rPr>
        <w:t>交监理工程师</w:t>
      </w:r>
      <w:r>
        <w:rPr>
          <w:rFonts w:hint="eastAsia" w:ascii="宋体" w:hAnsi="宋体" w:eastAsia="宋体" w:cs="宋体"/>
          <w:bCs/>
          <w:color w:val="auto"/>
          <w:sz w:val="21"/>
          <w:szCs w:val="21"/>
        </w:rPr>
        <w:t>。</w:t>
      </w:r>
    </w:p>
    <w:p w14:paraId="65ABB66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12.4.2 进度付款申请单的编制</w:t>
      </w:r>
    </w:p>
    <w:p w14:paraId="460518A9">
      <w:pPr>
        <w:autoSpaceDE w:val="0"/>
        <w:autoSpaceDN w:val="0"/>
        <w:adjustRightInd w:val="0"/>
        <w:snapToGrid w:val="0"/>
        <w:spacing w:line="360" w:lineRule="auto"/>
        <w:ind w:firstLine="420" w:firstLineChars="200"/>
        <w:jc w:val="left"/>
        <w:rPr>
          <w:rFonts w:hint="eastAsia" w:ascii="宋体" w:hAnsi="宋体" w:eastAsia="宋体" w:cs="Times New Roman"/>
          <w:b/>
          <w:bCs/>
          <w:color w:val="0000FF"/>
          <w:kern w:val="0"/>
          <w:sz w:val="21"/>
          <w:szCs w:val="21"/>
          <w:highlight w:val="none"/>
          <w:u w:val="single"/>
          <w:lang w:val="en-US" w:eastAsia="zh-CN"/>
        </w:rPr>
      </w:pPr>
      <w:r>
        <w:rPr>
          <w:rFonts w:hint="eastAsia" w:ascii="宋体" w:hAnsi="宋体" w:eastAsia="宋体" w:cs="宋体"/>
          <w:bCs/>
          <w:color w:val="auto"/>
          <w:sz w:val="21"/>
          <w:szCs w:val="21"/>
        </w:rPr>
        <w:t>关于进度付款申请单编制的约定：</w:t>
      </w:r>
      <w:r>
        <w:rPr>
          <w:rFonts w:hint="eastAsia" w:ascii="宋体" w:hAnsi="宋体" w:eastAsia="宋体" w:cs="Times New Roman"/>
          <w:b/>
          <w:bCs/>
          <w:color w:val="0000FF"/>
          <w:kern w:val="0"/>
          <w:sz w:val="21"/>
          <w:szCs w:val="21"/>
          <w:highlight w:val="none"/>
          <w:u w:val="single"/>
          <w:lang w:val="en-US" w:eastAsia="zh-CN"/>
        </w:rPr>
        <w:t>发包人向承包人支付当期按12.1、12.3款计量合格工程量价款的80%（含</w:t>
      </w:r>
      <w:r>
        <w:rPr>
          <w:rFonts w:hint="eastAsia" w:ascii="宋体" w:hAnsi="宋体" w:cs="Times New Roman"/>
          <w:b/>
          <w:bCs/>
          <w:color w:val="0000FF"/>
          <w:kern w:val="0"/>
          <w:sz w:val="21"/>
          <w:szCs w:val="21"/>
          <w:highlight w:val="none"/>
          <w:u w:val="single"/>
          <w:lang w:val="en-US" w:eastAsia="zh-CN"/>
        </w:rPr>
        <w:t>3</w:t>
      </w:r>
      <w:r>
        <w:rPr>
          <w:rFonts w:hint="eastAsia" w:ascii="宋体" w:hAnsi="宋体" w:eastAsia="宋体" w:cs="Times New Roman"/>
          <w:b/>
          <w:bCs/>
          <w:color w:val="0000FF"/>
          <w:kern w:val="0"/>
          <w:sz w:val="21"/>
          <w:szCs w:val="21"/>
          <w:highlight w:val="none"/>
          <w:u w:val="single"/>
          <w:lang w:val="en-US" w:eastAsia="zh-CN"/>
        </w:rPr>
        <w:t>0%预付款）。工程完工，验收达到要求的质量标准等级及竣工备案（如有）后，付至经发包人确认的已完成工程量的85%（含40预付款）；发包人收到承包人递交的竣工结算报告及完整的结算资料后，经有资质的工程造价咨询机构审定后，在3个月内核实并付至工程结算价的98.5%，余下1.5%作为工程质量保修金（不计息）。其余按合同通用条款。</w:t>
      </w:r>
    </w:p>
    <w:p w14:paraId="0D2CBDDC">
      <w:pPr>
        <w:autoSpaceDE w:val="0"/>
        <w:autoSpaceDN w:val="0"/>
        <w:adjustRightInd w:val="0"/>
        <w:snapToGrid w:val="0"/>
        <w:spacing w:line="360" w:lineRule="auto"/>
        <w:ind w:firstLine="422" w:firstLineChars="200"/>
        <w:jc w:val="left"/>
        <w:rPr>
          <w:rFonts w:hint="eastAsia" w:ascii="宋体" w:hAnsi="宋体" w:eastAsia="宋体" w:cs="Times New Roman"/>
          <w:b/>
          <w:bCs/>
          <w:color w:val="0000FF"/>
          <w:kern w:val="0"/>
          <w:sz w:val="21"/>
          <w:szCs w:val="21"/>
          <w:highlight w:val="none"/>
          <w:u w:val="single"/>
          <w:lang w:val="en-US" w:eastAsia="zh-CN"/>
        </w:rPr>
      </w:pPr>
      <w:r>
        <w:rPr>
          <w:rFonts w:hint="eastAsia" w:ascii="宋体" w:hAnsi="宋体" w:eastAsia="宋体" w:cs="Times New Roman"/>
          <w:b/>
          <w:bCs/>
          <w:color w:val="0000FF"/>
          <w:kern w:val="0"/>
          <w:sz w:val="21"/>
          <w:szCs w:val="21"/>
          <w:highlight w:val="none"/>
          <w:u w:val="single"/>
          <w:lang w:val="en-US" w:eastAsia="zh-CN"/>
        </w:rPr>
        <w:t>承包人如采用银行保函〔保险保函〕等形式向发包人提供与质保期时间一致的工程质量保证金保函后（保函或保单的费用由承包人自行承担），可付至工程结算价的100%。</w:t>
      </w:r>
    </w:p>
    <w:p w14:paraId="5AFACBF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i w:val="0"/>
          <w:iCs/>
          <w:sz w:val="21"/>
          <w:szCs w:val="21"/>
        </w:rPr>
      </w:pPr>
      <w:r>
        <w:rPr>
          <w:rFonts w:hint="eastAsia" w:ascii="宋体" w:hAnsi="宋体" w:eastAsia="宋体" w:cs="宋体"/>
          <w:i w:val="0"/>
          <w:iCs/>
          <w:sz w:val="21"/>
          <w:szCs w:val="21"/>
        </w:rPr>
        <w:t>政府性投资项目工程变更工程款支付条款：</w:t>
      </w:r>
      <w:r>
        <w:rPr>
          <w:rFonts w:hint="eastAsia" w:ascii="宋体" w:hAnsi="宋体" w:eastAsia="宋体" w:cs="宋体"/>
          <w:i w:val="0"/>
          <w:iCs/>
          <w:sz w:val="21"/>
          <w:szCs w:val="21"/>
          <w:u w:val="single"/>
        </w:rPr>
        <w:t>应按照仙居县人民政府仙居县人民政府关于印发《仙居县政府投资项目工程变更管理办法》的通知（仙政发〔2022〕8号）、仙政办发〔2022〕39号《仙居县国有资本投资项目工程变更管理办法》的规定报批和仙居县发展和改革局、仙居县财政局、仙居县监察局《关于印发仙居县政府投资项目工程变更审批实施细则的通知》（仙发改投资[2008]81号）的规定执行。以上规定如有变化的，按相关部门要求执行。</w:t>
      </w:r>
    </w:p>
    <w:p w14:paraId="3ACF269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12.4.3 进度付款申请单的提交</w:t>
      </w:r>
    </w:p>
    <w:p w14:paraId="6E2E9A4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（1）单价合同进度付款申请单提交的约定：</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58AF4C9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（2）总价合同进度付款申请单提交的约定：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EB952D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（3）其他价格形式合同进度付款申请单提交的约定：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F1A690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12.4.4 进度款审核和支付</w:t>
      </w:r>
    </w:p>
    <w:p w14:paraId="0632F06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（1）监理人审查并报送发包人的期限：</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5C675E7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发包人完成审批并签发进度款支付证书的期限：</w:t>
      </w:r>
      <w:r>
        <w:rPr>
          <w:rFonts w:hint="eastAsia" w:ascii="宋体" w:hAnsi="宋体" w:eastAsia="宋体" w:cs="宋体"/>
          <w:sz w:val="21"/>
          <w:szCs w:val="21"/>
          <w:u w:val="single"/>
        </w:rPr>
        <w:t>按合同通用条款</w:t>
      </w:r>
      <w:r>
        <w:rPr>
          <w:rFonts w:hint="eastAsia" w:ascii="宋体" w:hAnsi="宋体" w:eastAsia="宋体" w:cs="宋体"/>
          <w:sz w:val="21"/>
          <w:szCs w:val="21"/>
        </w:rPr>
        <w:t>。</w:t>
      </w:r>
    </w:p>
    <w:p w14:paraId="7FE54D1F">
      <w:pPr>
        <w:keepNext w:val="0"/>
        <w:keepLines w:val="0"/>
        <w:pageBreakBefore w:val="0"/>
        <w:kinsoku/>
        <w:wordWrap/>
        <w:overflowPunct/>
        <w:topLinePunct w:val="0"/>
        <w:bidi w:val="0"/>
        <w:adjustRightInd w:val="0"/>
        <w:snapToGrid w:val="0"/>
        <w:spacing w:line="360" w:lineRule="exact"/>
        <w:ind w:left="420"/>
        <w:textAlignment w:val="auto"/>
        <w:rPr>
          <w:rFonts w:hint="eastAsia" w:ascii="宋体" w:hAnsi="宋体" w:eastAsia="宋体" w:cs="宋体"/>
          <w:sz w:val="21"/>
          <w:szCs w:val="21"/>
        </w:rPr>
      </w:pPr>
      <w:r>
        <w:rPr>
          <w:rFonts w:hint="eastAsia" w:ascii="宋体" w:hAnsi="宋体" w:eastAsia="宋体" w:cs="宋体"/>
          <w:sz w:val="21"/>
          <w:szCs w:val="21"/>
        </w:rPr>
        <w:t>（2）发包人支付进度款的期限：</w:t>
      </w:r>
      <w:r>
        <w:rPr>
          <w:rFonts w:hint="eastAsia" w:ascii="宋体" w:hAnsi="宋体" w:eastAsia="宋体" w:cs="宋体"/>
          <w:sz w:val="21"/>
          <w:szCs w:val="21"/>
          <w:u w:val="single"/>
        </w:rPr>
        <w:t>在发包人确认计量结果后14天内完成支付</w:t>
      </w:r>
      <w:r>
        <w:rPr>
          <w:rFonts w:hint="eastAsia" w:ascii="宋体" w:hAnsi="宋体" w:eastAsia="宋体" w:cs="宋体"/>
          <w:sz w:val="21"/>
          <w:szCs w:val="21"/>
        </w:rPr>
        <w:t>。</w:t>
      </w:r>
    </w:p>
    <w:p w14:paraId="7DB0474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发包人逾期支付进度款的违约金的计算方式：</w:t>
      </w:r>
      <w:r>
        <w:rPr>
          <w:rFonts w:hint="eastAsia" w:ascii="宋体" w:hAnsi="宋体" w:eastAsia="宋体" w:cs="宋体"/>
          <w:sz w:val="21"/>
          <w:szCs w:val="21"/>
          <w:u w:val="single"/>
        </w:rPr>
        <w:t>支付应付工程进度（备料）款的利息，利率按中国人民银行发布的同期同类贷款基准利率，时间为从约定应付之日起至支付之日止计算利息。</w:t>
      </w:r>
    </w:p>
    <w:p w14:paraId="5B13D9A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（3）</w:t>
      </w:r>
      <w:r>
        <w:rPr>
          <w:rFonts w:hint="eastAsia" w:ascii="宋体" w:hAnsi="宋体" w:eastAsia="宋体" w:cs="宋体"/>
          <w:sz w:val="21"/>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2DA0444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12.4.6 支付分解表的编制</w:t>
      </w:r>
    </w:p>
    <w:p w14:paraId="1F001F1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2、总价合同支付分解表的编制与审批：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A58328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3、单价合同的总价项目支付分解表的编制与审批：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48D508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12.5 支付账户：</w:t>
      </w:r>
    </w:p>
    <w:p w14:paraId="3E400EC1">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发包人将当期应付工程进度款的(</w:t>
      </w:r>
      <w:r>
        <w:rPr>
          <w:rFonts w:hint="eastAsia" w:ascii="宋体" w:hAnsi="宋体" w:eastAsia="宋体" w:cs="宋体"/>
          <w:sz w:val="21"/>
          <w:szCs w:val="21"/>
          <w:u w:val="single"/>
          <w:lang w:val="en-US" w:eastAsia="zh-CN"/>
        </w:rPr>
        <w:t xml:space="preserve"> 20</w:t>
      </w:r>
      <w:r>
        <w:rPr>
          <w:rFonts w:hint="eastAsia" w:ascii="宋体" w:hAnsi="宋体" w:eastAsia="宋体" w:cs="宋体"/>
          <w:sz w:val="21"/>
          <w:szCs w:val="21"/>
          <w:u w:val="single"/>
        </w:rPr>
        <w:t>)%</w:t>
      </w:r>
      <w:r>
        <w:rPr>
          <w:rFonts w:hint="eastAsia" w:ascii="宋体" w:hAnsi="宋体" w:eastAsia="宋体" w:cs="宋体"/>
          <w:color w:val="auto"/>
          <w:sz w:val="21"/>
          <w:szCs w:val="21"/>
          <w:highlight w:val="none"/>
          <w:u w:val="single"/>
        </w:rPr>
        <w:t>〔房屋建筑、装饰、桥梁为20%，给排水工程为14%，隧道工程、道路桥梁组合工程为12%，城市轨道土建工程为10%，道路工程为8%〕</w:t>
      </w:r>
      <w:r>
        <w:rPr>
          <w:rFonts w:hint="eastAsia" w:ascii="宋体" w:hAnsi="宋体" w:eastAsia="宋体" w:cs="宋体"/>
          <w:sz w:val="21"/>
          <w:szCs w:val="21"/>
          <w:u w:val="single"/>
        </w:rPr>
        <w:t xml:space="preserve"> 拨付到承包人的农民工工资专用账</w:t>
      </w:r>
      <w:r>
        <w:rPr>
          <w:rFonts w:hint="eastAsia" w:ascii="宋体" w:hAnsi="宋体" w:eastAsia="宋体" w:cs="宋体"/>
          <w:sz w:val="21"/>
          <w:szCs w:val="21"/>
        </w:rPr>
        <w:t>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其余合同价款支付至合同协议书中约定的承包人账户。</w:t>
      </w:r>
    </w:p>
    <w:p w14:paraId="61E07CC3">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如承包人因经营需要将工程款支付至其他指定账户时，应向发包人书面申请，并由承包人法定代表人或授权代表签字、盖章。</w:t>
      </w:r>
    </w:p>
    <w:p w14:paraId="08BAE30B">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13. 验收和工程试车</w:t>
      </w:r>
    </w:p>
    <w:p w14:paraId="402583C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13.1 分部分项工程验收</w:t>
      </w:r>
    </w:p>
    <w:p w14:paraId="06ABDF5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13.1.2监理人不能按时进行验收时，应提前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14:paraId="10ABDCD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24   </w:t>
      </w:r>
      <w:r>
        <w:rPr>
          <w:rFonts w:hint="eastAsia" w:ascii="宋体" w:hAnsi="宋体" w:eastAsia="宋体" w:cs="宋体"/>
          <w:sz w:val="21"/>
          <w:szCs w:val="21"/>
        </w:rPr>
        <w:t>小时。</w:t>
      </w:r>
    </w:p>
    <w:p w14:paraId="2729B9B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工程验收过程、验收部位除办理纸质验收记录，还应留置验收部位、验收过程、主要验收人员相片、影像等资料。</w:t>
      </w:r>
    </w:p>
    <w:p w14:paraId="780EDEA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 竣工验收</w:t>
      </w:r>
    </w:p>
    <w:p w14:paraId="1DCEE73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13.2.2竣工验收程序</w:t>
      </w:r>
    </w:p>
    <w:p w14:paraId="3EA1992B">
      <w:pPr>
        <w:keepNext w:val="0"/>
        <w:keepLines w:val="0"/>
        <w:pageBreakBefore w:val="0"/>
        <w:widowControl/>
        <w:kinsoku/>
        <w:wordWrap/>
        <w:overflowPunct/>
        <w:topLinePunct w:val="0"/>
        <w:bidi w:val="0"/>
        <w:snapToGrid w:val="0"/>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关于竣工验收程序的约定</w:t>
      </w:r>
      <w:r>
        <w:rPr>
          <w:rFonts w:hint="eastAsia" w:ascii="宋体" w:hAnsi="宋体" w:eastAsia="宋体" w:cs="宋体"/>
          <w:sz w:val="21"/>
          <w:szCs w:val="21"/>
          <w:u w:val="single"/>
        </w:rPr>
        <w:t xml:space="preserve">：按通用条款执行 </w:t>
      </w:r>
      <w:r>
        <w:rPr>
          <w:rFonts w:hint="eastAsia" w:ascii="宋体" w:hAnsi="宋体" w:eastAsia="宋体" w:cs="宋体"/>
          <w:sz w:val="21"/>
          <w:szCs w:val="21"/>
        </w:rPr>
        <w:t>。</w:t>
      </w:r>
    </w:p>
    <w:p w14:paraId="582158A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其他工程竣工验收程序的约定</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1628A91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eastAsia="宋体" w:cs="宋体"/>
          <w:sz w:val="21"/>
          <w:szCs w:val="21"/>
        </w:rPr>
        <w:t>。</w:t>
      </w:r>
      <w:r>
        <w:rPr>
          <w:rFonts w:hint="eastAsia" w:ascii="宋体" w:hAnsi="宋体" w:eastAsia="宋体" w:cs="宋体"/>
          <w:sz w:val="21"/>
          <w:szCs w:val="21"/>
          <w:u w:val="single"/>
        </w:rPr>
        <w:t>承包人须配合发包人进行工程竣工验收。</w:t>
      </w:r>
    </w:p>
    <w:p w14:paraId="71DC549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发包人不按照本项约定组织竣工验收、颁发工程接收证书的违约金的计算方法：</w:t>
      </w:r>
      <w:r>
        <w:rPr>
          <w:rFonts w:hint="eastAsia" w:ascii="宋体" w:hAnsi="宋体" w:eastAsia="宋体" w:cs="宋体"/>
          <w:sz w:val="21"/>
          <w:szCs w:val="21"/>
          <w:u w:val="single"/>
        </w:rPr>
        <w:t>不计违约金</w:t>
      </w:r>
      <w:r>
        <w:rPr>
          <w:rFonts w:hint="eastAsia" w:ascii="宋体" w:hAnsi="宋体" w:eastAsia="宋体" w:cs="宋体"/>
          <w:sz w:val="21"/>
          <w:szCs w:val="21"/>
        </w:rPr>
        <w:t>。</w:t>
      </w:r>
    </w:p>
    <w:p w14:paraId="3A4C1C6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因发包人原因，未在监理人接收到承包人提交的竣工验收申请报告42天内完成验收，或完成验收不予签发工程接收证书的，以提交竣工验收申请报告的日期为实际竣工日期。</w:t>
      </w:r>
    </w:p>
    <w:p w14:paraId="6CA3C93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13.2.3竣工日期</w:t>
      </w:r>
    </w:p>
    <w:p w14:paraId="20A64A1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（1）承包人完成合同范围内的全部工程以及有关工作，工程经验收合格的，以承包人提交验收申请报告之日为计算合同工期终止日。</w:t>
      </w:r>
    </w:p>
    <w:p w14:paraId="7452731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（2）其余按通用合同条款。</w:t>
      </w:r>
    </w:p>
    <w:p w14:paraId="3384A41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13.2.5移交、接收全部与部分工程</w:t>
      </w:r>
    </w:p>
    <w:p w14:paraId="13138CC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承包人向发包人移交工程的期限：</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2016DB4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发包人未按本合同约定接收全部或部分工程的，违约金的计算方法为：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C5E734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承包人未按时移交工程的，违约金的计算方法为：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B76758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13.3 工程试车</w:t>
      </w:r>
    </w:p>
    <w:p w14:paraId="093339E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13.3.1 试车程序</w:t>
      </w:r>
    </w:p>
    <w:p w14:paraId="2EA9AC9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工程试车内容：</w:t>
      </w:r>
      <w:r>
        <w:rPr>
          <w:rFonts w:hint="eastAsia" w:ascii="宋体" w:hAnsi="宋体" w:eastAsia="宋体" w:cs="宋体"/>
          <w:sz w:val="21"/>
          <w:szCs w:val="21"/>
          <w:u w:val="single"/>
        </w:rPr>
        <w:t xml:space="preserve">                /                        。</w:t>
      </w:r>
    </w:p>
    <w:p w14:paraId="1D4971A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（1）单机无负荷试车费用由</w:t>
      </w:r>
      <w:r>
        <w:rPr>
          <w:rFonts w:hint="eastAsia" w:ascii="宋体" w:hAnsi="宋体" w:eastAsia="宋体" w:cs="宋体"/>
          <w:sz w:val="21"/>
          <w:szCs w:val="21"/>
          <w:u w:val="single"/>
        </w:rPr>
        <w:t xml:space="preserve">         /            </w:t>
      </w:r>
      <w:r>
        <w:rPr>
          <w:rFonts w:hint="eastAsia" w:ascii="宋体" w:hAnsi="宋体" w:eastAsia="宋体" w:cs="宋体"/>
          <w:sz w:val="21"/>
          <w:szCs w:val="21"/>
        </w:rPr>
        <w:t>承担；</w:t>
      </w:r>
    </w:p>
    <w:p w14:paraId="353E76A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（2）无负荷联动试车费用由</w:t>
      </w:r>
      <w:r>
        <w:rPr>
          <w:rFonts w:hint="eastAsia" w:ascii="宋体" w:hAnsi="宋体" w:eastAsia="宋体" w:cs="宋体"/>
          <w:sz w:val="21"/>
          <w:szCs w:val="21"/>
          <w:u w:val="single"/>
        </w:rPr>
        <w:t xml:space="preserve">           /          </w:t>
      </w:r>
      <w:r>
        <w:rPr>
          <w:rFonts w:hint="eastAsia" w:ascii="宋体" w:hAnsi="宋体" w:eastAsia="宋体" w:cs="宋体"/>
          <w:sz w:val="21"/>
          <w:szCs w:val="21"/>
        </w:rPr>
        <w:t>承担。</w:t>
      </w:r>
    </w:p>
    <w:p w14:paraId="772AA5F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13.3.3 投料试车</w:t>
      </w:r>
    </w:p>
    <w:p w14:paraId="7AE7319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关于投料试车相关事项的约定：</w:t>
      </w:r>
      <w:r>
        <w:rPr>
          <w:rFonts w:hint="eastAsia" w:ascii="宋体" w:hAnsi="宋体" w:eastAsia="宋体" w:cs="宋体"/>
          <w:sz w:val="21"/>
          <w:szCs w:val="21"/>
          <w:u w:val="single"/>
        </w:rPr>
        <w:t xml:space="preserve">         /                  </w:t>
      </w:r>
    </w:p>
    <w:p w14:paraId="5CD873B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13.6 竣工退场</w:t>
      </w:r>
    </w:p>
    <w:p w14:paraId="5D3746E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13.6.1 竣工退场</w:t>
      </w:r>
    </w:p>
    <w:p w14:paraId="79C7533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承包人完成竣工退场的期限：</w:t>
      </w:r>
      <w:r>
        <w:rPr>
          <w:rFonts w:hint="eastAsia" w:ascii="宋体" w:hAnsi="宋体" w:eastAsia="宋体" w:cs="宋体"/>
          <w:sz w:val="21"/>
          <w:szCs w:val="21"/>
          <w:u w:val="single"/>
        </w:rPr>
        <w:t xml:space="preserve">颁发工程接收证书后7天内  </w:t>
      </w:r>
      <w:r>
        <w:rPr>
          <w:rFonts w:hint="eastAsia" w:ascii="宋体" w:hAnsi="宋体" w:eastAsia="宋体" w:cs="宋体"/>
          <w:sz w:val="21"/>
          <w:szCs w:val="21"/>
        </w:rPr>
        <w:t>。</w:t>
      </w:r>
    </w:p>
    <w:p w14:paraId="7BB90285">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13.6.2地表还原</w:t>
      </w:r>
    </w:p>
    <w:p w14:paraId="6A3E24D0">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0337CB94">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本工程场地恢复的要求：</w:t>
      </w:r>
    </w:p>
    <w:p w14:paraId="5ACEC66F">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（1）清理完成施工现场垃圾，临建的拆除与场地复原；</w:t>
      </w:r>
    </w:p>
    <w:p w14:paraId="40238D69">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（2）施工后废弃材料、设备清理撤离；</w:t>
      </w:r>
    </w:p>
    <w:p w14:paraId="4485419C">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（3）承包人造成的施工现场周边施工堆积物及场地清理。</w:t>
      </w:r>
    </w:p>
    <w:p w14:paraId="7D7EA83F">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（4）其它要求：</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44EEF37A">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14. 竣工结算</w:t>
      </w:r>
    </w:p>
    <w:p w14:paraId="53D3E7F8">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14.1竣工付款申请</w:t>
      </w:r>
    </w:p>
    <w:p w14:paraId="0591D334">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1.承包人提交竣工付款单的期限：</w:t>
      </w:r>
    </w:p>
    <w:p w14:paraId="4F8002AD">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四套。</w:t>
      </w:r>
    </w:p>
    <w:p w14:paraId="0128BA6A">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工程验收后，承包人超过90天未提交最终工程结算资料，经发包人催告后28天，承包人还不提交工程结算资料的，发包人可根据自己资料办理工程结算，且视为承包人认可工程结算结果。</w:t>
      </w:r>
    </w:p>
    <w:p w14:paraId="0406CF37">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Times New Roman"/>
          <w:color w:val="auto"/>
          <w:sz w:val="21"/>
          <w:szCs w:val="21"/>
          <w:highlight w:val="none"/>
        </w:rPr>
        <w:t>竣工付款申请单应包括的内容：</w:t>
      </w:r>
      <w:r>
        <w:rPr>
          <w:rFonts w:hint="eastAsia" w:ascii="宋体" w:hAnsi="宋体" w:eastAsia="宋体" w:cs="宋体"/>
          <w:color w:val="auto"/>
          <w:sz w:val="21"/>
          <w:szCs w:val="21"/>
          <w:highlight w:val="none"/>
          <w:u w:val="single"/>
        </w:rPr>
        <w:t>包括但不限于施工合同、补充协议、招标文件、投标文件、竣工图纸、施工方案以及经确认的工程变更、工程索赔、现场签证，相关施工记录，〔各分段节点工程结算审核报告</w:t>
      </w:r>
      <w:r>
        <w:rPr>
          <w:rFonts w:hint="eastAsia" w:ascii="宋体" w:hAnsi="宋体" w:eastAsia="宋体" w:cs="宋体"/>
          <w:sz w:val="21"/>
          <w:szCs w:val="21"/>
          <w:u w:val="single"/>
          <w:lang w:bidi="ar"/>
        </w:rPr>
        <w:t>（如有）</w:t>
      </w:r>
      <w:r>
        <w:rPr>
          <w:rFonts w:hint="eastAsia" w:ascii="宋体" w:hAnsi="宋体" w:eastAsia="宋体" w:cs="宋体"/>
          <w:color w:val="auto"/>
          <w:sz w:val="21"/>
          <w:szCs w:val="21"/>
          <w:highlight w:val="none"/>
          <w:u w:val="single"/>
        </w:rPr>
        <w:t>〕工程款收款证明、逾期付款利息计算书等相关资料</w:t>
      </w:r>
      <w:r>
        <w:rPr>
          <w:rFonts w:hint="eastAsia" w:ascii="宋体" w:hAnsi="宋体" w:eastAsia="宋体" w:cs="Times New Roman"/>
          <w:color w:val="auto"/>
          <w:sz w:val="21"/>
          <w:szCs w:val="21"/>
          <w:highlight w:val="none"/>
        </w:rPr>
        <w:t>。</w:t>
      </w:r>
    </w:p>
    <w:p w14:paraId="745928F7">
      <w:pPr>
        <w:keepNext w:val="0"/>
        <w:keepLines w:val="0"/>
        <w:pageBreakBefore w:val="0"/>
        <w:widowControl/>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lang w:bidi="ar"/>
        </w:rPr>
        <w:t>2.竣工结算申请单应包括的内容：</w:t>
      </w:r>
      <w:r>
        <w:rPr>
          <w:rFonts w:hint="eastAsia" w:ascii="宋体" w:hAnsi="宋体" w:eastAsia="宋体" w:cs="宋体"/>
          <w:sz w:val="21"/>
          <w:szCs w:val="21"/>
          <w:u w:val="single"/>
          <w:lang w:bidi="ar"/>
        </w:rPr>
        <w:t>包括但不限于施工合同、补充协议、招标文件、投标文件、竣工图纸、施工方案以及经确认的工程变更、工程索赔、现场签证，相关施工记录，〔各分段节点工程结算审核报告（如有）〕工程款收款证明、逾期付款利息计算书等相关资料。</w:t>
      </w:r>
    </w:p>
    <w:p w14:paraId="1BB4B22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14.2 竣工结算审核</w:t>
      </w:r>
    </w:p>
    <w:p w14:paraId="41CE6AA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（1）发包人结算审核时间：</w:t>
      </w:r>
      <w:r>
        <w:rPr>
          <w:rFonts w:hint="eastAsia" w:ascii="宋体" w:hAnsi="宋体" w:eastAsia="宋体" w:cs="宋体"/>
          <w:sz w:val="21"/>
          <w:szCs w:val="21"/>
          <w:u w:val="single"/>
        </w:rPr>
        <w:t>发包人收到承包人递交的竣工结算报告及结算资料后，在3个月内审核完毕，并签发竣工结算证书。</w:t>
      </w:r>
    </w:p>
    <w:p w14:paraId="20E26D5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6F88D77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20347EC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3BCC2C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（4）结算特殊要求：</w:t>
      </w:r>
      <w:r>
        <w:rPr>
          <w:rFonts w:hint="eastAsia" w:ascii="宋体" w:hAnsi="宋体" w:eastAsia="宋体" w:cs="宋体"/>
          <w:sz w:val="21"/>
          <w:szCs w:val="21"/>
          <w:u w:val="single"/>
        </w:rPr>
        <w:t>工程结算按政府有关管理规定，由相关部门审核，结算核减率超过5%时，则超过部分的审核费（基数为超过送审造价5％的幅度以外的核减额）由承包人负责。</w:t>
      </w:r>
    </w:p>
    <w:p w14:paraId="4C4759F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14.4 最终结清</w:t>
      </w:r>
    </w:p>
    <w:p w14:paraId="09F8AB2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14.4.1 最终结清申请单</w:t>
      </w:r>
    </w:p>
    <w:p w14:paraId="60D82BF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承包人提交最终结清申请单的份数：</w:t>
      </w:r>
      <w:r>
        <w:rPr>
          <w:rFonts w:hint="eastAsia" w:ascii="宋体" w:hAnsi="宋体" w:eastAsia="宋体" w:cs="宋体"/>
          <w:sz w:val="21"/>
          <w:szCs w:val="21"/>
          <w:u w:val="single"/>
        </w:rPr>
        <w:t xml:space="preserve"> 满足发包人及相关部门审查要求    </w:t>
      </w:r>
      <w:r>
        <w:rPr>
          <w:rFonts w:hint="eastAsia" w:ascii="宋体" w:hAnsi="宋体" w:eastAsia="宋体" w:cs="宋体"/>
          <w:sz w:val="21"/>
          <w:szCs w:val="21"/>
        </w:rPr>
        <w:t>。</w:t>
      </w:r>
    </w:p>
    <w:p w14:paraId="25DFA93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承包人提交最终结算申请单的期限：</w:t>
      </w:r>
      <w:r>
        <w:rPr>
          <w:rFonts w:hint="eastAsia" w:ascii="宋体" w:hAnsi="宋体" w:eastAsia="宋体" w:cs="宋体"/>
          <w:sz w:val="21"/>
          <w:szCs w:val="21"/>
          <w:u w:val="single"/>
        </w:rPr>
        <w:t xml:space="preserve">  缺陷责任期终止后7天内     </w:t>
      </w:r>
      <w:r>
        <w:rPr>
          <w:rFonts w:hint="eastAsia" w:ascii="宋体" w:hAnsi="宋体" w:eastAsia="宋体" w:cs="宋体"/>
          <w:sz w:val="21"/>
          <w:szCs w:val="21"/>
        </w:rPr>
        <w:t xml:space="preserve">。 </w:t>
      </w:r>
    </w:p>
    <w:p w14:paraId="00620F2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14.4.2 最终结清证书和支付</w:t>
      </w:r>
    </w:p>
    <w:p w14:paraId="59F1E14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（1）发包人完成最终结清申请单的审批并颁发最终结清证书的期限：</w:t>
      </w:r>
      <w:r>
        <w:rPr>
          <w:rFonts w:hint="eastAsia" w:ascii="宋体" w:hAnsi="宋体" w:eastAsia="宋体" w:cs="宋体"/>
          <w:sz w:val="21"/>
          <w:szCs w:val="21"/>
          <w:highlight w:val="none"/>
          <w:u w:val="single"/>
        </w:rPr>
        <w:t xml:space="preserve">按通用条款  </w:t>
      </w:r>
      <w:r>
        <w:rPr>
          <w:rFonts w:hint="eastAsia" w:ascii="宋体" w:hAnsi="宋体" w:eastAsia="宋体" w:cs="宋体"/>
          <w:sz w:val="21"/>
          <w:szCs w:val="21"/>
          <w:highlight w:val="none"/>
        </w:rPr>
        <w:t>。</w:t>
      </w:r>
    </w:p>
    <w:p w14:paraId="1E37DC5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（2）发包人完成支付的期限：</w:t>
      </w:r>
      <w:r>
        <w:rPr>
          <w:rFonts w:hint="eastAsia" w:ascii="宋体" w:hAnsi="宋体" w:eastAsia="宋体" w:cs="宋体"/>
          <w:sz w:val="21"/>
          <w:szCs w:val="21"/>
          <w:highlight w:val="none"/>
          <w:u w:val="single"/>
        </w:rPr>
        <w:t xml:space="preserve">按通用条款  </w:t>
      </w:r>
      <w:r>
        <w:rPr>
          <w:rFonts w:hint="eastAsia" w:ascii="宋体" w:hAnsi="宋体" w:eastAsia="宋体" w:cs="宋体"/>
          <w:sz w:val="21"/>
          <w:szCs w:val="21"/>
          <w:highlight w:val="none"/>
        </w:rPr>
        <w:t>。</w:t>
      </w:r>
    </w:p>
    <w:p w14:paraId="263F7823">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15. 缺陷责任期与保修</w:t>
      </w:r>
    </w:p>
    <w:p w14:paraId="765EC1A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15.2缺陷责任期</w:t>
      </w:r>
    </w:p>
    <w:p w14:paraId="67B3A44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lang w:eastAsia="zh-CN"/>
        </w:rPr>
        <w:t>工程</w:t>
      </w:r>
      <w:r>
        <w:rPr>
          <w:rFonts w:hint="eastAsia" w:ascii="宋体" w:hAnsi="宋体" w:eastAsia="宋体" w:cs="宋体"/>
          <w:color w:val="auto"/>
          <w:sz w:val="21"/>
          <w:szCs w:val="21"/>
          <w:highlight w:val="none"/>
          <w:u w:val="single"/>
        </w:rPr>
        <w:t>缺陷责任期</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个月</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缺陷责任期自工程竣工验收合格之日起计算。</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，其余按通用条款执行</w:t>
      </w:r>
      <w:r>
        <w:rPr>
          <w:rFonts w:hint="eastAsia" w:ascii="宋体" w:hAnsi="宋体" w:eastAsia="宋体" w:cs="宋体"/>
          <w:color w:val="auto"/>
          <w:sz w:val="21"/>
          <w:szCs w:val="21"/>
          <w:highlight w:val="none"/>
        </w:rPr>
        <w:t>。</w:t>
      </w:r>
    </w:p>
    <w:p w14:paraId="5F4AC70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15.3 质量保证金</w:t>
      </w:r>
    </w:p>
    <w:p w14:paraId="4D52BDD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关于是否扣留质量保证金的约定：</w:t>
      </w:r>
      <w:r>
        <w:rPr>
          <w:rFonts w:hint="eastAsia" w:ascii="宋体" w:hAnsi="宋体" w:eastAsia="宋体" w:cs="宋体"/>
          <w:sz w:val="21"/>
          <w:szCs w:val="21"/>
          <w:highlight w:val="none"/>
          <w:u w:val="single"/>
        </w:rPr>
        <w:t xml:space="preserve">留置质量保证金 </w:t>
      </w:r>
      <w:r>
        <w:rPr>
          <w:rFonts w:hint="eastAsia" w:ascii="宋体" w:hAnsi="宋体" w:eastAsia="宋体" w:cs="宋体"/>
          <w:sz w:val="21"/>
          <w:szCs w:val="21"/>
          <w:highlight w:val="none"/>
        </w:rPr>
        <w:t>。</w:t>
      </w:r>
    </w:p>
    <w:p w14:paraId="44FF180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15.3.1 承包人提供质量保证金的方式</w:t>
      </w:r>
    </w:p>
    <w:p w14:paraId="50A3286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质量保证金采用以下第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1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w:t>
      </w:r>
    </w:p>
    <w:p w14:paraId="393DD9A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（1）现金或质量保证金保函，</w:t>
      </w:r>
      <w:r>
        <w:rPr>
          <w:rFonts w:hint="eastAsia" w:ascii="宋体" w:hAnsi="宋体" w:eastAsia="宋体" w:cs="宋体"/>
          <w:sz w:val="21"/>
          <w:szCs w:val="21"/>
          <w:highlight w:val="none"/>
          <w:u w:val="single"/>
        </w:rPr>
        <w:t xml:space="preserve">保函形式为银行保函〔保险保函〕，金额为1.5 %的工程结算价款  </w:t>
      </w:r>
      <w:r>
        <w:rPr>
          <w:rFonts w:hint="eastAsia" w:ascii="宋体" w:hAnsi="宋体" w:eastAsia="宋体" w:cs="宋体"/>
          <w:sz w:val="21"/>
          <w:szCs w:val="21"/>
          <w:highlight w:val="none"/>
        </w:rPr>
        <w:t xml:space="preserve">； </w:t>
      </w:r>
    </w:p>
    <w:p w14:paraId="699C2D3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 xml:space="preserve">  1.5 </w:t>
      </w:r>
      <w:r>
        <w:rPr>
          <w:rFonts w:hint="eastAsia" w:ascii="宋体" w:hAnsi="宋体" w:eastAsia="宋体" w:cs="宋体"/>
          <w:sz w:val="21"/>
          <w:szCs w:val="21"/>
          <w:highlight w:val="none"/>
        </w:rPr>
        <w:t>%的工程结算价款；</w:t>
      </w:r>
    </w:p>
    <w:p w14:paraId="67EF2BB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（3）其他方式: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A69CA4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15.3.2 质量保证金的扣留 </w:t>
      </w:r>
    </w:p>
    <w:p w14:paraId="668BBAA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质量保证金的扣留采取以下第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3 </w:t>
      </w:r>
      <w:r>
        <w:rPr>
          <w:rFonts w:hint="eastAsia" w:ascii="宋体" w:hAnsi="宋体" w:eastAsia="宋体" w:cs="宋体"/>
          <w:sz w:val="21"/>
          <w:szCs w:val="21"/>
          <w:u w:val="single"/>
        </w:rPr>
        <w:t xml:space="preserve"> </w:t>
      </w:r>
      <w:r>
        <w:rPr>
          <w:rFonts w:hint="eastAsia" w:ascii="宋体" w:hAnsi="宋体" w:eastAsia="宋体" w:cs="宋体"/>
          <w:sz w:val="21"/>
          <w:szCs w:val="21"/>
        </w:rPr>
        <w:t>种方式：</w:t>
      </w:r>
    </w:p>
    <w:p w14:paraId="5828BFB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（1）在支付工程进度款时逐次扣留，在此情形下，质量保证金的计算基数不包括预付款的支付、扣回以及价格调整的金额；</w:t>
      </w:r>
    </w:p>
    <w:p w14:paraId="7EFBE39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（2）工程竣工结算时一次性扣留质量保证金；</w:t>
      </w:r>
    </w:p>
    <w:p w14:paraId="2771B0E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（3）其他扣留方式:</w:t>
      </w:r>
      <w:r>
        <w:rPr>
          <w:rFonts w:hint="eastAsia" w:ascii="宋体" w:hAnsi="宋体" w:eastAsia="宋体" w:cs="宋体"/>
          <w:sz w:val="21"/>
          <w:szCs w:val="21"/>
          <w:u w:val="single"/>
        </w:rPr>
        <w:t xml:space="preserve">发包人支付完成最后工程结算付款前，承包人提供质量保证金保函  </w:t>
      </w:r>
      <w:r>
        <w:rPr>
          <w:rFonts w:hint="eastAsia" w:ascii="宋体" w:hAnsi="宋体" w:eastAsia="宋体" w:cs="宋体"/>
          <w:sz w:val="21"/>
          <w:szCs w:val="21"/>
        </w:rPr>
        <w:t>。</w:t>
      </w:r>
    </w:p>
    <w:p w14:paraId="7A613C9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关于质量保证金的补充约定：</w:t>
      </w:r>
      <w:r>
        <w:rPr>
          <w:rFonts w:hint="eastAsia" w:ascii="宋体" w:hAnsi="宋体" w:eastAsia="宋体" w:cs="宋体"/>
          <w:b/>
          <w:bCs/>
          <w:kern w:val="0"/>
          <w:sz w:val="21"/>
          <w:szCs w:val="21"/>
          <w:u w:val="single"/>
        </w:rPr>
        <w:t>承包人提供质量保证金保函后,发包人付清工程结算价款。</w:t>
      </w:r>
      <w:r>
        <w:rPr>
          <w:rFonts w:hint="eastAsia" w:ascii="宋体" w:hAnsi="宋体" w:eastAsia="宋体" w:cs="宋体"/>
          <w:b/>
          <w:bCs/>
          <w:sz w:val="21"/>
          <w:szCs w:val="21"/>
          <w:u w:val="single"/>
        </w:rPr>
        <w:t>工程实际竣工验收合格后，工程质量保修期满后，质量保证金保函自动失效（质量保证金保函期限与工程质量保修书保修期限一致）</w:t>
      </w:r>
      <w:r>
        <w:rPr>
          <w:rFonts w:hint="eastAsia" w:ascii="宋体" w:hAnsi="宋体" w:eastAsia="宋体" w:cs="宋体"/>
          <w:b/>
          <w:bCs/>
          <w:sz w:val="21"/>
          <w:szCs w:val="21"/>
          <w:u w:val="single"/>
          <w:lang w:eastAsia="zh-CN"/>
        </w:rPr>
        <w:t>；承包人</w:t>
      </w:r>
      <w:r>
        <w:rPr>
          <w:rFonts w:hint="eastAsia" w:ascii="宋体" w:hAnsi="宋体" w:eastAsia="宋体" w:cs="宋体"/>
          <w:b/>
          <w:bCs/>
          <w:sz w:val="21"/>
          <w:szCs w:val="21"/>
          <w:u w:val="single"/>
          <w:lang w:val="en-US" w:eastAsia="zh-CN"/>
        </w:rPr>
        <w:t>如以现金的方式</w:t>
      </w:r>
      <w:r>
        <w:rPr>
          <w:rFonts w:hint="eastAsia" w:ascii="宋体" w:hAnsi="宋体" w:eastAsia="宋体" w:cs="宋体"/>
          <w:b/>
          <w:bCs/>
          <w:sz w:val="21"/>
          <w:szCs w:val="21"/>
          <w:u w:val="single"/>
          <w:lang w:eastAsia="zh-CN"/>
        </w:rPr>
        <w:t>提供质量保证金，</w:t>
      </w:r>
      <w:r>
        <w:rPr>
          <w:rFonts w:hint="eastAsia" w:ascii="宋体" w:hAnsi="宋体" w:eastAsia="宋体" w:cs="宋体"/>
          <w:b/>
          <w:bCs/>
          <w:sz w:val="21"/>
          <w:szCs w:val="21"/>
          <w:u w:val="single"/>
        </w:rPr>
        <w:t>发包人退还质量保证金不计息</w:t>
      </w:r>
      <w:r>
        <w:rPr>
          <w:rFonts w:hint="eastAsia" w:ascii="宋体" w:hAnsi="宋体" w:eastAsia="宋体" w:cs="宋体"/>
          <w:sz w:val="21"/>
          <w:szCs w:val="21"/>
          <w:u w:val="single"/>
        </w:rPr>
        <w:t>。</w:t>
      </w:r>
    </w:p>
    <w:p w14:paraId="73F596F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15.3.3 质量保证金的退还</w:t>
      </w:r>
    </w:p>
    <w:p w14:paraId="6FEC396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质量保证金按以下第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4 </w:t>
      </w:r>
      <w:r>
        <w:rPr>
          <w:rFonts w:hint="eastAsia" w:ascii="宋体" w:hAnsi="宋体" w:eastAsia="宋体" w:cs="宋体"/>
          <w:sz w:val="21"/>
          <w:szCs w:val="21"/>
          <w:u w:val="single"/>
        </w:rPr>
        <w:t xml:space="preserve"> </w:t>
      </w:r>
      <w:r>
        <w:rPr>
          <w:rFonts w:hint="eastAsia" w:ascii="宋体" w:hAnsi="宋体" w:eastAsia="宋体" w:cs="宋体"/>
          <w:sz w:val="21"/>
          <w:szCs w:val="21"/>
        </w:rPr>
        <w:t>方式退回：</w:t>
      </w:r>
    </w:p>
    <w:p w14:paraId="0A11EB9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（1）缺陷责任期终止后，发包人退还剩余的质量保证金（</w:t>
      </w:r>
      <w:r>
        <w:rPr>
          <w:rFonts w:hint="eastAsia" w:ascii="宋体" w:hAnsi="宋体" w:eastAsia="宋体" w:cs="宋体"/>
          <w:sz w:val="21"/>
          <w:szCs w:val="21"/>
          <w:lang w:eastAsia="zh-CN"/>
        </w:rPr>
        <w:t>不计息</w:t>
      </w:r>
      <w:r>
        <w:rPr>
          <w:rFonts w:hint="eastAsia" w:ascii="宋体" w:hAnsi="宋体" w:eastAsia="宋体" w:cs="宋体"/>
          <w:sz w:val="21"/>
          <w:szCs w:val="21"/>
        </w:rPr>
        <w:t>）。</w:t>
      </w:r>
    </w:p>
    <w:p w14:paraId="1469903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（2）建筑工程：</w:t>
      </w:r>
      <w:r>
        <w:rPr>
          <w:rFonts w:hint="eastAsia" w:ascii="宋体" w:hAnsi="宋体" w:eastAsia="宋体" w:cs="宋体"/>
          <w:sz w:val="21"/>
          <w:szCs w:val="21"/>
          <w:u w:val="single"/>
        </w:rPr>
        <w:t>工程实际竣工验收合格后满一年返还质量保证金的30%，缺陷责任期终止后返还全部预留的质量保证金。</w:t>
      </w:r>
    </w:p>
    <w:p w14:paraId="056019F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（3）市政工程：</w:t>
      </w:r>
      <w:r>
        <w:rPr>
          <w:rFonts w:hint="eastAsia" w:ascii="宋体" w:hAnsi="宋体" w:eastAsia="宋体" w:cs="宋体"/>
          <w:sz w:val="21"/>
          <w:szCs w:val="21"/>
          <w:u w:val="single"/>
        </w:rPr>
        <w:t>工程实际竣工验收合格后满一年可返还质量保证金的30%</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缺陷责任期终止后返还全部预留的质量保证金。</w:t>
      </w:r>
    </w:p>
    <w:p w14:paraId="6D62E53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bCs/>
          <w:sz w:val="21"/>
          <w:szCs w:val="21"/>
          <w:highlight w:val="none"/>
          <w:u w:val="single"/>
          <w:lang w:val="en-US"/>
        </w:rPr>
      </w:pPr>
      <w:r>
        <w:rPr>
          <w:rFonts w:hint="eastAsia" w:ascii="宋体" w:hAnsi="宋体" w:eastAsia="宋体" w:cs="宋体"/>
          <w:sz w:val="21"/>
          <w:szCs w:val="21"/>
        </w:rPr>
        <w:t>（4）其它：</w:t>
      </w:r>
      <w:r>
        <w:rPr>
          <w:rFonts w:hint="eastAsia" w:ascii="宋体" w:hAnsi="宋体" w:eastAsia="宋体" w:cs="宋体"/>
          <w:bCs/>
          <w:sz w:val="21"/>
          <w:szCs w:val="21"/>
          <w:u w:val="single"/>
          <w:lang w:val="en-US" w:eastAsia="zh-CN"/>
        </w:rPr>
        <w:t xml:space="preserve">  工程实际竣工验收合格后满二年可返还全部质量保证金。 </w:t>
      </w:r>
    </w:p>
    <w:p w14:paraId="371B84E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15.4保修</w:t>
      </w:r>
    </w:p>
    <w:p w14:paraId="4DF6F1D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15.4.1 保修责任</w:t>
      </w:r>
    </w:p>
    <w:p w14:paraId="1BE76BE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工程保修期为：</w:t>
      </w:r>
      <w:r>
        <w:rPr>
          <w:rFonts w:hint="eastAsia" w:ascii="宋体" w:hAnsi="宋体" w:eastAsia="宋体" w:cs="宋体"/>
          <w:sz w:val="21"/>
          <w:szCs w:val="21"/>
          <w:u w:val="single"/>
        </w:rPr>
        <w:t xml:space="preserve">按本合同附件3《工程质量保修书》 </w:t>
      </w:r>
      <w:r>
        <w:rPr>
          <w:rFonts w:hint="eastAsia" w:ascii="宋体" w:hAnsi="宋体" w:eastAsia="宋体" w:cs="宋体"/>
          <w:sz w:val="21"/>
          <w:szCs w:val="21"/>
        </w:rPr>
        <w:t>。</w:t>
      </w:r>
    </w:p>
    <w:p w14:paraId="02A1C43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15.4.3 修复通知</w:t>
      </w:r>
    </w:p>
    <w:p w14:paraId="665EBB7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承包人收到保修通知并到达工程现场的合理时间：</w:t>
      </w:r>
      <w:r>
        <w:rPr>
          <w:rFonts w:hint="eastAsia" w:ascii="宋体" w:hAnsi="宋体" w:eastAsia="宋体" w:cs="宋体"/>
          <w:sz w:val="21"/>
          <w:szCs w:val="21"/>
          <w:u w:val="single"/>
        </w:rPr>
        <w:t xml:space="preserve">  按本合同附件3《工程质量保修书》   </w:t>
      </w:r>
      <w:r>
        <w:rPr>
          <w:rFonts w:hint="eastAsia" w:ascii="宋体" w:hAnsi="宋体" w:eastAsia="宋体" w:cs="宋体"/>
          <w:sz w:val="21"/>
          <w:szCs w:val="21"/>
        </w:rPr>
        <w:t>。</w:t>
      </w:r>
    </w:p>
    <w:p w14:paraId="1235E0FA">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16. 违约</w:t>
      </w:r>
    </w:p>
    <w:p w14:paraId="322BA8A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 发包人违约</w:t>
      </w:r>
    </w:p>
    <w:p w14:paraId="43C099A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16.1.1发包人违约的情形</w:t>
      </w:r>
    </w:p>
    <w:p w14:paraId="7B7CE71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发包人违约的其他情形：</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B11C43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16.1.2 发包人违约的责任</w:t>
      </w:r>
    </w:p>
    <w:p w14:paraId="51DDD08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发包人违约责任的承担方式和计算方法：</w:t>
      </w:r>
    </w:p>
    <w:p w14:paraId="3B80E1A5">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（1）因发包人原因未能在计划开工日期前7天内下达开工通知的违约责任：</w:t>
      </w:r>
      <w:r>
        <w:rPr>
          <w:rFonts w:hint="eastAsia" w:ascii="宋体" w:hAnsi="宋体" w:eastAsia="宋体" w:cs="宋体"/>
          <w:kern w:val="0"/>
          <w:sz w:val="21"/>
          <w:szCs w:val="21"/>
          <w:u w:val="single"/>
        </w:rPr>
        <w:t>赔偿承包人相关损失；属于专用合同条款7.3.2条约定情形的，按该条款约定处理；</w:t>
      </w:r>
    </w:p>
    <w:p w14:paraId="63A55172">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（2）因发包人原因未能按合同约定支付合同价款的违约责任：</w:t>
      </w:r>
      <w:r>
        <w:rPr>
          <w:rFonts w:hint="eastAsia" w:ascii="宋体" w:hAnsi="宋体" w:eastAsia="宋体" w:cs="宋体"/>
          <w:sz w:val="21"/>
          <w:szCs w:val="21"/>
          <w:u w:val="single"/>
        </w:rPr>
        <w:t>支付违约金，违约金为应付合同价款的利息；造成工期延误的顺延工期，并承担承包人的相应损失费用；</w:t>
      </w:r>
    </w:p>
    <w:p w14:paraId="6C64344C">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（3）发包人违反第10.1款〔变更的范围〕第（2）项约定，自行实施被取消的工作或转由他人实施的违约责任：</w:t>
      </w:r>
      <w:r>
        <w:rPr>
          <w:rFonts w:hint="eastAsia" w:ascii="宋体" w:hAnsi="宋体" w:eastAsia="宋体" w:cs="宋体"/>
          <w:kern w:val="0"/>
          <w:sz w:val="21"/>
          <w:szCs w:val="21"/>
          <w:u w:val="single"/>
        </w:rPr>
        <w:t xml:space="preserve"> 支付承包人该项工作合理利润，按取消工作签约合同价（    ）%计算；</w:t>
      </w:r>
    </w:p>
    <w:p w14:paraId="0CF958E0">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（4）发包人提供的材</w:t>
      </w:r>
      <w:r>
        <w:rPr>
          <w:rFonts w:hint="eastAsia" w:ascii="宋体" w:hAnsi="宋体" w:eastAsia="宋体" w:cs="宋体"/>
          <w:kern w:val="0"/>
          <w:sz w:val="21"/>
          <w:szCs w:val="21"/>
          <w:highlight w:val="none"/>
        </w:rPr>
        <w:t>料、工程设备的规格、数量或质量不符合合同约定，或因发包人原因导致交货日期延误或交货地点变更等情况的违约责任：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292A68FF">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（5）因发包人违反合同约定造成暂停施工的违约责任：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7A8D4A02">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（6）发包人无正当理由没有在约定期限内发出复工指示，导致承包人无法复工的违约责任：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2F7E2FBC">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（7）其他：</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631E49C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16.1.3 因发包人违约解除合同</w:t>
      </w:r>
    </w:p>
    <w:p w14:paraId="11F198E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承包人按16.1.1项〔发包人违约的情形〕约定暂停施工满</w:t>
      </w:r>
      <w:r>
        <w:rPr>
          <w:rFonts w:hint="eastAsia" w:ascii="宋体" w:hAnsi="宋体" w:eastAsia="宋体" w:cs="宋体"/>
          <w:sz w:val="21"/>
          <w:szCs w:val="21"/>
          <w:u w:val="single"/>
        </w:rPr>
        <w:t xml:space="preserve">  28  </w:t>
      </w:r>
      <w:r>
        <w:rPr>
          <w:rFonts w:hint="eastAsia" w:ascii="宋体" w:hAnsi="宋体" w:eastAsia="宋体" w:cs="宋体"/>
          <w:sz w:val="21"/>
          <w:szCs w:val="21"/>
        </w:rPr>
        <w:t>天后发包人仍不纠正其违约行为并致使合同目的不能实现的，承包人有权解除合同。</w:t>
      </w:r>
    </w:p>
    <w:p w14:paraId="5E8F1DD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16.2 承包人违约</w:t>
      </w:r>
    </w:p>
    <w:p w14:paraId="5BE4479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16.2.1 承包人违约的情形</w:t>
      </w:r>
    </w:p>
    <w:p w14:paraId="3B0BCB7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承包人违约的其他情形：</w:t>
      </w:r>
    </w:p>
    <w:p w14:paraId="14C0C52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1、机械设备、施工项目班子未按投标承诺及时到位；</w:t>
      </w:r>
    </w:p>
    <w:p w14:paraId="3B7A368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2、本工程在实施过程中，如承包人的施工队伍素质、力量、现场管理班子、现场安全文明施工不符合投标书的承诺，造成现场管理混乱、工程质量和进度达不到投标所承诺的要求；</w:t>
      </w:r>
    </w:p>
    <w:p w14:paraId="470DBF5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3、承包人允许其他人挂靠经营、私自转包；</w:t>
      </w:r>
    </w:p>
    <w:p w14:paraId="484AA95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4、承包人未达到投标时所承诺的诚信与技术标准。</w:t>
      </w:r>
    </w:p>
    <w:p w14:paraId="1B2A31D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16.2.2承包人违约的责任</w:t>
      </w:r>
    </w:p>
    <w:p w14:paraId="0ABA5BE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承包人违约责任的承担方式和计算方法：</w:t>
      </w:r>
    </w:p>
    <w:p w14:paraId="591BEDA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1、机械设备未按投标承诺到位，每项扣除履约担保金2%；</w:t>
      </w:r>
    </w:p>
    <w:p w14:paraId="191B6E54">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2、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5AFCA14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3、发现承包人允许其他人挂靠经营、私自转包，所有履约担保归发包人，同时赔偿发包人损失，并责令退出工地。</w:t>
      </w:r>
    </w:p>
    <w:p w14:paraId="5312EFD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4、未达到投标所承诺的诚信与技术标准，按每一项扣减履约担保金的10%。</w:t>
      </w:r>
    </w:p>
    <w:p w14:paraId="1751459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5、工程延误超过了合同工期，延误责任由承包人承担。工期不予顺延，由工期延误引起人工、材料价格上涨由承包人承担，按原合同约定价格结算；价格下降归发包人受益，按下降后价格结算。当施工工期超过合同工期50%以上时，可解除施工合同。</w:t>
      </w:r>
    </w:p>
    <w:p w14:paraId="0643B39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6、承包人无法继续履行、明确表示不履行或实质上已停止履行合同，发包人可通知承包人全部解除合同，所有履约担保归发包人，同时赔偿发包人损失。</w:t>
      </w:r>
      <w:r>
        <w:rPr>
          <w:rFonts w:hint="eastAsia" w:ascii="宋体" w:hAnsi="宋体" w:eastAsia="宋体" w:cs="宋体"/>
          <w:sz w:val="21"/>
          <w:szCs w:val="21"/>
        </w:rPr>
        <w:t xml:space="preserve"> </w:t>
      </w:r>
    </w:p>
    <w:p w14:paraId="7645FAA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16.2.3 因承包人违约解除合同</w:t>
      </w:r>
    </w:p>
    <w:p w14:paraId="2854B23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关于承包人违约解除合同的特别约定：</w:t>
      </w:r>
      <w:r>
        <w:rPr>
          <w:rFonts w:hint="eastAsia" w:ascii="宋体" w:hAnsi="宋体" w:eastAsia="宋体" w:cs="宋体"/>
          <w:sz w:val="21"/>
          <w:szCs w:val="21"/>
          <w:u w:val="single"/>
        </w:rPr>
        <w:t>双方签署解除协议，现场已完成工程量和已支付工程款（含预付款）按实计算，承包人必须在 30 日历天内清场并将施工场地交还发包人待发包人审定后 30日历天内支付</w:t>
      </w:r>
      <w:r>
        <w:rPr>
          <w:rFonts w:hint="eastAsia" w:ascii="宋体" w:hAnsi="宋体" w:eastAsia="宋体" w:cs="宋体"/>
          <w:sz w:val="21"/>
          <w:szCs w:val="21"/>
        </w:rPr>
        <w:t>。</w:t>
      </w:r>
    </w:p>
    <w:p w14:paraId="09A31C4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sz w:val="21"/>
          <w:szCs w:val="21"/>
          <w:u w:val="single"/>
        </w:rPr>
        <w:t>使用施工现场的材料、设备按实结算，使用施工机械、器具按租赁费结算，临时工程折算成费用按完成造价比例计算，无偿使用承包人为本工程施工所编制的相应文件等。</w:t>
      </w:r>
    </w:p>
    <w:p w14:paraId="402EF49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16.2.4 因承包人违约解除合同后的处理：</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p w14:paraId="14B177CA">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 xml:space="preserve">17. 不可抗力 </w:t>
      </w:r>
    </w:p>
    <w:p w14:paraId="1C4182F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17.1 不可抗力的确认</w:t>
      </w:r>
    </w:p>
    <w:p w14:paraId="7E1287C0">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sz w:val="21"/>
          <w:szCs w:val="21"/>
        </w:rPr>
        <w:t>除通用合同条款约定的不可抗力事件之外，视为不可抗力的其他情形：</w:t>
      </w:r>
      <w:r>
        <w:rPr>
          <w:rFonts w:hint="eastAsia" w:ascii="宋体" w:hAnsi="宋体" w:eastAsia="宋体" w:cs="宋体"/>
          <w:sz w:val="21"/>
          <w:szCs w:val="21"/>
          <w:u w:val="single"/>
        </w:rPr>
        <w:t>10年一遇洪水、暴风雪、干旱，罢工、政府禁令。</w:t>
      </w:r>
      <w:r>
        <w:rPr>
          <w:rFonts w:hint="eastAsia" w:ascii="宋体" w:hAnsi="宋体" w:eastAsia="宋体" w:cs="宋体"/>
          <w:kern w:val="0"/>
          <w:sz w:val="21"/>
          <w:szCs w:val="21"/>
          <w:u w:val="single"/>
        </w:rPr>
        <w:t xml:space="preserve">台州气象台发布的正面袭击台州的11级及以上台风、里氏6级及以上地震、经发包人及监理人认定的在工程施工过程中不可避免发生并不能克服的自然灾害和社会性突发事件。   </w:t>
      </w:r>
    </w:p>
    <w:p w14:paraId="00B8257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
        </w:rPr>
        <w:t>17.2 不可抗力的通知</w:t>
      </w:r>
    </w:p>
    <w:p w14:paraId="2B9E112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lang w:bidi="ar"/>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3282D17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17.4 因不可抗力解除合同</w:t>
      </w:r>
    </w:p>
    <w:p w14:paraId="34092A22">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合同解除后，发包人应在商定或确定发包人应支付款项后</w:t>
      </w:r>
      <w:r>
        <w:rPr>
          <w:rFonts w:hint="eastAsia" w:ascii="宋体" w:hAnsi="宋体" w:eastAsia="宋体" w:cs="宋体"/>
          <w:sz w:val="21"/>
          <w:szCs w:val="21"/>
          <w:u w:val="single"/>
        </w:rPr>
        <w:t xml:space="preserve"> 30 </w:t>
      </w:r>
      <w:r>
        <w:rPr>
          <w:rFonts w:hint="eastAsia" w:ascii="宋体" w:hAnsi="宋体" w:eastAsia="宋体" w:cs="宋体"/>
          <w:sz w:val="21"/>
          <w:szCs w:val="21"/>
        </w:rPr>
        <w:t>天内完成款项的支付。</w:t>
      </w:r>
    </w:p>
    <w:p w14:paraId="5D786255">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18. 保险</w:t>
      </w:r>
    </w:p>
    <w:p w14:paraId="4CC19E4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18.1工程保险</w:t>
      </w:r>
    </w:p>
    <w:p w14:paraId="3304715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sz w:val="21"/>
          <w:szCs w:val="21"/>
          <w:u w:val="single"/>
        </w:rPr>
        <w:t>商业保险（包含但不限于工程一切险和第三者责任险）和</w:t>
      </w:r>
      <w:r>
        <w:rPr>
          <w:rFonts w:hint="eastAsia" w:ascii="宋体" w:hAnsi="宋体" w:eastAsia="宋体" w:cs="宋体"/>
          <w:color w:val="auto"/>
          <w:kern w:val="0"/>
          <w:sz w:val="21"/>
          <w:szCs w:val="21"/>
          <w:u w:val="single"/>
        </w:rPr>
        <w:t>工伤保险</w:t>
      </w:r>
      <w:r>
        <w:rPr>
          <w:rFonts w:hint="eastAsia" w:ascii="宋体" w:hAnsi="宋体" w:eastAsia="宋体" w:cs="宋体"/>
          <w:color w:val="auto"/>
          <w:sz w:val="21"/>
          <w:szCs w:val="21"/>
          <w:u w:val="single"/>
        </w:rPr>
        <w:t>由承包人自行投保，因投保产生的保险费和其他相关费用由承包人承担。如承包人未参保，由此产生的相关后果由承包人承担。</w:t>
      </w:r>
    </w:p>
    <w:p w14:paraId="6E67E33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18.2 其他保险</w:t>
      </w:r>
    </w:p>
    <w:p w14:paraId="09854DB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关于其他保险的约定：</w:t>
      </w:r>
      <w:r>
        <w:rPr>
          <w:rFonts w:hint="eastAsia" w:ascii="宋体" w:hAnsi="宋体" w:eastAsia="宋体" w:cs="宋体"/>
          <w:sz w:val="21"/>
          <w:szCs w:val="21"/>
          <w:u w:val="single"/>
        </w:rPr>
        <w:t>由承包人承包施工现场全部人员的人事意外伤害险，包括但不限于从业人员保障（死亡赔偿金、伤残赔偿金、医疗费用等）、其他相关费用（抢险救援费用、事故鉴定、法律诉讼费用等）。</w:t>
      </w:r>
    </w:p>
    <w:p w14:paraId="53BE75A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承包人是否应为其施工设备等办理财产保险：</w:t>
      </w:r>
      <w:r>
        <w:rPr>
          <w:rFonts w:hint="eastAsia" w:ascii="宋体" w:hAnsi="宋体" w:eastAsia="宋体" w:cs="宋体"/>
          <w:sz w:val="21"/>
          <w:szCs w:val="21"/>
          <w:u w:val="single"/>
        </w:rPr>
        <w:t xml:space="preserve"> 按通用条款执行。</w:t>
      </w:r>
    </w:p>
    <w:p w14:paraId="63705B4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18.3 通知义务</w:t>
      </w:r>
    </w:p>
    <w:p w14:paraId="13302AE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关于变更保险合同时的通知义务的约定：</w:t>
      </w:r>
      <w:r>
        <w:rPr>
          <w:rFonts w:hint="eastAsia" w:ascii="宋体" w:hAnsi="宋体" w:eastAsia="宋体" w:cs="宋体"/>
          <w:sz w:val="21"/>
          <w:szCs w:val="21"/>
          <w:u w:val="single"/>
        </w:rPr>
        <w:t xml:space="preserve"> 按通用条款执行</w:t>
      </w:r>
      <w:r>
        <w:rPr>
          <w:rFonts w:hint="eastAsia" w:ascii="宋体" w:hAnsi="宋体" w:eastAsia="宋体" w:cs="宋体"/>
          <w:sz w:val="21"/>
          <w:szCs w:val="21"/>
        </w:rPr>
        <w:t>。</w:t>
      </w:r>
    </w:p>
    <w:p w14:paraId="06F602B4">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20. 争议解决</w:t>
      </w:r>
    </w:p>
    <w:p w14:paraId="61EB543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20.3 争议评审</w:t>
      </w:r>
    </w:p>
    <w:p w14:paraId="6DE558A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合同当事人是否同意将工程争议提交争议评审小组决定：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E0E045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20.3.1 争议评审小组的确定</w:t>
      </w:r>
    </w:p>
    <w:p w14:paraId="38076D7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争议评审小组成员的确定：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2829D6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选定争议评审员的期限：</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DA5455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争议评审小组成员的报酬承担方式：</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8C8E7B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其他事项的约定：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D03802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20.3.2 争议评审小组的决定</w:t>
      </w:r>
    </w:p>
    <w:p w14:paraId="624BC72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合同当事人关于本项的约定：</w:t>
      </w:r>
      <w:r>
        <w:rPr>
          <w:rFonts w:hint="eastAsia" w:ascii="宋体" w:hAnsi="宋体" w:eastAsia="宋体" w:cs="宋体"/>
          <w:sz w:val="21"/>
          <w:szCs w:val="21"/>
          <w:u w:val="single"/>
        </w:rPr>
        <w:t>按通用条款</w:t>
      </w:r>
      <w:r>
        <w:rPr>
          <w:rFonts w:hint="eastAsia" w:ascii="宋体" w:hAnsi="宋体" w:eastAsia="宋体" w:cs="宋体"/>
          <w:sz w:val="21"/>
          <w:szCs w:val="21"/>
        </w:rPr>
        <w:t>。</w:t>
      </w:r>
    </w:p>
    <w:p w14:paraId="5E6A396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20.3.3 争议评审小组决定的效力</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106E3AC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20.4仲裁或诉讼</w:t>
      </w:r>
    </w:p>
    <w:p w14:paraId="0240737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因合同及合同有关事项发生的争议，按下列第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14:paraId="375C170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（1）向</w:t>
      </w:r>
      <w:r>
        <w:rPr>
          <w:rFonts w:hint="eastAsia" w:ascii="宋体" w:hAnsi="宋体" w:eastAsia="宋体" w:cs="宋体"/>
          <w:sz w:val="21"/>
          <w:szCs w:val="21"/>
          <w:u w:val="single"/>
        </w:rPr>
        <w:t xml:space="preserve">    台州   </w:t>
      </w:r>
      <w:r>
        <w:rPr>
          <w:rFonts w:hint="eastAsia" w:ascii="宋体" w:hAnsi="宋体" w:eastAsia="宋体" w:cs="宋体"/>
          <w:sz w:val="21"/>
          <w:szCs w:val="21"/>
        </w:rPr>
        <w:t>仲裁委员会申请仲裁；</w:t>
      </w:r>
    </w:p>
    <w:p w14:paraId="6EBA8B3E">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（2）向 </w:t>
      </w:r>
      <w:r>
        <w:rPr>
          <w:rFonts w:hint="eastAsia" w:ascii="宋体" w:hAnsi="宋体" w:eastAsia="宋体" w:cs="宋体"/>
          <w:sz w:val="21"/>
          <w:szCs w:val="21"/>
          <w:u w:val="single"/>
        </w:rPr>
        <w:t xml:space="preserve"> 发包人所在地 </w:t>
      </w:r>
      <w:r>
        <w:rPr>
          <w:rFonts w:hint="eastAsia" w:ascii="宋体" w:hAnsi="宋体" w:eastAsia="宋体" w:cs="宋体"/>
          <w:sz w:val="21"/>
          <w:szCs w:val="21"/>
        </w:rPr>
        <w:t>人民法院起诉。</w:t>
      </w:r>
    </w:p>
    <w:p w14:paraId="7A325BCB">
      <w:pPr>
        <w:pStyle w:val="5"/>
        <w:keepNext w:val="0"/>
        <w:keepLines w:val="0"/>
        <w:pageBreakBefore w:val="0"/>
        <w:kinsoku/>
        <w:wordWrap/>
        <w:overflowPunct/>
        <w:topLinePunct w:val="0"/>
        <w:bidi w:val="0"/>
        <w:snapToGrid w:val="0"/>
        <w:spacing w:before="0" w:after="0" w:line="360" w:lineRule="exact"/>
        <w:ind w:firstLine="422"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21．补充条款</w:t>
      </w:r>
    </w:p>
    <w:p w14:paraId="5F269437">
      <w:pPr>
        <w:keepNext w:val="0"/>
        <w:keepLines w:val="0"/>
        <w:pageBreakBefore w:val="0"/>
        <w:kinsoku/>
        <w:wordWrap/>
        <w:overflowPunct/>
        <w:topLinePunct w:val="0"/>
        <w:autoSpaceDE w:val="0"/>
        <w:autoSpaceDN w:val="0"/>
        <w:bidi w:val="0"/>
        <w:adjustRightInd/>
        <w:spacing w:line="360" w:lineRule="exact"/>
        <w:ind w:firstLine="420" w:firstLineChars="200"/>
        <w:jc w:val="both"/>
        <w:textAlignment w:val="auto"/>
        <w:rPr>
          <w:rFonts w:hint="eastAsia" w:ascii="宋体" w:hAnsi="宋体" w:eastAsia="宋体" w:cs="Times New Roman"/>
          <w:color w:val="auto"/>
          <w:kern w:val="2"/>
          <w:sz w:val="21"/>
          <w:highlight w:val="none"/>
          <w:u w:val="single"/>
        </w:rPr>
      </w:pPr>
      <w:r>
        <w:rPr>
          <w:rFonts w:hint="eastAsia" w:ascii="宋体" w:hAnsi="宋体" w:eastAsia="宋体" w:cs="Times New Roman"/>
          <w:color w:val="auto"/>
          <w:kern w:val="2"/>
          <w:sz w:val="21"/>
          <w:highlight w:val="none"/>
          <w:u w:val="single"/>
        </w:rPr>
        <w:t>21.1监理人在处理以下事项时必须经发包人审查同意、书面签认后，方可将确认结果回复予承包人，未经发包人书面签认的答复无效：</w:t>
      </w:r>
    </w:p>
    <w:p w14:paraId="612D6CB6">
      <w:pPr>
        <w:keepNext w:val="0"/>
        <w:keepLines w:val="0"/>
        <w:pageBreakBefore w:val="0"/>
        <w:kinsoku/>
        <w:wordWrap/>
        <w:overflowPunct/>
        <w:topLinePunct w:val="0"/>
        <w:autoSpaceDE w:val="0"/>
        <w:autoSpaceDN w:val="0"/>
        <w:bidi w:val="0"/>
        <w:adjustRightInd/>
        <w:spacing w:line="360" w:lineRule="exact"/>
        <w:ind w:firstLine="420" w:firstLineChars="200"/>
        <w:jc w:val="both"/>
        <w:textAlignment w:val="auto"/>
        <w:rPr>
          <w:rFonts w:hint="eastAsia" w:ascii="宋体" w:hAnsi="宋体" w:eastAsia="宋体" w:cs="Times New Roman"/>
          <w:color w:val="auto"/>
          <w:kern w:val="2"/>
          <w:sz w:val="21"/>
          <w:highlight w:val="none"/>
          <w:u w:val="single"/>
        </w:rPr>
      </w:pPr>
      <w:r>
        <w:rPr>
          <w:rFonts w:hint="eastAsia" w:ascii="宋体" w:hAnsi="宋体" w:eastAsia="宋体" w:cs="Times New Roman"/>
          <w:color w:val="auto"/>
          <w:kern w:val="2"/>
          <w:sz w:val="21"/>
          <w:highlight w:val="none"/>
          <w:u w:val="single"/>
        </w:rPr>
        <w:t>（1）工程计量；</w:t>
      </w:r>
    </w:p>
    <w:p w14:paraId="4F3FDF91">
      <w:pPr>
        <w:keepNext w:val="0"/>
        <w:keepLines w:val="0"/>
        <w:pageBreakBefore w:val="0"/>
        <w:kinsoku/>
        <w:wordWrap/>
        <w:overflowPunct/>
        <w:topLinePunct w:val="0"/>
        <w:autoSpaceDE w:val="0"/>
        <w:autoSpaceDN w:val="0"/>
        <w:bidi w:val="0"/>
        <w:adjustRightInd/>
        <w:spacing w:line="360" w:lineRule="exact"/>
        <w:ind w:firstLine="420" w:firstLineChars="200"/>
        <w:jc w:val="both"/>
        <w:textAlignment w:val="auto"/>
        <w:rPr>
          <w:rFonts w:hint="eastAsia" w:ascii="宋体" w:hAnsi="宋体" w:eastAsia="宋体" w:cs="Times New Roman"/>
          <w:color w:val="auto"/>
          <w:kern w:val="2"/>
          <w:sz w:val="21"/>
          <w:highlight w:val="none"/>
          <w:u w:val="single"/>
        </w:rPr>
      </w:pPr>
      <w:r>
        <w:rPr>
          <w:rFonts w:hint="eastAsia" w:ascii="宋体" w:hAnsi="宋体" w:eastAsia="宋体" w:cs="Times New Roman"/>
          <w:color w:val="auto"/>
          <w:kern w:val="2"/>
          <w:sz w:val="21"/>
          <w:highlight w:val="none"/>
          <w:u w:val="single"/>
        </w:rPr>
        <w:t>（2）工程价款（包括工程预付款、进度款、结算款）的确认和支付；</w:t>
      </w:r>
    </w:p>
    <w:p w14:paraId="4BA424E4">
      <w:pPr>
        <w:keepNext w:val="0"/>
        <w:keepLines w:val="0"/>
        <w:pageBreakBefore w:val="0"/>
        <w:kinsoku/>
        <w:wordWrap/>
        <w:overflowPunct/>
        <w:topLinePunct w:val="0"/>
        <w:autoSpaceDE w:val="0"/>
        <w:autoSpaceDN w:val="0"/>
        <w:bidi w:val="0"/>
        <w:adjustRightInd/>
        <w:spacing w:line="360" w:lineRule="exact"/>
        <w:ind w:firstLine="420" w:firstLineChars="200"/>
        <w:jc w:val="both"/>
        <w:textAlignment w:val="auto"/>
        <w:rPr>
          <w:rFonts w:hint="eastAsia" w:ascii="宋体" w:hAnsi="宋体" w:eastAsia="宋体" w:cs="Times New Roman"/>
          <w:color w:val="auto"/>
          <w:kern w:val="2"/>
          <w:sz w:val="21"/>
          <w:highlight w:val="none"/>
          <w:u w:val="single"/>
        </w:rPr>
      </w:pPr>
      <w:r>
        <w:rPr>
          <w:rFonts w:hint="eastAsia" w:ascii="宋体" w:hAnsi="宋体" w:eastAsia="宋体" w:cs="Times New Roman"/>
          <w:color w:val="auto"/>
          <w:kern w:val="2"/>
          <w:sz w:val="21"/>
          <w:highlight w:val="none"/>
          <w:u w:val="single"/>
        </w:rPr>
        <w:t>（3）工程变更和价格调整；</w:t>
      </w:r>
    </w:p>
    <w:p w14:paraId="107C4066">
      <w:pPr>
        <w:keepNext w:val="0"/>
        <w:keepLines w:val="0"/>
        <w:pageBreakBefore w:val="0"/>
        <w:kinsoku/>
        <w:wordWrap/>
        <w:overflowPunct/>
        <w:topLinePunct w:val="0"/>
        <w:autoSpaceDE w:val="0"/>
        <w:autoSpaceDN w:val="0"/>
        <w:bidi w:val="0"/>
        <w:adjustRightInd/>
        <w:spacing w:line="360" w:lineRule="exact"/>
        <w:ind w:firstLine="420" w:firstLineChars="200"/>
        <w:jc w:val="both"/>
        <w:textAlignment w:val="auto"/>
        <w:rPr>
          <w:rFonts w:hint="eastAsia" w:ascii="宋体" w:hAnsi="宋体" w:eastAsia="宋体" w:cs="Times New Roman"/>
          <w:color w:val="auto"/>
          <w:kern w:val="2"/>
          <w:sz w:val="21"/>
          <w:highlight w:val="none"/>
          <w:u w:val="single"/>
        </w:rPr>
      </w:pPr>
      <w:r>
        <w:rPr>
          <w:rFonts w:hint="eastAsia" w:ascii="宋体" w:hAnsi="宋体" w:eastAsia="宋体" w:cs="Times New Roman"/>
          <w:color w:val="auto"/>
          <w:kern w:val="2"/>
          <w:sz w:val="21"/>
          <w:highlight w:val="none"/>
          <w:u w:val="single"/>
        </w:rPr>
        <w:t>（4）竣工结算；</w:t>
      </w:r>
    </w:p>
    <w:p w14:paraId="07E915CD">
      <w:pPr>
        <w:keepNext w:val="0"/>
        <w:keepLines w:val="0"/>
        <w:pageBreakBefore w:val="0"/>
        <w:kinsoku/>
        <w:wordWrap/>
        <w:overflowPunct/>
        <w:topLinePunct w:val="0"/>
        <w:autoSpaceDE w:val="0"/>
        <w:autoSpaceDN w:val="0"/>
        <w:bidi w:val="0"/>
        <w:adjustRightInd/>
        <w:spacing w:line="360" w:lineRule="exact"/>
        <w:ind w:firstLine="420" w:firstLineChars="200"/>
        <w:jc w:val="both"/>
        <w:textAlignment w:val="auto"/>
        <w:rPr>
          <w:rFonts w:hint="eastAsia" w:ascii="宋体" w:hAnsi="宋体" w:eastAsia="宋体" w:cs="Times New Roman"/>
          <w:color w:val="auto"/>
          <w:kern w:val="2"/>
          <w:sz w:val="21"/>
          <w:highlight w:val="none"/>
          <w:u w:val="single"/>
        </w:rPr>
      </w:pPr>
      <w:r>
        <w:rPr>
          <w:rFonts w:hint="eastAsia" w:ascii="宋体" w:hAnsi="宋体" w:eastAsia="宋体" w:cs="Times New Roman"/>
          <w:color w:val="auto"/>
          <w:kern w:val="2"/>
          <w:sz w:val="21"/>
          <w:highlight w:val="none"/>
          <w:u w:val="single"/>
        </w:rPr>
        <w:t>（5）工期确认（包括开工日期、竣工日期、工期延误的确认）；</w:t>
      </w:r>
    </w:p>
    <w:p w14:paraId="31F95FC4">
      <w:pPr>
        <w:keepNext w:val="0"/>
        <w:keepLines w:val="0"/>
        <w:pageBreakBefore w:val="0"/>
        <w:kinsoku/>
        <w:wordWrap/>
        <w:overflowPunct/>
        <w:topLinePunct w:val="0"/>
        <w:autoSpaceDE w:val="0"/>
        <w:autoSpaceDN w:val="0"/>
        <w:bidi w:val="0"/>
        <w:adjustRightInd/>
        <w:spacing w:line="36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Times New Roman"/>
          <w:color w:val="auto"/>
          <w:kern w:val="2"/>
          <w:sz w:val="21"/>
          <w:highlight w:val="none"/>
          <w:u w:val="single"/>
        </w:rPr>
        <w:t>（6）索赔处理。</w:t>
      </w:r>
    </w:p>
    <w:p w14:paraId="6B5679F0">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21.2 本工程招标控制价计价依据：</w:t>
      </w:r>
      <w:r>
        <w:rPr>
          <w:rFonts w:hint="eastAsia" w:ascii="宋体" w:hAnsi="宋体" w:eastAsia="宋体" w:cs="宋体"/>
          <w:sz w:val="21"/>
          <w:szCs w:val="21"/>
          <w:u w:val="single"/>
        </w:rPr>
        <w:t>详见本工程招标控制价编制说明。</w:t>
      </w:r>
    </w:p>
    <w:p w14:paraId="6C9F25EA">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lang w:bidi="ar"/>
        </w:rPr>
      </w:pPr>
      <w:r>
        <w:rPr>
          <w:rFonts w:hint="eastAsia" w:ascii="宋体" w:hAnsi="宋体" w:eastAsia="宋体" w:cs="宋体"/>
          <w:sz w:val="21"/>
          <w:szCs w:val="21"/>
          <w:u w:val="single"/>
          <w:lang w:bidi="ar"/>
        </w:rPr>
        <w:t>21.3承包人必须严格按照图纸、规范、技术规程进行施工，否则，针对施工质量、进度、安全等方面，在质量监督站、建工处等主管部门的监督下，监理方可视情形对承包人进行经济处罚，相关费用发包人可直接从工程款中扣除。</w:t>
      </w:r>
    </w:p>
    <w:p w14:paraId="11B473B6">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lang w:bidi="ar"/>
        </w:rPr>
        <w:t>21.4建筑工程工资性工程款、工资性工程预付款、工资性工程进度表请相关单位执行仙居县住房和城乡规划建设局和仙居县人力资源和社会保障局的文件《关于在全县建筑工程项目全面实施工资款和其他工程款分账管理制度的通知》</w:t>
      </w:r>
      <w:r>
        <w:rPr>
          <w:rFonts w:hint="eastAsia" w:ascii="宋体" w:hAnsi="宋体" w:eastAsia="宋体" w:cs="宋体"/>
          <w:sz w:val="21"/>
          <w:szCs w:val="21"/>
          <w:u w:val="single"/>
        </w:rPr>
        <w:t>。</w:t>
      </w:r>
    </w:p>
    <w:p w14:paraId="09760941">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bCs/>
          <w:sz w:val="21"/>
          <w:szCs w:val="21"/>
          <w:u w:val="single"/>
          <w:lang w:bidi="ar"/>
        </w:rPr>
      </w:pPr>
      <w:r>
        <w:rPr>
          <w:rFonts w:hint="eastAsia" w:ascii="宋体" w:hAnsi="宋体" w:eastAsia="宋体" w:cs="宋体"/>
          <w:b/>
          <w:bCs/>
          <w:sz w:val="21"/>
          <w:szCs w:val="21"/>
          <w:u w:val="single"/>
          <w:lang w:bidi="ar"/>
        </w:rPr>
        <w:t>21.5发包人与承包人应按照《浙江省住房和城乡建设厅关于加强建筑工人实名制管理工作的通知》（浙建发建【2021】66号文件）的要求落实建筑企业实施实名制管理制度。</w:t>
      </w:r>
    </w:p>
    <w:p w14:paraId="51E50B9F">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rPr>
      </w:pPr>
    </w:p>
    <w:p w14:paraId="47587EA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14:paraId="48B3A2A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2E576BE7">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14:paraId="2383E0B9">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14:paraId="02649D70">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  话：</w:t>
      </w:r>
      <w:r>
        <w:rPr>
          <w:rFonts w:hint="eastAsia" w:ascii="宋体" w:hAnsi="宋体" w:eastAsia="宋体" w:cs="宋体"/>
          <w:sz w:val="21"/>
          <w:szCs w:val="21"/>
          <w:u w:val="single"/>
        </w:rPr>
        <w:t xml:space="preserve">                              </w:t>
      </w:r>
    </w:p>
    <w:p w14:paraId="5113869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传  真：</w:t>
      </w:r>
      <w:r>
        <w:rPr>
          <w:rFonts w:hint="eastAsia" w:ascii="宋体" w:hAnsi="宋体" w:eastAsia="宋体" w:cs="宋体"/>
          <w:sz w:val="21"/>
          <w:szCs w:val="21"/>
          <w:u w:val="single"/>
        </w:rPr>
        <w:t xml:space="preserve">                               </w:t>
      </w:r>
    </w:p>
    <w:p w14:paraId="1106613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p>
    <w:p w14:paraId="7944A0F0">
      <w:pPr>
        <w:pStyle w:val="59"/>
        <w:keepNext w:val="0"/>
        <w:keepLines w:val="0"/>
        <w:pageBreakBefore w:val="0"/>
        <w:kinsoku/>
        <w:wordWrap/>
        <w:overflowPunct/>
        <w:topLinePunct w:val="0"/>
        <w:bidi w:val="0"/>
        <w:spacing w:line="360" w:lineRule="exact"/>
        <w:textAlignment w:val="auto"/>
        <w:rPr>
          <w:rFonts w:hint="eastAsia" w:ascii="宋体" w:hAnsi="宋体" w:eastAsia="宋体" w:cs="宋体"/>
          <w:sz w:val="21"/>
          <w:szCs w:val="21"/>
        </w:rPr>
      </w:pPr>
    </w:p>
    <w:p w14:paraId="2BCE7572">
      <w:pPr>
        <w:pStyle w:val="59"/>
        <w:keepNext w:val="0"/>
        <w:keepLines w:val="0"/>
        <w:pageBreakBefore w:val="0"/>
        <w:kinsoku/>
        <w:wordWrap/>
        <w:overflowPunct/>
        <w:topLinePunct w:val="0"/>
        <w:bidi w:val="0"/>
        <w:spacing w:line="360" w:lineRule="exact"/>
        <w:textAlignment w:val="auto"/>
        <w:rPr>
          <w:rFonts w:hint="eastAsia" w:ascii="宋体" w:hAnsi="宋体" w:eastAsia="宋体" w:cs="宋体"/>
          <w:sz w:val="21"/>
          <w:szCs w:val="21"/>
        </w:rPr>
      </w:pPr>
    </w:p>
    <w:p w14:paraId="6EA3277D">
      <w:pPr>
        <w:pStyle w:val="59"/>
        <w:keepNext w:val="0"/>
        <w:keepLines w:val="0"/>
        <w:pageBreakBefore w:val="0"/>
        <w:kinsoku/>
        <w:wordWrap/>
        <w:overflowPunct/>
        <w:topLinePunct w:val="0"/>
        <w:bidi w:val="0"/>
        <w:spacing w:line="360" w:lineRule="exact"/>
        <w:textAlignment w:val="auto"/>
        <w:rPr>
          <w:rFonts w:hint="eastAsia" w:ascii="宋体" w:hAnsi="宋体" w:eastAsia="宋体" w:cs="宋体"/>
          <w:sz w:val="21"/>
          <w:szCs w:val="21"/>
        </w:rPr>
      </w:pPr>
    </w:p>
    <w:p w14:paraId="55975F5E">
      <w:pPr>
        <w:pStyle w:val="59"/>
        <w:keepNext w:val="0"/>
        <w:keepLines w:val="0"/>
        <w:pageBreakBefore w:val="0"/>
        <w:kinsoku/>
        <w:wordWrap/>
        <w:overflowPunct/>
        <w:topLinePunct w:val="0"/>
        <w:bidi w:val="0"/>
        <w:spacing w:line="360" w:lineRule="exact"/>
        <w:textAlignment w:val="auto"/>
        <w:rPr>
          <w:rFonts w:hint="eastAsia" w:ascii="宋体" w:hAnsi="宋体" w:eastAsia="宋体" w:cs="宋体"/>
          <w:sz w:val="21"/>
          <w:szCs w:val="21"/>
        </w:rPr>
      </w:pPr>
    </w:p>
    <w:p w14:paraId="234F3503">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附件</w:t>
      </w:r>
    </w:p>
    <w:p w14:paraId="58044D65">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协议书附件：</w:t>
      </w:r>
    </w:p>
    <w:p w14:paraId="01B1AB8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附件1：承包人承揽工程项目一览表（略）</w:t>
      </w:r>
    </w:p>
    <w:p w14:paraId="771C188F">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专用合同条款附件：</w:t>
      </w:r>
    </w:p>
    <w:p w14:paraId="0F4B8F4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附件2：发包人供应材料设备一览表（略）</w:t>
      </w:r>
    </w:p>
    <w:p w14:paraId="537293AB">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附件3：工程质量保修书</w:t>
      </w:r>
    </w:p>
    <w:p w14:paraId="21B4B6B1">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附件4：主要建设工程文件目录（略）</w:t>
      </w:r>
    </w:p>
    <w:p w14:paraId="752541E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附件5：承包人用于本工程施工的机械设备表（略）</w:t>
      </w:r>
    </w:p>
    <w:p w14:paraId="3ECC98A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附件6：承包人主要施工管理人员表（略）</w:t>
      </w:r>
    </w:p>
    <w:p w14:paraId="7B11BFCC">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附件7：分包人主要施工管理人员表（略）</w:t>
      </w:r>
    </w:p>
    <w:p w14:paraId="2B89832D">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附件8：履约担保格式（略）</w:t>
      </w:r>
    </w:p>
    <w:p w14:paraId="303FEC9A">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附件9：预付款担保格式（略）</w:t>
      </w:r>
    </w:p>
    <w:p w14:paraId="6DBEB1F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附件10：支付担保格式（略）</w:t>
      </w:r>
    </w:p>
    <w:p w14:paraId="29B3B313">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附件11：暂估价一览表（略）</w:t>
      </w:r>
    </w:p>
    <w:p w14:paraId="27C0E0C6">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附件12：建筑工程农民工工资专用账户资金托管协议</w:t>
      </w:r>
    </w:p>
    <w:p w14:paraId="13CD9A28">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附件1</w:t>
      </w:r>
      <w:r>
        <w:rPr>
          <w:rFonts w:hint="eastAsia" w:ascii="宋体" w:hAnsi="宋体" w:eastAsia="宋体" w:cs="宋体"/>
          <w:sz w:val="21"/>
          <w:szCs w:val="21"/>
          <w:lang w:val="en-US" w:eastAsia="zh-CN"/>
        </w:rPr>
        <w:t>3</w:t>
      </w:r>
      <w:r>
        <w:rPr>
          <w:rFonts w:hint="eastAsia" w:ascii="宋体" w:hAnsi="宋体" w:eastAsia="宋体" w:cs="宋体"/>
          <w:sz w:val="21"/>
          <w:szCs w:val="21"/>
        </w:rPr>
        <w:t>：技术规范及标准</w:t>
      </w:r>
    </w:p>
    <w:p w14:paraId="095B2451">
      <w:pPr>
        <w:pStyle w:val="12"/>
        <w:rPr>
          <w:rFonts w:hint="eastAsia"/>
        </w:rPr>
      </w:pPr>
    </w:p>
    <w:p w14:paraId="6A145D8F">
      <w:pPr>
        <w:adjustRightInd w:val="0"/>
        <w:snapToGrid w:val="0"/>
        <w:spacing w:line="300" w:lineRule="exact"/>
        <w:ind w:firstLine="420" w:firstLineChars="200"/>
        <w:rPr>
          <w:rFonts w:hint="eastAsia" w:ascii="宋体" w:hAnsi="宋体" w:eastAsia="宋体" w:cs="宋体"/>
          <w:sz w:val="21"/>
          <w:szCs w:val="21"/>
        </w:rPr>
      </w:pPr>
    </w:p>
    <w:p w14:paraId="58372445">
      <w:pPr>
        <w:autoSpaceDE w:val="0"/>
        <w:autoSpaceDN w:val="0"/>
        <w:spacing w:line="360" w:lineRule="auto"/>
        <w:ind w:right="420"/>
        <w:jc w:val="left"/>
        <w:rPr>
          <w:rFonts w:hint="eastAsia" w:ascii="宋体" w:hAnsi="宋体" w:eastAsia="宋体" w:cs="宋体"/>
          <w:sz w:val="21"/>
          <w:szCs w:val="21"/>
        </w:rPr>
      </w:pPr>
    </w:p>
    <w:p w14:paraId="5CF7B3D2">
      <w:pPr>
        <w:autoSpaceDE w:val="0"/>
        <w:autoSpaceDN w:val="0"/>
        <w:spacing w:line="360" w:lineRule="auto"/>
        <w:ind w:right="420"/>
        <w:jc w:val="left"/>
        <w:rPr>
          <w:rFonts w:hint="eastAsia" w:ascii="宋体" w:hAnsi="宋体" w:eastAsia="宋体" w:cs="宋体"/>
          <w:b/>
          <w:sz w:val="21"/>
          <w:szCs w:val="21"/>
        </w:rPr>
      </w:pPr>
      <w:r>
        <w:rPr>
          <w:rFonts w:hint="eastAsia" w:ascii="宋体" w:hAnsi="宋体" w:eastAsia="宋体" w:cs="宋体"/>
          <w:sz w:val="21"/>
          <w:szCs w:val="21"/>
        </w:rPr>
        <w:br w:type="page"/>
      </w:r>
      <w:r>
        <w:rPr>
          <w:rFonts w:hint="eastAsia" w:ascii="宋体" w:hAnsi="宋体" w:eastAsia="宋体" w:cs="宋体"/>
          <w:sz w:val="21"/>
          <w:szCs w:val="21"/>
        </w:rPr>
        <w:t>附件3</w:t>
      </w:r>
      <w:r>
        <w:rPr>
          <w:rFonts w:hint="eastAsia" w:ascii="宋体" w:hAnsi="宋体" w:eastAsia="宋体" w:cs="宋体"/>
          <w:b/>
          <w:sz w:val="21"/>
          <w:szCs w:val="21"/>
        </w:rPr>
        <w:t>：</w:t>
      </w:r>
    </w:p>
    <w:p w14:paraId="5CEC2C10">
      <w:pPr>
        <w:autoSpaceDE w:val="0"/>
        <w:autoSpaceDN w:val="0"/>
        <w:spacing w:line="360" w:lineRule="auto"/>
        <w:ind w:right="420"/>
        <w:jc w:val="center"/>
        <w:rPr>
          <w:rFonts w:hint="eastAsia" w:ascii="宋体" w:hAnsi="宋体" w:eastAsia="宋体" w:cs="宋体"/>
          <w:b/>
          <w:sz w:val="21"/>
          <w:szCs w:val="21"/>
        </w:rPr>
      </w:pPr>
      <w:r>
        <w:rPr>
          <w:rFonts w:hint="eastAsia" w:ascii="宋体" w:hAnsi="宋体" w:eastAsia="宋体" w:cs="宋体"/>
          <w:b/>
          <w:sz w:val="21"/>
          <w:szCs w:val="21"/>
        </w:rPr>
        <w:t xml:space="preserve">  工程质量缺陷保修书</w:t>
      </w:r>
    </w:p>
    <w:p w14:paraId="6726D3F5">
      <w:pPr>
        <w:adjustRightInd w:val="0"/>
        <w:spacing w:line="360" w:lineRule="exact"/>
        <w:rPr>
          <w:rFonts w:hint="eastAsia" w:ascii="宋体" w:hAnsi="宋体" w:eastAsia="宋体" w:cs="宋体"/>
          <w:sz w:val="21"/>
          <w:szCs w:val="21"/>
          <w:u w:val="single"/>
        </w:rPr>
      </w:pPr>
      <w:r>
        <w:rPr>
          <w:rFonts w:hint="eastAsia" w:ascii="宋体" w:hAnsi="宋体" w:eastAsia="宋体" w:cs="宋体"/>
          <w:b/>
          <w:bCs/>
          <w:sz w:val="21"/>
          <w:szCs w:val="21"/>
        </w:rPr>
        <w:t>发包人（全称）：</w:t>
      </w:r>
      <w:r>
        <w:rPr>
          <w:rFonts w:hint="eastAsia" w:ascii="宋体" w:hAnsi="宋体" w:eastAsia="宋体" w:cs="宋体"/>
          <w:sz w:val="21"/>
          <w:szCs w:val="21"/>
          <w:u w:val="single"/>
          <w:lang w:eastAsia="zh-CN"/>
        </w:rPr>
        <w:t>仙居县白塔镇人民政府</w:t>
      </w:r>
      <w:r>
        <w:rPr>
          <w:rFonts w:hint="eastAsia" w:ascii="宋体" w:hAnsi="宋体" w:eastAsia="宋体" w:cs="宋体"/>
          <w:sz w:val="21"/>
          <w:szCs w:val="21"/>
          <w:u w:val="single"/>
        </w:rPr>
        <w:t xml:space="preserve">                      </w:t>
      </w:r>
    </w:p>
    <w:p w14:paraId="616D2A86">
      <w:pPr>
        <w:adjustRightInd w:val="0"/>
        <w:spacing w:line="360" w:lineRule="exact"/>
        <w:rPr>
          <w:rFonts w:hint="eastAsia" w:ascii="宋体" w:hAnsi="宋体" w:eastAsia="宋体" w:cs="宋体"/>
          <w:b/>
          <w:sz w:val="21"/>
          <w:szCs w:val="21"/>
          <w:u w:val="single"/>
        </w:rPr>
      </w:pPr>
      <w:r>
        <w:rPr>
          <w:rFonts w:hint="eastAsia" w:ascii="宋体" w:hAnsi="宋体" w:eastAsia="宋体" w:cs="宋体"/>
          <w:b/>
          <w:bCs/>
          <w:sz w:val="21"/>
          <w:szCs w:val="21"/>
        </w:rPr>
        <w:t>承包人（全称）：</w:t>
      </w:r>
      <w:r>
        <w:rPr>
          <w:rFonts w:hint="eastAsia" w:ascii="宋体" w:hAnsi="宋体" w:eastAsia="宋体" w:cs="宋体"/>
          <w:b/>
          <w:sz w:val="21"/>
          <w:szCs w:val="21"/>
          <w:u w:val="single"/>
        </w:rPr>
        <w:t xml:space="preserve">                                                </w:t>
      </w:r>
    </w:p>
    <w:p w14:paraId="5B1D2C31">
      <w:pPr>
        <w:spacing w:line="36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发包人和承包人根据《中华人民共和国建筑法》和《建设工程质量管理条例》，经协商一致就</w:t>
      </w:r>
      <w:r>
        <w:rPr>
          <w:rFonts w:hint="eastAsia" w:ascii="宋体" w:hAnsi="宋体" w:eastAsia="宋体" w:cs="宋体"/>
          <w:bCs/>
          <w:sz w:val="21"/>
          <w:szCs w:val="21"/>
          <w:u w:val="single"/>
        </w:rPr>
        <w:t xml:space="preserve"> </w:t>
      </w:r>
      <w:r>
        <w:rPr>
          <w:rFonts w:hint="eastAsia" w:ascii="宋体" w:hAnsi="宋体" w:cs="宋体"/>
          <w:bCs/>
          <w:sz w:val="21"/>
          <w:szCs w:val="21"/>
          <w:u w:val="single"/>
          <w:lang w:eastAsia="zh-CN"/>
        </w:rPr>
        <w:t>神仙居5A景区镇基础设施提升项目-游客集散中心（景区集散点）项目（重新招标）</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（工程全称）签订工程质量保修书</w:t>
      </w:r>
      <w:r>
        <w:rPr>
          <w:rFonts w:hint="eastAsia" w:ascii="宋体" w:hAnsi="宋体" w:eastAsia="宋体" w:cs="宋体"/>
          <w:sz w:val="21"/>
          <w:szCs w:val="21"/>
        </w:rPr>
        <w:t>。</w:t>
      </w:r>
    </w:p>
    <w:p w14:paraId="7084FC33">
      <w:pPr>
        <w:adjustRightInd w:val="0"/>
        <w:spacing w:line="360" w:lineRule="exact"/>
        <w:ind w:firstLine="413" w:firstLineChars="196"/>
        <w:rPr>
          <w:rFonts w:hint="eastAsia" w:ascii="宋体" w:hAnsi="宋体" w:eastAsia="宋体" w:cs="宋体"/>
          <w:b/>
          <w:sz w:val="21"/>
          <w:szCs w:val="21"/>
        </w:rPr>
      </w:pPr>
      <w:r>
        <w:rPr>
          <w:rFonts w:hint="eastAsia" w:ascii="宋体" w:hAnsi="宋体" w:eastAsia="宋体" w:cs="宋体"/>
          <w:b/>
          <w:sz w:val="21"/>
          <w:szCs w:val="21"/>
        </w:rPr>
        <w:t>一．工程质量缺陷保修范围和内容</w:t>
      </w:r>
    </w:p>
    <w:p w14:paraId="0F624F19">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承包人在质量保修期内，按照有关法律规定和合同约定，承担工程质量保修责任。</w:t>
      </w:r>
    </w:p>
    <w:p w14:paraId="42ECB7FF">
      <w:pPr>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质量保修范围包括地基基础工程、主体结构工程，屋面防水工程、有防水要求的卫生间、房间和外墙面的防渗漏，供热与供冷系统，电气管线、给排水管道、设备安装和装修工程，以及双方约定的其他项目。</w:t>
      </w:r>
    </w:p>
    <w:p w14:paraId="23752186">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bCs/>
          <w:sz w:val="21"/>
          <w:szCs w:val="21"/>
        </w:rPr>
        <w:t>具体保修的内容，双方约定如下：</w:t>
      </w:r>
      <w:r>
        <w:rPr>
          <w:rFonts w:hint="eastAsia" w:ascii="宋体" w:hAnsi="宋体" w:eastAsia="宋体" w:cs="宋体"/>
          <w:sz w:val="21"/>
          <w:szCs w:val="21"/>
          <w:u w:val="single"/>
        </w:rPr>
        <w:t>本工程合同范围内的所有工程。</w:t>
      </w:r>
    </w:p>
    <w:p w14:paraId="2DB0A8B5">
      <w:pPr>
        <w:spacing w:line="36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二．质量缺陷保修</w:t>
      </w:r>
    </w:p>
    <w:p w14:paraId="11726268">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14:paraId="54ED6E5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地基基础工程、主体结构工程为设计文件规定的合理使用年限；</w:t>
      </w:r>
    </w:p>
    <w:p w14:paraId="6AADB0F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屋面防水工程、有防水要求的卫生间、房间和外墙面的防渗漏工程为</w:t>
      </w:r>
      <w:r>
        <w:rPr>
          <w:rFonts w:hint="eastAsia" w:ascii="宋体" w:hAnsi="宋体" w:eastAsia="宋体" w:cs="宋体"/>
          <w:sz w:val="21"/>
          <w:szCs w:val="21"/>
          <w:u w:val="single"/>
        </w:rPr>
        <w:t xml:space="preserve">  5  </w:t>
      </w:r>
      <w:r>
        <w:rPr>
          <w:rFonts w:hint="eastAsia" w:ascii="宋体" w:hAnsi="宋体" w:eastAsia="宋体" w:cs="宋体"/>
          <w:sz w:val="21"/>
          <w:szCs w:val="21"/>
        </w:rPr>
        <w:t>年；</w:t>
      </w:r>
    </w:p>
    <w:p w14:paraId="0FB0F96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装修工程为</w:t>
      </w:r>
      <w:r>
        <w:rPr>
          <w:rFonts w:hint="eastAsia" w:ascii="宋体" w:hAnsi="宋体" w:eastAsia="宋体" w:cs="宋体"/>
          <w:sz w:val="21"/>
          <w:szCs w:val="21"/>
          <w:u w:val="single"/>
        </w:rPr>
        <w:t xml:space="preserve">  2  </w:t>
      </w:r>
      <w:r>
        <w:rPr>
          <w:rFonts w:hint="eastAsia" w:ascii="宋体" w:hAnsi="宋体" w:eastAsia="宋体" w:cs="宋体"/>
          <w:sz w:val="21"/>
          <w:szCs w:val="21"/>
        </w:rPr>
        <w:t>年；</w:t>
      </w:r>
    </w:p>
    <w:p w14:paraId="2585B197">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电气管线、给排水管道、设备安装工程为</w:t>
      </w:r>
      <w:r>
        <w:rPr>
          <w:rFonts w:hint="eastAsia" w:ascii="宋体" w:hAnsi="宋体" w:eastAsia="宋体" w:cs="宋体"/>
          <w:sz w:val="21"/>
          <w:szCs w:val="21"/>
          <w:u w:val="single"/>
        </w:rPr>
        <w:t xml:space="preserve">  2  </w:t>
      </w:r>
      <w:r>
        <w:rPr>
          <w:rFonts w:hint="eastAsia" w:ascii="宋体" w:hAnsi="宋体" w:eastAsia="宋体" w:cs="宋体"/>
          <w:sz w:val="21"/>
          <w:szCs w:val="21"/>
        </w:rPr>
        <w:t>年；</w:t>
      </w:r>
    </w:p>
    <w:p w14:paraId="12F3295A">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供热和供冷系统工程为</w:t>
      </w:r>
      <w:r>
        <w:rPr>
          <w:rFonts w:hint="eastAsia" w:ascii="宋体" w:hAnsi="宋体" w:eastAsia="宋体" w:cs="宋体"/>
          <w:sz w:val="21"/>
          <w:szCs w:val="21"/>
          <w:u w:val="single"/>
        </w:rPr>
        <w:t xml:space="preserve">  2 </w:t>
      </w:r>
      <w:r>
        <w:rPr>
          <w:rFonts w:hint="eastAsia" w:ascii="宋体" w:hAnsi="宋体" w:eastAsia="宋体" w:cs="宋体"/>
          <w:sz w:val="21"/>
          <w:szCs w:val="21"/>
        </w:rPr>
        <w:t>个采暖期、供冷期；</w:t>
      </w:r>
    </w:p>
    <w:p w14:paraId="3CB1F76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住宅小区内的给排水设施、道路等市政公用工程为</w:t>
      </w:r>
      <w:r>
        <w:rPr>
          <w:rFonts w:hint="eastAsia" w:ascii="宋体" w:hAnsi="宋体" w:eastAsia="宋体" w:cs="宋体"/>
          <w:sz w:val="21"/>
          <w:szCs w:val="21"/>
          <w:u w:val="single"/>
        </w:rPr>
        <w:t xml:space="preserve"> 2 </w:t>
      </w:r>
      <w:r>
        <w:rPr>
          <w:rFonts w:hint="eastAsia" w:ascii="宋体" w:hAnsi="宋体" w:eastAsia="宋体" w:cs="宋体"/>
          <w:sz w:val="21"/>
          <w:szCs w:val="21"/>
        </w:rPr>
        <w:t>年；</w:t>
      </w:r>
    </w:p>
    <w:p w14:paraId="1E66D54F">
      <w:pPr>
        <w:adjustRightInd w:val="0"/>
        <w:snapToGrid w:val="0"/>
        <w:spacing w:line="312"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其他项目保修期约定：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14:paraId="2D454A92">
      <w:pPr>
        <w:spacing w:line="360" w:lineRule="exact"/>
        <w:ind w:firstLine="420" w:firstLineChars="200"/>
        <w:rPr>
          <w:rFonts w:hint="eastAsia"/>
          <w:highlight w:val="none"/>
        </w:rPr>
      </w:pPr>
      <w:r>
        <w:rPr>
          <w:rFonts w:hint="eastAsia" w:ascii="宋体" w:hAnsi="宋体" w:eastAsia="宋体" w:cs="宋体"/>
          <w:sz w:val="21"/>
          <w:szCs w:val="21"/>
          <w:highlight w:val="none"/>
        </w:rPr>
        <w:t>质量保修期自工程竣工验收合格之日起计算。</w:t>
      </w:r>
    </w:p>
    <w:p w14:paraId="3140E787">
      <w:pPr>
        <w:spacing w:line="360" w:lineRule="exact"/>
        <w:ind w:firstLine="413" w:firstLineChars="196"/>
        <w:rPr>
          <w:rFonts w:hint="eastAsia" w:ascii="宋体" w:hAnsi="宋体" w:eastAsia="宋体" w:cs="宋体"/>
          <w:b/>
          <w:sz w:val="21"/>
          <w:szCs w:val="21"/>
        </w:rPr>
      </w:pPr>
      <w:r>
        <w:rPr>
          <w:rFonts w:hint="eastAsia" w:ascii="宋体" w:hAnsi="宋体" w:eastAsia="宋体" w:cs="宋体"/>
          <w:b/>
          <w:sz w:val="21"/>
          <w:szCs w:val="21"/>
        </w:rPr>
        <w:t>三．缺陷责任期</w:t>
      </w:r>
    </w:p>
    <w:p w14:paraId="12353630">
      <w:pPr>
        <w:adjustRightInd w:val="0"/>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工程缺陷责任期为</w:t>
      </w:r>
      <w:r>
        <w:rPr>
          <w:rFonts w:hint="eastAsia" w:ascii="宋体" w:hAnsi="宋体" w:eastAsia="宋体" w:cs="宋体"/>
          <w:bCs/>
          <w:sz w:val="21"/>
          <w:szCs w:val="21"/>
          <w:u w:val="single"/>
          <w:lang w:val="en-US" w:eastAsia="zh-CN"/>
        </w:rPr>
        <w:t>24</w:t>
      </w:r>
      <w:r>
        <w:rPr>
          <w:rFonts w:hint="eastAsia" w:ascii="宋体" w:hAnsi="宋体" w:eastAsia="宋体" w:cs="宋体"/>
          <w:bCs/>
          <w:sz w:val="21"/>
          <w:szCs w:val="21"/>
        </w:rPr>
        <w:t>个月，缺陷责任期自工程竣工验收合格之日起计算。单位工程先于全部工程进行验收，单位工程缺陷责任期自单位工程验收合格之日起算。</w:t>
      </w:r>
    </w:p>
    <w:p w14:paraId="61BC0A3C">
      <w:pPr>
        <w:adjustRightInd w:val="0"/>
        <w:spacing w:line="360" w:lineRule="exact"/>
        <w:ind w:firstLine="464" w:firstLineChars="220"/>
        <w:rPr>
          <w:rFonts w:hint="eastAsia" w:ascii="宋体" w:hAnsi="宋体" w:eastAsia="宋体" w:cs="宋体"/>
          <w:b/>
          <w:sz w:val="21"/>
          <w:szCs w:val="21"/>
        </w:rPr>
      </w:pPr>
      <w:r>
        <w:rPr>
          <w:rFonts w:hint="eastAsia" w:ascii="宋体" w:hAnsi="宋体" w:eastAsia="宋体" w:cs="宋体"/>
          <w:b/>
          <w:sz w:val="21"/>
          <w:szCs w:val="21"/>
        </w:rPr>
        <w:t>四．质量缺陷保修责任</w:t>
      </w:r>
    </w:p>
    <w:p w14:paraId="4C5D1767">
      <w:pPr>
        <w:adjustRightInd w:val="0"/>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1．属于保修范围、内容的项目，承包人应当在接到保修通知之日起7天内派人保修。承包人不在约定期限内派人保修的，发包人可以委托他人修理。</w:t>
      </w:r>
    </w:p>
    <w:p w14:paraId="1D8161F1">
      <w:pPr>
        <w:adjustRightInd w:val="0"/>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2．发生紧急事故需抢修的，承包人在接到事故通知后，应当立即到达事故现场抢修。</w:t>
      </w:r>
    </w:p>
    <w:p w14:paraId="33B0EE83">
      <w:pPr>
        <w:adjustRightInd w:val="0"/>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FCE81F8">
      <w:pPr>
        <w:adjustRightInd w:val="0"/>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4．质量保修完成后，由发包人组织验收。</w:t>
      </w:r>
    </w:p>
    <w:p w14:paraId="0E1141F6">
      <w:pPr>
        <w:adjustRightInd w:val="0"/>
        <w:spacing w:line="36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五、保修费用</w:t>
      </w:r>
    </w:p>
    <w:p w14:paraId="7AEB4B43">
      <w:pPr>
        <w:adjustRightInd w:val="0"/>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保修费用由造成质量缺陷的责任方承担。</w:t>
      </w:r>
    </w:p>
    <w:p w14:paraId="387C1096">
      <w:pPr>
        <w:numPr>
          <w:ilvl w:val="0"/>
          <w:numId w:val="14"/>
        </w:numPr>
        <w:adjustRightInd w:val="0"/>
        <w:spacing w:line="36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双方约定的其他工程质量保修事项：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14:paraId="019B9366">
      <w:pPr>
        <w:adjustRightInd w:val="0"/>
        <w:spacing w:line="36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工程质量保修书由发包人、承包人在工程竣工验收前共同签署，作为施工合同附件，其有效期限至保修期满。</w:t>
      </w:r>
    </w:p>
    <w:p w14:paraId="58EFADFB">
      <w:pPr>
        <w:adjustRightInd w:val="0"/>
        <w:spacing w:line="36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发包人(公章</w:t>
      </w:r>
      <w:r>
        <w:rPr>
          <w:rFonts w:hint="eastAsia" w:ascii="宋体" w:hAnsi="宋体" w:eastAsia="宋体" w:cs="宋体"/>
          <w:bCs/>
          <w:sz w:val="21"/>
          <w:szCs w:val="21"/>
          <w:lang w:eastAsia="zh-CN"/>
        </w:rPr>
        <w:t>）</w:t>
      </w:r>
      <w:r>
        <w:rPr>
          <w:rFonts w:hint="eastAsia" w:ascii="宋体" w:hAnsi="宋体" w:eastAsia="宋体" w:cs="宋体"/>
          <w:bCs/>
          <w:sz w:val="21"/>
          <w:szCs w:val="21"/>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承包人(公章</w:t>
      </w:r>
      <w:r>
        <w:rPr>
          <w:rFonts w:hint="eastAsia" w:ascii="宋体" w:hAnsi="宋体" w:eastAsia="宋体" w:cs="宋体"/>
          <w:bCs/>
          <w:sz w:val="21"/>
          <w:szCs w:val="21"/>
          <w:lang w:eastAsia="zh-CN"/>
        </w:rPr>
        <w:t>）</w:t>
      </w:r>
      <w:r>
        <w:rPr>
          <w:rFonts w:hint="eastAsia" w:ascii="宋体" w:hAnsi="宋体" w:eastAsia="宋体" w:cs="宋体"/>
          <w:bCs/>
          <w:sz w:val="21"/>
          <w:szCs w:val="21"/>
        </w:rPr>
        <w:t>：</w:t>
      </w:r>
      <w:r>
        <w:rPr>
          <w:rFonts w:hint="eastAsia" w:ascii="宋体" w:hAnsi="宋体" w:eastAsia="宋体" w:cs="宋体"/>
          <w:bCs/>
          <w:sz w:val="21"/>
          <w:szCs w:val="21"/>
          <w:u w:val="single"/>
        </w:rPr>
        <w:t xml:space="preserve">                         </w:t>
      </w:r>
    </w:p>
    <w:p w14:paraId="04B49DF8">
      <w:pPr>
        <w:adjustRightInd w:val="0"/>
        <w:spacing w:line="36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地  址：</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地  址：</w:t>
      </w:r>
      <w:r>
        <w:rPr>
          <w:rFonts w:hint="eastAsia" w:ascii="宋体" w:hAnsi="宋体" w:eastAsia="宋体" w:cs="宋体"/>
          <w:bCs/>
          <w:sz w:val="21"/>
          <w:szCs w:val="21"/>
          <w:u w:val="single"/>
        </w:rPr>
        <w:t xml:space="preserve">                               </w:t>
      </w:r>
    </w:p>
    <w:p w14:paraId="5F3ADDD4">
      <w:pPr>
        <w:adjustRightInd w:val="0"/>
        <w:spacing w:line="36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法定代表人(签字</w:t>
      </w:r>
      <w:r>
        <w:rPr>
          <w:rFonts w:hint="eastAsia" w:ascii="宋体" w:hAnsi="宋体" w:eastAsia="宋体" w:cs="宋体"/>
          <w:bCs/>
          <w:sz w:val="21"/>
          <w:szCs w:val="21"/>
          <w:lang w:eastAsia="zh-CN"/>
        </w:rPr>
        <w:t>）</w:t>
      </w:r>
      <w:r>
        <w:rPr>
          <w:rFonts w:hint="eastAsia" w:ascii="宋体" w:hAnsi="宋体" w:eastAsia="宋体" w:cs="宋体"/>
          <w:bCs/>
          <w:sz w:val="21"/>
          <w:szCs w:val="21"/>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法定代表人(签字</w:t>
      </w:r>
      <w:r>
        <w:rPr>
          <w:rFonts w:hint="eastAsia" w:ascii="宋体" w:hAnsi="宋体" w:eastAsia="宋体" w:cs="宋体"/>
          <w:bCs/>
          <w:sz w:val="21"/>
          <w:szCs w:val="21"/>
          <w:lang w:eastAsia="zh-CN"/>
        </w:rPr>
        <w:t>）</w:t>
      </w:r>
      <w:r>
        <w:rPr>
          <w:rFonts w:hint="eastAsia" w:ascii="宋体" w:hAnsi="宋体" w:eastAsia="宋体" w:cs="宋体"/>
          <w:bCs/>
          <w:sz w:val="21"/>
          <w:szCs w:val="21"/>
        </w:rPr>
        <w:t>：</w:t>
      </w:r>
      <w:r>
        <w:rPr>
          <w:rFonts w:hint="eastAsia" w:ascii="宋体" w:hAnsi="宋体" w:eastAsia="宋体" w:cs="宋体"/>
          <w:bCs/>
          <w:sz w:val="21"/>
          <w:szCs w:val="21"/>
          <w:u w:val="single"/>
        </w:rPr>
        <w:t xml:space="preserve">                     </w:t>
      </w:r>
    </w:p>
    <w:p w14:paraId="5201B35A">
      <w:pPr>
        <w:adjustRightInd w:val="0"/>
        <w:spacing w:line="36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委托代理人(签字</w:t>
      </w:r>
      <w:r>
        <w:rPr>
          <w:rFonts w:hint="eastAsia" w:ascii="宋体" w:hAnsi="宋体" w:eastAsia="宋体" w:cs="宋体"/>
          <w:bCs/>
          <w:sz w:val="21"/>
          <w:szCs w:val="21"/>
          <w:lang w:eastAsia="zh-CN"/>
        </w:rPr>
        <w:t>）</w:t>
      </w:r>
      <w:r>
        <w:rPr>
          <w:rFonts w:hint="eastAsia" w:ascii="宋体" w:hAnsi="宋体" w:eastAsia="宋体" w:cs="宋体"/>
          <w:bCs/>
          <w:sz w:val="21"/>
          <w:szCs w:val="21"/>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委托代理人(签字</w:t>
      </w:r>
      <w:r>
        <w:rPr>
          <w:rFonts w:hint="eastAsia" w:ascii="宋体" w:hAnsi="宋体" w:eastAsia="宋体" w:cs="宋体"/>
          <w:bCs/>
          <w:sz w:val="21"/>
          <w:szCs w:val="21"/>
          <w:lang w:eastAsia="zh-CN"/>
        </w:rPr>
        <w:t>）</w:t>
      </w:r>
      <w:r>
        <w:rPr>
          <w:rFonts w:hint="eastAsia" w:ascii="宋体" w:hAnsi="宋体" w:eastAsia="宋体" w:cs="宋体"/>
          <w:bCs/>
          <w:sz w:val="21"/>
          <w:szCs w:val="21"/>
        </w:rPr>
        <w:t>：</w:t>
      </w:r>
      <w:r>
        <w:rPr>
          <w:rFonts w:hint="eastAsia" w:ascii="宋体" w:hAnsi="宋体" w:eastAsia="宋体" w:cs="宋体"/>
          <w:bCs/>
          <w:sz w:val="21"/>
          <w:szCs w:val="21"/>
          <w:u w:val="single"/>
        </w:rPr>
        <w:t xml:space="preserve">                     </w:t>
      </w:r>
    </w:p>
    <w:p w14:paraId="12A5FCDA">
      <w:pPr>
        <w:adjustRightInd w:val="0"/>
        <w:spacing w:line="36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电  话：</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电  话：</w:t>
      </w:r>
      <w:r>
        <w:rPr>
          <w:rFonts w:hint="eastAsia" w:ascii="宋体" w:hAnsi="宋体" w:eastAsia="宋体" w:cs="宋体"/>
          <w:bCs/>
          <w:sz w:val="21"/>
          <w:szCs w:val="21"/>
          <w:u w:val="single"/>
        </w:rPr>
        <w:t xml:space="preserve">                               </w:t>
      </w:r>
    </w:p>
    <w:p w14:paraId="0A756DC0">
      <w:pPr>
        <w:adjustRightInd w:val="0"/>
        <w:spacing w:line="36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传  真：</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传  真：</w:t>
      </w:r>
      <w:r>
        <w:rPr>
          <w:rFonts w:hint="eastAsia" w:ascii="宋体" w:hAnsi="宋体" w:eastAsia="宋体" w:cs="宋体"/>
          <w:bCs/>
          <w:sz w:val="21"/>
          <w:szCs w:val="21"/>
          <w:u w:val="single"/>
        </w:rPr>
        <w:t xml:space="preserve">                               </w:t>
      </w:r>
    </w:p>
    <w:p w14:paraId="11BDF3A5">
      <w:pPr>
        <w:adjustRightInd w:val="0"/>
        <w:spacing w:line="36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开户银行：</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开户银行：</w:t>
      </w:r>
      <w:r>
        <w:rPr>
          <w:rFonts w:hint="eastAsia" w:ascii="宋体" w:hAnsi="宋体" w:eastAsia="宋体" w:cs="宋体"/>
          <w:bCs/>
          <w:sz w:val="21"/>
          <w:szCs w:val="21"/>
          <w:u w:val="single"/>
        </w:rPr>
        <w:t xml:space="preserve">                             </w:t>
      </w:r>
    </w:p>
    <w:p w14:paraId="1780833E">
      <w:pPr>
        <w:adjustRightInd w:val="0"/>
        <w:spacing w:line="36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账  号：</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账  号：</w:t>
      </w:r>
      <w:r>
        <w:rPr>
          <w:rFonts w:hint="eastAsia" w:ascii="宋体" w:hAnsi="宋体" w:eastAsia="宋体" w:cs="宋体"/>
          <w:bCs/>
          <w:sz w:val="21"/>
          <w:szCs w:val="21"/>
          <w:u w:val="single"/>
        </w:rPr>
        <w:t xml:space="preserve">                               </w:t>
      </w:r>
    </w:p>
    <w:p w14:paraId="267E6F91">
      <w:pPr>
        <w:adjustRightInd w:val="0"/>
        <w:spacing w:line="360" w:lineRule="exact"/>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rPr>
        <w:t>邮政编码：</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邮政编码：</w:t>
      </w:r>
      <w:r>
        <w:rPr>
          <w:rFonts w:hint="eastAsia" w:ascii="宋体" w:hAnsi="宋体" w:eastAsia="宋体" w:cs="宋体"/>
          <w:bCs/>
          <w:sz w:val="21"/>
          <w:szCs w:val="21"/>
          <w:u w:val="single"/>
        </w:rPr>
        <w:t xml:space="preserve">                             </w:t>
      </w:r>
    </w:p>
    <w:p w14:paraId="6145ACB4">
      <w:pPr>
        <w:rPr>
          <w:rFonts w:hint="eastAsia" w:ascii="宋体" w:hAnsi="宋体" w:eastAsia="宋体" w:cs="宋体"/>
          <w:sz w:val="21"/>
          <w:szCs w:val="21"/>
        </w:rPr>
        <w:sectPr>
          <w:footerReference r:id="rId8" w:type="first"/>
          <w:footnotePr>
            <w:numRestart w:val="eachPage"/>
          </w:footnotePr>
          <w:endnotePr>
            <w:numRestart w:val="eachSect"/>
          </w:endnotePr>
          <w:pgSz w:w="11907" w:h="16840"/>
          <w:pgMar w:top="1361" w:right="1474" w:bottom="1361" w:left="1474" w:header="851" w:footer="810" w:gutter="0"/>
          <w:pgNumType w:fmt="numberInDash"/>
          <w:cols w:space="720" w:num="1"/>
          <w:docGrid w:linePitch="435" w:charSpace="-6554"/>
        </w:sectPr>
      </w:pPr>
    </w:p>
    <w:p w14:paraId="6DD3E5B3">
      <w:pPr>
        <w:autoSpaceDE w:val="0"/>
        <w:autoSpaceDN w:val="0"/>
        <w:spacing w:line="360" w:lineRule="auto"/>
        <w:ind w:right="420"/>
        <w:jc w:val="center"/>
        <w:outlineLvl w:val="0"/>
        <w:rPr>
          <w:rFonts w:hint="eastAsia" w:ascii="宋体" w:hAnsi="宋体" w:eastAsia="宋体" w:cs="宋体"/>
          <w:b/>
          <w:sz w:val="21"/>
          <w:szCs w:val="21"/>
        </w:rPr>
      </w:pPr>
      <w:r>
        <w:rPr>
          <w:rFonts w:hint="eastAsia" w:ascii="宋体" w:hAnsi="宋体" w:eastAsia="宋体" w:cs="宋体"/>
          <w:b/>
          <w:sz w:val="21"/>
          <w:szCs w:val="21"/>
        </w:rPr>
        <w:t>第四部分  工程建设项目廉政责任书</w:t>
      </w:r>
    </w:p>
    <w:p w14:paraId="097AC63B">
      <w:pPr>
        <w:wordWrap w:val="0"/>
        <w:autoSpaceDE w:val="0"/>
        <w:autoSpaceDN w:val="0"/>
        <w:spacing w:line="324" w:lineRule="auto"/>
        <w:ind w:firstLine="482"/>
        <w:rPr>
          <w:rFonts w:hint="eastAsia" w:ascii="宋体" w:hAnsi="宋体" w:eastAsia="宋体" w:cs="宋体"/>
          <w:sz w:val="21"/>
          <w:szCs w:val="21"/>
        </w:rPr>
      </w:pPr>
    </w:p>
    <w:p w14:paraId="63C49743">
      <w:pPr>
        <w:wordWrap w:val="0"/>
        <w:autoSpaceDE w:val="0"/>
        <w:autoSpaceDN w:val="0"/>
        <w:spacing w:line="324" w:lineRule="auto"/>
        <w:ind w:firstLine="482"/>
        <w:rPr>
          <w:rFonts w:hint="eastAsia"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cs="宋体"/>
          <w:sz w:val="21"/>
          <w:szCs w:val="21"/>
          <w:u w:val="single"/>
          <w:lang w:eastAsia="zh-CN"/>
        </w:rPr>
        <w:t>神仙居5A景区镇基础设施提升项目-游客集散中心（景区集散点）项目（重新招标）</w:t>
      </w:r>
      <w:r>
        <w:rPr>
          <w:rFonts w:hint="eastAsia" w:ascii="宋体" w:hAnsi="宋体" w:eastAsia="宋体" w:cs="宋体"/>
          <w:sz w:val="21"/>
          <w:szCs w:val="21"/>
          <w:u w:val="single"/>
        </w:rPr>
        <w:t xml:space="preserve"> </w:t>
      </w:r>
    </w:p>
    <w:p w14:paraId="5484DC56">
      <w:pPr>
        <w:wordWrap w:val="0"/>
        <w:autoSpaceDE w:val="0"/>
        <w:autoSpaceDN w:val="0"/>
        <w:spacing w:line="324" w:lineRule="auto"/>
        <w:ind w:firstLine="482"/>
        <w:rPr>
          <w:rFonts w:hint="eastAsia"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lang w:val="en-US" w:eastAsia="zh-CN"/>
        </w:rPr>
        <w:t>仙居县白塔镇</w:t>
      </w:r>
      <w:r>
        <w:rPr>
          <w:rFonts w:hint="eastAsia" w:ascii="宋体" w:hAnsi="宋体" w:eastAsia="宋体" w:cs="宋体"/>
          <w:sz w:val="21"/>
          <w:szCs w:val="21"/>
          <w:u w:val="single"/>
        </w:rPr>
        <w:t xml:space="preserve">  </w:t>
      </w:r>
    </w:p>
    <w:p w14:paraId="0551464C">
      <w:pPr>
        <w:wordWrap w:val="0"/>
        <w:autoSpaceDE w:val="0"/>
        <w:autoSpaceDN w:val="0"/>
        <w:spacing w:line="324" w:lineRule="auto"/>
        <w:ind w:firstLine="482"/>
        <w:rPr>
          <w:rFonts w:hint="eastAsia"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仙居县白塔镇人民政府</w:t>
      </w:r>
      <w:r>
        <w:rPr>
          <w:rFonts w:hint="eastAsia" w:ascii="宋体" w:hAnsi="宋体" w:eastAsia="宋体" w:cs="宋体"/>
          <w:sz w:val="21"/>
          <w:szCs w:val="21"/>
          <w:u w:val="single"/>
        </w:rPr>
        <w:t xml:space="preserve">  </w:t>
      </w:r>
    </w:p>
    <w:p w14:paraId="47EA5F8A">
      <w:pPr>
        <w:wordWrap w:val="0"/>
        <w:autoSpaceDE w:val="0"/>
        <w:autoSpaceDN w:val="0"/>
        <w:spacing w:line="324" w:lineRule="auto"/>
        <w:ind w:firstLine="482"/>
        <w:rPr>
          <w:rFonts w:hint="eastAsia" w:ascii="宋体" w:hAnsi="宋体" w:eastAsia="宋体" w:cs="宋体"/>
          <w:sz w:val="21"/>
          <w:szCs w:val="21"/>
        </w:rPr>
      </w:pPr>
      <w:r>
        <w:rPr>
          <w:rFonts w:hint="eastAsia" w:ascii="宋体" w:hAnsi="宋体" w:eastAsia="宋体" w:cs="宋体"/>
          <w:sz w:val="21"/>
          <w:szCs w:val="21"/>
        </w:rPr>
        <w:t>施工单位（乙方）：</w:t>
      </w:r>
      <w:r>
        <w:rPr>
          <w:rFonts w:hint="eastAsia" w:ascii="宋体" w:hAnsi="宋体" w:eastAsia="宋体" w:cs="宋体"/>
          <w:sz w:val="21"/>
          <w:szCs w:val="21"/>
          <w:u w:val="single"/>
        </w:rPr>
        <w:t xml:space="preserve">                                                  </w:t>
      </w:r>
    </w:p>
    <w:p w14:paraId="6DAC9518">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3577B8B">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第一条 甲乙双方的责任</w:t>
      </w:r>
    </w:p>
    <w:p w14:paraId="72948A5A">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（一）应严格遵守国家关于市场准入、项目招标投标、工程建设、施工安装和市场活动等有关法律、法规，相关政策，以及廉政建设的各项规定。</w:t>
      </w:r>
    </w:p>
    <w:p w14:paraId="3F2AF8F6">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（二）严格执行建设工程项目承发包合同文件，自觉按合同办事。</w:t>
      </w:r>
    </w:p>
    <w:p w14:paraId="587F3654">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（三）业务活动必须坚持公开、公平、公正、诚信、透明的原则（除法律法规另有规定者外），不得为获取不正当的利益，损害国家、集体和对方利益，不得违反工程建设管理、施工安装的规章制度。</w:t>
      </w:r>
    </w:p>
    <w:p w14:paraId="0C854550">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（四）发现对方在业务活动中有违规、违纪、违法行为的，应及时提醒对方，情节严重的，应向其上级主管部门或纪检监察、司法等有关机关举报。</w:t>
      </w:r>
    </w:p>
    <w:p w14:paraId="249A4329">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第二条 甲方的责任</w:t>
      </w:r>
    </w:p>
    <w:p w14:paraId="62C23AAA">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甲方的领导和从事该建设工程项目的工作人员，在工程建设的事前、事中、事后应遵守以下规定：</w:t>
      </w:r>
    </w:p>
    <w:p w14:paraId="15A431F1">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（一）不准向乙方和相关单位索要或接受回扣、礼金、有价证券、贵重物品和好处费、感谢费等。</w:t>
      </w:r>
    </w:p>
    <w:p w14:paraId="07ABF84A">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（二）不准在乙方和相关单位报销任何应由甲方或个人支付的费用。</w:t>
      </w:r>
    </w:p>
    <w:p w14:paraId="45257DE5">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（三）不准要求、暗示和接受乙方和相关单位为个人装修住房、婚丧嫁娶、配偶子女的工作安排以及出国（境）、旅游等提供方便。</w:t>
      </w:r>
    </w:p>
    <w:p w14:paraId="0E7ECDE0">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（四）不准参加有可能影响公正执行公务的乙方和相关单位的宴请和健身、娱乐等活动。</w:t>
      </w:r>
    </w:p>
    <w:p w14:paraId="769280C0">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106AA8DD">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第三条 乙方的责任</w:t>
      </w:r>
    </w:p>
    <w:p w14:paraId="093EE74B">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应与甲方保持正常的业务交往，按照有关法律法规和程序开展业务工作，严格执行工程建设的有关方针、政策，尤其是有关建筑施工安装的强制性标准和规范，并遵守以下规定：</w:t>
      </w:r>
    </w:p>
    <w:p w14:paraId="52EF8364">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（一）不准以任何理由向甲方、相关单位及其工作人员索要、接受或赠送礼金、有价证券、贵重物品和回扣、好处费、感谢费等。</w:t>
      </w:r>
    </w:p>
    <w:p w14:paraId="10CA284F">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（二）不准以任何理由为甲方和相关单位报销应由对方或个人支付的费用。</w:t>
      </w:r>
    </w:p>
    <w:p w14:paraId="2BBB70FD">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（三）不准接受或暗示为甲方、相关单位或个人装修住房、婚丧嫁娶、配偶子女的工作安排以及出国（境）、旅游等提供方便。</w:t>
      </w:r>
    </w:p>
    <w:p w14:paraId="612DF3C0">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（四）不准以任何理由为甲方、相关单位或个人组织有可能影响公正执行公务的宴请、健身、娱乐等活动。</w:t>
      </w:r>
    </w:p>
    <w:p w14:paraId="227267C9">
      <w:pPr>
        <w:adjustRightInd w:val="0"/>
        <w:snapToGri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第四条 违约责任</w:t>
      </w:r>
    </w:p>
    <w:p w14:paraId="29979FDF">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79429A8">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4CC49D3">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第五条 本责任书作为</w:t>
      </w:r>
      <w:r>
        <w:rPr>
          <w:rFonts w:hint="eastAsia" w:ascii="宋体" w:hAnsi="宋体" w:eastAsia="宋体" w:cs="宋体"/>
          <w:bCs/>
          <w:sz w:val="21"/>
          <w:szCs w:val="21"/>
          <w:u w:val="single"/>
        </w:rPr>
        <w:t xml:space="preserve">  </w:t>
      </w:r>
      <w:r>
        <w:rPr>
          <w:rFonts w:hint="eastAsia" w:ascii="宋体" w:hAnsi="宋体" w:cs="宋体"/>
          <w:bCs/>
          <w:sz w:val="21"/>
          <w:szCs w:val="21"/>
          <w:u w:val="single"/>
          <w:lang w:eastAsia="zh-CN"/>
        </w:rPr>
        <w:t>神仙居5A景区镇基础设施提升项目-游客集散中心（景区集散点）项目（重新招标）</w:t>
      </w:r>
      <w:r>
        <w:rPr>
          <w:rFonts w:hint="eastAsia" w:ascii="宋体" w:hAnsi="宋体" w:eastAsia="宋体" w:cs="宋体"/>
          <w:bCs/>
          <w:sz w:val="21"/>
          <w:szCs w:val="21"/>
        </w:rPr>
        <w:t>施工合同的附件，与工程施工合同具有同等法律效力。经双方签署后立即生效。</w:t>
      </w:r>
    </w:p>
    <w:p w14:paraId="1483D4EE">
      <w:pPr>
        <w:adjustRightInd w:val="0"/>
        <w:spacing w:line="36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第六条 本责任书的有效期为双方签署之日起至该工程项目竣工验收合格时止。</w:t>
      </w:r>
    </w:p>
    <w:p w14:paraId="3D74B5B3">
      <w:pPr>
        <w:adjustRightInd w:val="0"/>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bCs/>
          <w:sz w:val="21"/>
          <w:szCs w:val="21"/>
        </w:rPr>
        <w:t>第七条 本责任书一式四份，由甲乙双方各执一份，送交甲乙双方的监督单位各一份</w:t>
      </w:r>
      <w:r>
        <w:rPr>
          <w:rFonts w:hint="eastAsia" w:ascii="宋体" w:hAnsi="宋体" w:eastAsia="宋体" w:cs="宋体"/>
          <w:sz w:val="21"/>
          <w:szCs w:val="21"/>
        </w:rPr>
        <w:t>。</w:t>
      </w:r>
    </w:p>
    <w:p w14:paraId="749A0D7E">
      <w:pPr>
        <w:wordWrap w:val="0"/>
        <w:autoSpaceDE w:val="0"/>
        <w:autoSpaceDN w:val="0"/>
        <w:spacing w:line="324" w:lineRule="auto"/>
        <w:ind w:firstLine="482"/>
        <w:rPr>
          <w:rFonts w:hint="eastAsia" w:ascii="宋体" w:hAnsi="宋体" w:eastAsia="宋体" w:cs="宋体"/>
          <w:sz w:val="21"/>
          <w:szCs w:val="21"/>
        </w:rPr>
      </w:pPr>
    </w:p>
    <w:p w14:paraId="10B94E80">
      <w:pPr>
        <w:wordWrap w:val="0"/>
        <w:autoSpaceDE w:val="0"/>
        <w:autoSpaceDN w:val="0"/>
        <w:spacing w:line="324" w:lineRule="auto"/>
        <w:ind w:firstLine="482"/>
        <w:rPr>
          <w:rFonts w:hint="eastAsia" w:ascii="宋体" w:hAnsi="宋体" w:eastAsia="宋体" w:cs="宋体"/>
          <w:sz w:val="21"/>
          <w:szCs w:val="21"/>
        </w:rPr>
      </w:pPr>
    </w:p>
    <w:p w14:paraId="0F490B0A">
      <w:pPr>
        <w:wordWrap w:val="0"/>
        <w:autoSpaceDE w:val="0"/>
        <w:autoSpaceDN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甲方单位：（盖章）　　　　　　　　                 　　乙方单位：（盖章）</w:t>
      </w:r>
    </w:p>
    <w:p w14:paraId="293DA304">
      <w:pPr>
        <w:wordWrap w:val="0"/>
        <w:autoSpaceDE w:val="0"/>
        <w:autoSpaceDN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法定代表人：　　　　　　　　　               　　　　　法定代表人：</w:t>
      </w:r>
    </w:p>
    <w:p w14:paraId="00FEE73B">
      <w:pPr>
        <w:wordWrap w:val="0"/>
        <w:autoSpaceDE w:val="0"/>
        <w:autoSpaceDN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地址：　　　　　　　　　　　　　               　　　　地址：</w:t>
      </w:r>
    </w:p>
    <w:p w14:paraId="75585DF2">
      <w:pPr>
        <w:wordWrap w:val="0"/>
        <w:autoSpaceDE w:val="0"/>
        <w:autoSpaceDN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电话：　　　　　　　　　　　　　　　               　　电话：</w:t>
      </w:r>
    </w:p>
    <w:p w14:paraId="0C333AA3">
      <w:pPr>
        <w:wordWrap w:val="0"/>
        <w:autoSpaceDE w:val="0"/>
        <w:autoSpaceDN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年　月　日　　　　　　　　　　　　　               　　年　月　日</w:t>
      </w:r>
    </w:p>
    <w:p w14:paraId="20245497">
      <w:pPr>
        <w:wordWrap w:val="0"/>
        <w:autoSpaceDE w:val="0"/>
        <w:autoSpaceDN w:val="0"/>
        <w:spacing w:line="360" w:lineRule="auto"/>
        <w:ind w:firstLine="482"/>
        <w:rPr>
          <w:rFonts w:hint="eastAsia" w:ascii="宋体" w:hAnsi="宋体" w:eastAsia="宋体" w:cs="宋体"/>
          <w:sz w:val="21"/>
          <w:szCs w:val="21"/>
        </w:rPr>
      </w:pPr>
      <w:r>
        <w:rPr>
          <w:rFonts w:hint="eastAsia" w:ascii="宋体" w:hAnsi="宋体" w:eastAsia="宋体" w:cs="宋体"/>
          <w:sz w:val="21"/>
          <w:szCs w:val="21"/>
        </w:rPr>
        <w:t>甲方监督单位（盖章）　　　　　　　　　               　乙方监督单位（盖章）</w:t>
      </w:r>
    </w:p>
    <w:p w14:paraId="089D239F">
      <w:pPr>
        <w:autoSpaceDE w:val="0"/>
        <w:autoSpaceDN w:val="0"/>
        <w:spacing w:line="360" w:lineRule="exact"/>
        <w:ind w:firstLine="482"/>
        <w:rPr>
          <w:rFonts w:hint="eastAsia" w:ascii="宋体" w:hAnsi="宋体" w:eastAsia="宋体" w:cs="宋体"/>
          <w:sz w:val="21"/>
          <w:szCs w:val="21"/>
        </w:rPr>
      </w:pPr>
      <w:r>
        <w:rPr>
          <w:rFonts w:hint="eastAsia" w:ascii="宋体" w:hAnsi="宋体" w:eastAsia="宋体" w:cs="宋体"/>
          <w:sz w:val="21"/>
          <w:szCs w:val="21"/>
        </w:rPr>
        <w:t>年　月　日　　　　　　　　　　　　　　               　年　月　日</w:t>
      </w:r>
    </w:p>
    <w:p w14:paraId="5674A8E3">
      <w:pPr>
        <w:autoSpaceDE w:val="0"/>
        <w:autoSpaceDN w:val="0"/>
        <w:spacing w:line="360" w:lineRule="auto"/>
        <w:ind w:right="420"/>
        <w:jc w:val="left"/>
        <w:rPr>
          <w:rFonts w:hint="eastAsia" w:ascii="宋体" w:hAnsi="宋体" w:eastAsia="宋体" w:cs="宋体"/>
          <w:b/>
          <w:sz w:val="21"/>
          <w:szCs w:val="21"/>
        </w:rPr>
      </w:pPr>
      <w:r>
        <w:rPr>
          <w:rFonts w:hint="eastAsia" w:ascii="宋体" w:hAnsi="宋体" w:eastAsia="宋体" w:cs="宋体"/>
          <w:b/>
          <w:bCs/>
          <w:sz w:val="21"/>
          <w:szCs w:val="21"/>
        </w:rPr>
        <w:br w:type="page"/>
      </w:r>
      <w:r>
        <w:rPr>
          <w:rFonts w:hint="eastAsia" w:ascii="宋体" w:hAnsi="宋体" w:eastAsia="宋体" w:cs="宋体"/>
          <w:b/>
          <w:bCs/>
          <w:sz w:val="21"/>
          <w:szCs w:val="21"/>
        </w:rPr>
        <w:t xml:space="preserve"> </w:t>
      </w:r>
      <w:r>
        <w:rPr>
          <w:rFonts w:hint="eastAsia" w:ascii="宋体" w:hAnsi="宋体" w:eastAsia="宋体" w:cs="宋体"/>
          <w:b/>
          <w:sz w:val="21"/>
          <w:szCs w:val="21"/>
        </w:rPr>
        <w:t xml:space="preserve">附件12：  </w:t>
      </w:r>
    </w:p>
    <w:p w14:paraId="09868AB5">
      <w:pPr>
        <w:autoSpaceDE w:val="0"/>
        <w:autoSpaceDN w:val="0"/>
        <w:spacing w:line="360" w:lineRule="auto"/>
        <w:ind w:right="420"/>
        <w:jc w:val="center"/>
        <w:rPr>
          <w:rFonts w:hint="eastAsia" w:ascii="宋体" w:hAnsi="宋体" w:eastAsia="宋体" w:cs="宋体"/>
          <w:b/>
          <w:sz w:val="21"/>
          <w:szCs w:val="21"/>
        </w:rPr>
      </w:pPr>
      <w:r>
        <w:rPr>
          <w:rFonts w:hint="eastAsia" w:ascii="宋体" w:hAnsi="宋体" w:eastAsia="宋体" w:cs="宋体"/>
          <w:b/>
          <w:sz w:val="21"/>
          <w:szCs w:val="21"/>
        </w:rPr>
        <w:t>建筑工程农民工工资专用账户资金托管协议</w:t>
      </w:r>
    </w:p>
    <w:p w14:paraId="15B13B9F">
      <w:pPr>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甲方（建设单位）：</w:t>
      </w:r>
    </w:p>
    <w:p w14:paraId="302F9404">
      <w:pPr>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乙方（施工单位）：</w:t>
      </w:r>
    </w:p>
    <w:p w14:paraId="7911438C">
      <w:pPr>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丙方（银行）：</w:t>
      </w:r>
    </w:p>
    <w:p w14:paraId="00E5823A">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根据《浙江省企业工资支付管理办法》，为保证建筑工程农民工工资专用账户（以下简称专户）资金专款专用及农民工工资按月支付，甲、乙双方委托丙方为本项目专户资金监管人，为项目专户资金提供管理，并按照本协议约定履行相关信息披露等服务，甲、乙、丙三方经友好协商，达成以下协议，并共同遵守。</w:t>
      </w:r>
    </w:p>
    <w:p w14:paraId="4AF7F018">
      <w:pPr>
        <w:adjustRightInd w:val="0"/>
        <w:spacing w:line="400" w:lineRule="exact"/>
        <w:ind w:firstLine="420" w:firstLineChars="200"/>
        <w:jc w:val="center"/>
        <w:rPr>
          <w:rFonts w:hint="eastAsia" w:ascii="宋体" w:hAnsi="宋体" w:eastAsia="宋体" w:cs="宋体"/>
          <w:bCs/>
          <w:sz w:val="21"/>
          <w:szCs w:val="21"/>
        </w:rPr>
      </w:pPr>
      <w:r>
        <w:rPr>
          <w:rFonts w:hint="eastAsia" w:ascii="宋体" w:hAnsi="宋体" w:eastAsia="宋体" w:cs="宋体"/>
          <w:bCs/>
          <w:sz w:val="21"/>
          <w:szCs w:val="21"/>
        </w:rPr>
        <w:t>第一章 专户设立及管理</w:t>
      </w:r>
    </w:p>
    <w:p w14:paraId="353CF2E8">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第一条 专户的设立</w:t>
      </w:r>
    </w:p>
    <w:p w14:paraId="5EC1A469">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乙方须在丙方处设立××建筑公司××项目农民工工资   专户，用于××项目工程农民工工资的发放，不得擅自动用专户资金。</w:t>
      </w:r>
    </w:p>
    <w:p w14:paraId="10196EDD">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第二条 专户的管理</w:t>
      </w:r>
    </w:p>
    <w:p w14:paraId="0DE51627">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工程建设期间，丙方负责对专户进行管理。丙方需根据本协议约定的条件办理资金支付。</w:t>
      </w:r>
    </w:p>
    <w:p w14:paraId="4562289E">
      <w:pPr>
        <w:adjustRightInd w:val="0"/>
        <w:spacing w:line="400" w:lineRule="exact"/>
        <w:ind w:firstLine="420" w:firstLineChars="200"/>
        <w:jc w:val="center"/>
        <w:rPr>
          <w:rFonts w:hint="eastAsia" w:ascii="宋体" w:hAnsi="宋体" w:eastAsia="宋体" w:cs="宋体"/>
          <w:bCs/>
          <w:sz w:val="21"/>
          <w:szCs w:val="21"/>
        </w:rPr>
      </w:pPr>
      <w:r>
        <w:rPr>
          <w:rFonts w:hint="eastAsia" w:ascii="宋体" w:hAnsi="宋体" w:eastAsia="宋体" w:cs="宋体"/>
          <w:bCs/>
          <w:sz w:val="21"/>
          <w:szCs w:val="21"/>
        </w:rPr>
        <w:t>第二章 托管职责、期限</w:t>
      </w:r>
    </w:p>
    <w:p w14:paraId="799A56A7">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第三条 丙方作为受托银行，应履行以下职责：</w:t>
      </w:r>
    </w:p>
    <w:p w14:paraId="60EF4711">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（一）设立专户，保管托管资金，确保资金安全。</w:t>
      </w:r>
    </w:p>
    <w:p w14:paraId="5BB243B6">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（二）专户首笔由甲方划入的工资性工程预付款（额度为工资性工程款的1%），在该工程（主体结构封顶）验收合格后抵扣一半，剩余部分在工程竣工验收合格备案后从工程款中抵扣。</w:t>
      </w:r>
    </w:p>
    <w:p w14:paraId="55D0265F">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（三）及时向甲方、乙方披露受托资金的相关信息，每月12日前向甲、乙双方提供受托资金流向信息。</w:t>
      </w:r>
    </w:p>
    <w:p w14:paraId="7F52642D">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第四条 协议期限</w:t>
      </w:r>
    </w:p>
    <w:p w14:paraId="395EE61B">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丙方对专户内资金履行监督职责的期限自资金划入受托监管账户之日起至收到甲方、乙方开具的并经建设主管部门同意的“关于撤销   工程农民工工资专用账户的函”为止。</w:t>
      </w:r>
    </w:p>
    <w:p w14:paraId="2F8B03E7">
      <w:pPr>
        <w:adjustRightInd w:val="0"/>
        <w:spacing w:line="400" w:lineRule="exact"/>
        <w:ind w:firstLine="420" w:firstLineChars="200"/>
        <w:jc w:val="center"/>
        <w:rPr>
          <w:rFonts w:hint="eastAsia" w:ascii="宋体" w:hAnsi="宋体" w:eastAsia="宋体" w:cs="宋体"/>
          <w:bCs/>
          <w:sz w:val="21"/>
          <w:szCs w:val="21"/>
        </w:rPr>
      </w:pPr>
      <w:r>
        <w:rPr>
          <w:rFonts w:hint="eastAsia" w:ascii="宋体" w:hAnsi="宋体" w:eastAsia="宋体" w:cs="宋体"/>
          <w:bCs/>
          <w:sz w:val="21"/>
          <w:szCs w:val="21"/>
        </w:rPr>
        <w:t>第三章 资金托管应提供的资料</w:t>
      </w:r>
    </w:p>
    <w:p w14:paraId="564E7563">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第五条 乙方须向丙方提供《建筑业企业劳务用工劳动合同》和经监理单位、建设单位审核确定的每月农民工工资清单审核表。</w:t>
      </w:r>
    </w:p>
    <w:p w14:paraId="69BAE2C1">
      <w:pPr>
        <w:adjustRightInd w:val="0"/>
        <w:spacing w:line="400" w:lineRule="exact"/>
        <w:ind w:firstLine="420" w:firstLineChars="200"/>
        <w:jc w:val="center"/>
        <w:rPr>
          <w:rFonts w:hint="eastAsia" w:ascii="宋体" w:hAnsi="宋体" w:eastAsia="宋体" w:cs="宋体"/>
          <w:bCs/>
          <w:sz w:val="21"/>
          <w:szCs w:val="21"/>
        </w:rPr>
      </w:pPr>
      <w:r>
        <w:rPr>
          <w:rFonts w:hint="eastAsia" w:ascii="宋体" w:hAnsi="宋体" w:eastAsia="宋体" w:cs="宋体"/>
          <w:bCs/>
          <w:sz w:val="21"/>
          <w:szCs w:val="21"/>
        </w:rPr>
        <w:t>第四章 托管资金收付</w:t>
      </w:r>
    </w:p>
    <w:p w14:paraId="12BE0627">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第六条 受托资金存入</w:t>
      </w:r>
    </w:p>
    <w:p w14:paraId="0AE0D90B">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根据施工合同约定，甲方每月将工资性工程进度款划入约定的托管账户，丙方确认资金到账后对账户资金履行管理职责。</w:t>
      </w:r>
    </w:p>
    <w:p w14:paraId="058975D1">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第七条 受托资金拨付</w:t>
      </w:r>
    </w:p>
    <w:p w14:paraId="11552961">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乙方委托丙方代发农民工工资，代发的农民工个人银行卡申请资料由乙方提供，其真实性由乙方负责。每月月底前，乙方负责将监理单位审核并经建设单位确认后的农民工工资清单报丙方，由丙方从专户（在工资性工程进度款拨付累计额度内）直接划拨至农民工个人银行卡上。工资清单的真实性及准确性由乙方负责。</w:t>
      </w:r>
    </w:p>
    <w:p w14:paraId="40CDE626">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第八条农民工工资监管</w:t>
      </w:r>
    </w:p>
    <w:p w14:paraId="3F38AEB6">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专户资金不得挪作他用，一旦发生乙方拖欠农民工工资的情况，经工程所在地劳动监察部门核实并出具相关证明，丙方可直接从“农民工工资专用账户”余额（工资性工程预付款）中划拨款项，用于支付所欠农民工工资。同时乙方不超过10个工作日内补足该部分工资款。</w:t>
      </w:r>
    </w:p>
    <w:p w14:paraId="45D1EEA8">
      <w:pPr>
        <w:adjustRightInd w:val="0"/>
        <w:spacing w:line="400" w:lineRule="exact"/>
        <w:ind w:firstLine="420" w:firstLineChars="200"/>
        <w:jc w:val="center"/>
        <w:rPr>
          <w:rFonts w:hint="eastAsia" w:ascii="宋体" w:hAnsi="宋体" w:eastAsia="宋体" w:cs="宋体"/>
          <w:bCs/>
          <w:sz w:val="21"/>
          <w:szCs w:val="21"/>
        </w:rPr>
      </w:pPr>
      <w:r>
        <w:rPr>
          <w:rFonts w:hint="eastAsia" w:ascii="宋体" w:hAnsi="宋体" w:eastAsia="宋体" w:cs="宋体"/>
          <w:bCs/>
          <w:sz w:val="21"/>
          <w:szCs w:val="21"/>
        </w:rPr>
        <w:t>第五章 协议生效与终止</w:t>
      </w:r>
    </w:p>
    <w:p w14:paraId="61408979">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第九条本协议经甲、乙、丙三方法定代表人或其委托人签字并加盖法人公章之日起生效。丙方收到甲方、乙方开具的并经建设主管部门同意的“关于撤销   工程农民工工资专用账户的函”为止，该协议终止。</w:t>
      </w:r>
    </w:p>
    <w:p w14:paraId="6A764AB7">
      <w:pPr>
        <w:adjustRightInd w:val="0"/>
        <w:spacing w:line="400" w:lineRule="exact"/>
        <w:ind w:firstLine="420" w:firstLineChars="200"/>
        <w:jc w:val="center"/>
        <w:rPr>
          <w:rFonts w:hint="eastAsia" w:ascii="宋体" w:hAnsi="宋体" w:eastAsia="宋体" w:cs="宋体"/>
          <w:bCs/>
          <w:sz w:val="21"/>
          <w:szCs w:val="21"/>
        </w:rPr>
      </w:pPr>
      <w:r>
        <w:rPr>
          <w:rFonts w:hint="eastAsia" w:ascii="宋体" w:hAnsi="宋体" w:eastAsia="宋体" w:cs="宋体"/>
          <w:bCs/>
          <w:sz w:val="21"/>
          <w:szCs w:val="21"/>
        </w:rPr>
        <w:t>第六章 违约责任和免责条件</w:t>
      </w:r>
    </w:p>
    <w:p w14:paraId="39DA89E7">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第十条 在工程建设过程中，甲方未及时拨付工资性工程款，乙方提供虚假资料挪用、套用资金的，按《浙江省企业工资支付管理办法》等相关规定追究责任。</w:t>
      </w:r>
    </w:p>
    <w:p w14:paraId="7CF68C7B">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第十一条 丙方未按照合同约定的支付条件办理资金支付而形成的直接损失，丙方应承担赔偿责任。专户出现被国家有权机关冻结、扣划的，丙方不承担责任。</w:t>
      </w:r>
    </w:p>
    <w:p w14:paraId="270395C4">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第十二条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330F9ACE">
      <w:pPr>
        <w:adjustRightInd w:val="0"/>
        <w:spacing w:line="400" w:lineRule="exact"/>
        <w:ind w:firstLine="420" w:firstLineChars="200"/>
        <w:jc w:val="center"/>
        <w:rPr>
          <w:rFonts w:hint="eastAsia" w:ascii="宋体" w:hAnsi="宋体" w:eastAsia="宋体" w:cs="宋体"/>
          <w:bCs/>
          <w:sz w:val="21"/>
          <w:szCs w:val="21"/>
        </w:rPr>
      </w:pPr>
      <w:r>
        <w:rPr>
          <w:rFonts w:hint="eastAsia" w:ascii="宋体" w:hAnsi="宋体" w:eastAsia="宋体" w:cs="宋体"/>
          <w:bCs/>
          <w:sz w:val="21"/>
          <w:szCs w:val="21"/>
        </w:rPr>
        <w:t>第七章 其他</w:t>
      </w:r>
    </w:p>
    <w:p w14:paraId="47A904E4">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第十三条 除法律、法规规定，以及因本工程专户资金托管业务的需要和三方特别约定外，未经三方同意，协议任何一方不得向外提供涉及甲、乙、丙方商业秘密的资料。</w:t>
      </w:r>
    </w:p>
    <w:p w14:paraId="1408EA10">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第十四条 协议的变更。本协议生效后，甲、乙、丙三方中任何一方需要变更协议条款时，应经三方协商一致，并签订补充协议，补充协议与本协议具有同等法律效力。</w:t>
      </w:r>
    </w:p>
    <w:p w14:paraId="66F26FF4">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第十五条 本协议一式六份，甲方、乙方、丙方各执贰份，每份具有同等法律效力。</w:t>
      </w:r>
    </w:p>
    <w:p w14:paraId="11C0BCD3">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甲方（签章）：               法定代表人（签字）：</w:t>
      </w:r>
    </w:p>
    <w:p w14:paraId="29C95CFD">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签订日期：   年  月  日</w:t>
      </w:r>
    </w:p>
    <w:p w14:paraId="3BF682F0">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乙方（签章）：               法定代表人（签字）：</w:t>
      </w:r>
    </w:p>
    <w:p w14:paraId="2F422751">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签字日期：   年  月  日</w:t>
      </w:r>
    </w:p>
    <w:p w14:paraId="27F9D577">
      <w:pPr>
        <w:adjustRightIn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丙方（签章）：               法定代表人（签字）：</w:t>
      </w:r>
    </w:p>
    <w:p w14:paraId="09DEBD28">
      <w:pPr>
        <w:adjustRightInd w:val="0"/>
        <w:spacing w:line="400" w:lineRule="exact"/>
        <w:ind w:firstLine="420" w:firstLineChars="200"/>
        <w:jc w:val="right"/>
        <w:rPr>
          <w:rFonts w:hint="eastAsia" w:ascii="宋体" w:hAnsi="宋体" w:eastAsia="宋体" w:cs="宋体"/>
          <w:bCs/>
          <w:sz w:val="21"/>
          <w:szCs w:val="21"/>
        </w:rPr>
      </w:pPr>
      <w:r>
        <w:rPr>
          <w:rFonts w:hint="eastAsia" w:ascii="宋体" w:hAnsi="宋体" w:eastAsia="宋体" w:cs="宋体"/>
          <w:bCs/>
          <w:sz w:val="21"/>
          <w:szCs w:val="21"/>
        </w:rPr>
        <w:t>签字日期：   年  月  日</w:t>
      </w:r>
    </w:p>
    <w:p w14:paraId="088E1F46">
      <w:pPr>
        <w:spacing w:line="360" w:lineRule="auto"/>
        <w:rPr>
          <w:rFonts w:ascii="宋体" w:cs="宋体"/>
          <w:b/>
          <w:bCs/>
          <w:color w:val="auto"/>
          <w:szCs w:val="21"/>
          <w:highlight w:val="none"/>
        </w:rPr>
      </w:pPr>
      <w:r>
        <w:rPr>
          <w:rFonts w:hint="eastAsia" w:ascii="宋体" w:hAnsi="宋体" w:eastAsia="宋体" w:cs="宋体"/>
          <w:bCs/>
          <w:sz w:val="21"/>
          <w:szCs w:val="21"/>
        </w:rPr>
        <w:t>注：在工程项目签订合同前，到我县行政区域内的商业银行设立“农民工工资支付专用账户”（以下简称“专户”），并与建设单位、开户银行签订《建筑工程农民工工资专用账户资金托管协议》。</w:t>
      </w:r>
    </w:p>
    <w:p w14:paraId="203D0E41">
      <w:pPr>
        <w:rPr>
          <w:rFonts w:ascii="宋体" w:cs="宋体"/>
          <w:color w:val="auto"/>
          <w:sz w:val="32"/>
          <w:szCs w:val="32"/>
          <w:highlight w:val="none"/>
        </w:rPr>
      </w:pPr>
      <w:r>
        <w:rPr>
          <w:rFonts w:ascii="宋体" w:cs="宋体"/>
          <w:color w:val="auto"/>
          <w:sz w:val="32"/>
          <w:szCs w:val="32"/>
          <w:highlight w:val="none"/>
        </w:rPr>
        <w:br w:type="page"/>
      </w:r>
    </w:p>
    <w:p w14:paraId="1C9CADA8">
      <w:pPr>
        <w:pStyle w:val="66"/>
        <w:rPr>
          <w:rFonts w:hint="eastAsia"/>
          <w:b/>
          <w:color w:val="auto"/>
          <w:highlight w:val="none"/>
        </w:rPr>
      </w:pPr>
      <w:r>
        <w:rPr>
          <w:rFonts w:hint="eastAsia"/>
          <w:b/>
          <w:color w:val="auto"/>
          <w:highlight w:val="none"/>
        </w:rPr>
        <w:t xml:space="preserve">附件13： </w:t>
      </w:r>
    </w:p>
    <w:p w14:paraId="6BD127F7">
      <w:pPr>
        <w:pStyle w:val="81"/>
        <w:tabs>
          <w:tab w:val="left" w:pos="3765"/>
        </w:tabs>
        <w:spacing w:line="240" w:lineRule="exact"/>
        <w:jc w:val="center"/>
        <w:rPr>
          <w:rFonts w:hint="eastAsia"/>
          <w:color w:val="auto"/>
          <w:highlight w:val="none"/>
        </w:rPr>
      </w:pPr>
      <w:r>
        <w:rPr>
          <w:rFonts w:hint="eastAsia"/>
          <w:color w:val="auto"/>
          <w:highlight w:val="none"/>
        </w:rPr>
        <w:t>技术规范及标准</w:t>
      </w:r>
    </w:p>
    <w:p w14:paraId="57916F9D">
      <w:pPr>
        <w:spacing w:line="240" w:lineRule="exact"/>
        <w:ind w:firstLine="420" w:firstLineChars="200"/>
        <w:rPr>
          <w:rFonts w:hint="eastAsia"/>
          <w:color w:val="auto"/>
          <w:highlight w:val="none"/>
        </w:rPr>
      </w:pPr>
      <w:r>
        <w:rPr>
          <w:color w:val="auto"/>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14:paraId="0C9F9F77">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《工程测量规范》GB50026-2016</w:t>
      </w:r>
    </w:p>
    <w:p w14:paraId="23FE9079">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《城镇道路工程施工与质量验收规范》CJJ1-2008</w:t>
      </w:r>
    </w:p>
    <w:p w14:paraId="703AA34F">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《给水排水管道工程施工及验收规范》GB50268-2008</w:t>
      </w:r>
    </w:p>
    <w:p w14:paraId="4191FF08">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《地基与基础工程施工及验收规范》GB50209-2002</w:t>
      </w:r>
    </w:p>
    <w:p w14:paraId="6B5E4E1B">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《建筑基坑支护技术规范》JGJ120-2012</w:t>
      </w:r>
    </w:p>
    <w:p w14:paraId="283645F3">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《建筑地基处理技术规范》JGJ79-2012、J220-2012</w:t>
      </w:r>
    </w:p>
    <w:p w14:paraId="1DE742D8">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《混凝土结构工程施工及验收规范》GB50204-2015</w:t>
      </w:r>
    </w:p>
    <w:p w14:paraId="3BA8A246">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《混凝土质量控制标准》GB50164-2011</w:t>
      </w:r>
    </w:p>
    <w:p w14:paraId="4F6BD69D">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《普通混凝土用砂、石质量标准及检验方法》JGJ52-2006</w:t>
      </w:r>
    </w:p>
    <w:p w14:paraId="2832BE3A">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《普通混凝土用碎石和卵石质量标准及检验方法》JGJ53-92</w:t>
      </w:r>
    </w:p>
    <w:p w14:paraId="4B91AE73">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《混凝土外加剂应用技术规范》 GB50119-2013</w:t>
      </w:r>
    </w:p>
    <w:p w14:paraId="6FEAF223">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《钢筋机械连接通用技术规程》JBJ107-2010</w:t>
      </w:r>
    </w:p>
    <w:p w14:paraId="014B340B">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《砌体结构工程施工质量验收规范》GB50203-2011</w:t>
      </w:r>
    </w:p>
    <w:p w14:paraId="68694AF4">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《屋面工程技术规范》GB50345-2012</w:t>
      </w:r>
    </w:p>
    <w:p w14:paraId="593D98CB">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 xml:space="preserve">《钢结构焊接及验收规程》JGJ81-2003     </w:t>
      </w:r>
    </w:p>
    <w:p w14:paraId="18B021CD">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《冷弯薄壁型钢结构技术规范》GB50018-2016</w:t>
      </w:r>
    </w:p>
    <w:p w14:paraId="5ABC6775">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 xml:space="preserve">《混凝土结构设计规范》GB50010-2010    </w:t>
      </w:r>
    </w:p>
    <w:p w14:paraId="4354D8AC">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《钢结构施工及验收规范》GB50205-2002</w:t>
      </w:r>
    </w:p>
    <w:p w14:paraId="6449123B">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 xml:space="preserve">《钢结构防火涂料应用技术规范》CECS 24  </w:t>
      </w:r>
    </w:p>
    <w:p w14:paraId="69FB03C5">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 xml:space="preserve">《门式刚架轻型房屋钢结构技术规程》GB51022-2015  </w:t>
      </w:r>
    </w:p>
    <w:p w14:paraId="27975087">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 xml:space="preserve">《钢结构高强度螺栓连接的设施工及验收规程》JGJ82-91  </w:t>
      </w:r>
    </w:p>
    <w:p w14:paraId="6C41478A">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 xml:space="preserve">《涂装前钢材表面锈蚀等级和除锈等级》GB8923  </w:t>
      </w:r>
    </w:p>
    <w:p w14:paraId="57AD17B3">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《施工现场临时用电安全技术规范》JGJ46-2005</w:t>
      </w:r>
    </w:p>
    <w:p w14:paraId="67E12441">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《建筑施工高处作业安全技术规范》JGJ80-2016</w:t>
      </w:r>
    </w:p>
    <w:p w14:paraId="299C6E4B">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《建筑机械使用安全技术规范》JGJ33-2012</w:t>
      </w:r>
    </w:p>
    <w:p w14:paraId="117A9163">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《建筑内部装修设计防火规范》GB50222-2017</w:t>
      </w:r>
    </w:p>
    <w:p w14:paraId="6427CA62">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《建筑装修工程质量验收规范》GB 50210-2001</w:t>
      </w:r>
    </w:p>
    <w:p w14:paraId="7D1E951E">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《民用建筑工程室内环境污染控制规范》GB 50325－2010</w:t>
      </w:r>
    </w:p>
    <w:p w14:paraId="3B5BF904">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《采暖通风与空气调节设计规范》GBJ19－2003</w:t>
      </w:r>
    </w:p>
    <w:p w14:paraId="195586F2">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《建筑电气工程施工质量验收规范》GB50303-2015</w:t>
      </w:r>
    </w:p>
    <w:p w14:paraId="62342519">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《建筑给水排水及采暖施工质量验收规范》GB50242-2002</w:t>
      </w:r>
    </w:p>
    <w:p w14:paraId="2584DEE9">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《通风与空调工程施工质量验收规范》GB50243-2016</w:t>
      </w:r>
    </w:p>
    <w:p w14:paraId="6ADC0EE9">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《火灾自动报警系统设计规范》GB50116-2013</w:t>
      </w:r>
    </w:p>
    <w:p w14:paraId="691777BF">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《火灾自动报警系统施工及验收规范》GB 50166-2007</w:t>
      </w:r>
    </w:p>
    <w:p w14:paraId="6FA3972C">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《自动喷水灭火系统施工及验收规范》GB 50261-2017</w:t>
      </w:r>
    </w:p>
    <w:p w14:paraId="3A8FC99E">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《道路工程术语标准》 GBJ124-88</w:t>
      </w:r>
    </w:p>
    <w:p w14:paraId="468FFF7B">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 xml:space="preserve">《道路工程制图标准》 GB50162-92 </w:t>
      </w:r>
    </w:p>
    <w:p w14:paraId="78900501">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《城镇道路工程施工与质量验收规范》 CJJ1-2008</w:t>
      </w:r>
    </w:p>
    <w:p w14:paraId="72928E28">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《城市桥梁工程施工与质量验收规范》 CJJ2-2008</w:t>
      </w:r>
    </w:p>
    <w:p w14:paraId="580B5A62">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《粉煤灰石灰类道路基层施工及验收规程》 CJJ4-97</w:t>
      </w:r>
    </w:p>
    <w:p w14:paraId="1E6ED8ED">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《城市桥梁养护技术规范》 CJJ99-2003</w:t>
      </w:r>
    </w:p>
    <w:p w14:paraId="5913ECA3">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《城市道路养护技术规范》 CJJ36-90</w:t>
      </w:r>
    </w:p>
    <w:p w14:paraId="042EE852">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《建筑给水排水及采暖工程施工质量验收规范》GB50242-2002</w:t>
      </w:r>
    </w:p>
    <w:p w14:paraId="7F0005CE">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 xml:space="preserve">《给水排水管道工程施工及验收规范》 GB 50268-2008 </w:t>
      </w:r>
    </w:p>
    <w:p w14:paraId="45824AE1">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《市政排水管渠工程质量检验评定标准》 CJJ3-90</w:t>
      </w:r>
    </w:p>
    <w:p w14:paraId="7C36B51C">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《排水管道维护安全技术规程》 CJJ 6-2009</w:t>
      </w:r>
    </w:p>
    <w:p w14:paraId="236F0D4A">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《城镇排水管渠与泵站维护技术规程》 CJJ 68-2007</w:t>
      </w:r>
    </w:p>
    <w:p w14:paraId="1F2A8989">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《智能建筑设计标准》                          GB/T50314-2006</w:t>
      </w:r>
    </w:p>
    <w:p w14:paraId="450010DB">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《民用建筑电气设计规范》                      JGJ16-2008</w:t>
      </w:r>
    </w:p>
    <w:p w14:paraId="54C71DD7">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《综合布线系统工程设计规范》                  GB50311-2007</w:t>
      </w:r>
    </w:p>
    <w:p w14:paraId="7AF017B6">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《综合布线系统工程验收规范》                  GB50312-2007</w:t>
      </w:r>
    </w:p>
    <w:p w14:paraId="17E7BD57">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《安全防范工程技术规范》                      GB50348-2004</w:t>
      </w:r>
    </w:p>
    <w:p w14:paraId="248B2812">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《民用闭路监视电视系统工程技术规范》          GB50198-2011</w:t>
      </w:r>
    </w:p>
    <w:p w14:paraId="63E0DF2A">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《视频安防监控系统工程设计规范》              GB50395-2007</w:t>
      </w:r>
    </w:p>
    <w:p w14:paraId="23369D8A">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《出入口控制系统工程设计规范》                GB50396-2007</w:t>
      </w:r>
    </w:p>
    <w:p w14:paraId="6D19B172">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《安全防范工程程序与要求》                    GA/T75-94</w:t>
      </w:r>
    </w:p>
    <w:p w14:paraId="6B7BB9CD">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《安全防范系统通用图形符号》                  GA/T74-2000</w:t>
      </w:r>
    </w:p>
    <w:p w14:paraId="5155FFD2">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《防盗报警控制器通用技术条件》                GB12663-2001</w:t>
      </w:r>
    </w:p>
    <w:p w14:paraId="46532C69">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《入侵报警系统工程设计规范》                  GB50394-2007</w:t>
      </w:r>
    </w:p>
    <w:p w14:paraId="7C6D94A5">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《有线电视系统工程技术规范》                  GB50200-94</w:t>
      </w:r>
    </w:p>
    <w:p w14:paraId="4859ACCD">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《有线电视广播系统技术规范》                  GY/T106-1999</w:t>
      </w:r>
    </w:p>
    <w:p w14:paraId="06829486">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《会议系统电视及音频的性能要求》              GB/T15381-94</w:t>
      </w:r>
    </w:p>
    <w:p w14:paraId="2F6092B0">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《厅堂扩声学特性指标》                        GYJ25-1986</w:t>
      </w:r>
    </w:p>
    <w:p w14:paraId="2C3AC71D">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《电子计算机房设计规范》                      GB50174-2008</w:t>
      </w:r>
    </w:p>
    <w:p w14:paraId="3E30FF36">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《建筑物防雷设计规范》                        GB50057-94(2010)</w:t>
      </w:r>
    </w:p>
    <w:p w14:paraId="77EBD2F7">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《建筑物电子信息系统防雷技术规范》            GB50343-2012</w:t>
      </w:r>
    </w:p>
    <w:p w14:paraId="4C1EDE61">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《低压配电设计规范》                          GB50054-2011</w:t>
      </w:r>
    </w:p>
    <w:p w14:paraId="0E2B3D80">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《建筑设计防火规范》                          GB50016-2006</w:t>
      </w:r>
    </w:p>
    <w:p w14:paraId="6EE21D31">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《高层民用建筑设计防火规范》                  GB50045-2005</w:t>
      </w:r>
    </w:p>
    <w:p w14:paraId="1A679C56">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《火灾自动报警系统施工及验收规范》            GB50166-2007</w:t>
      </w:r>
    </w:p>
    <w:p w14:paraId="14F25FD6">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《人民防空工程设计防火规范》                  GB50098-2009</w:t>
      </w:r>
    </w:p>
    <w:p w14:paraId="676EDF24">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《采暖通风与空气调节设计规范》                GB50019-2003</w:t>
      </w:r>
    </w:p>
    <w:p w14:paraId="1C613B21">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《智能建筑工程质量验收规范》                  GB50339-2013</w:t>
      </w:r>
    </w:p>
    <w:p w14:paraId="39DB1C53">
      <w:pPr>
        <w:pStyle w:val="78"/>
        <w:spacing w:line="240" w:lineRule="exact"/>
        <w:rPr>
          <w:rFonts w:hint="eastAsia" w:ascii="Times New Roman" w:hAnsi="Times New Roman"/>
          <w:color w:val="auto"/>
          <w:highlight w:val="none"/>
        </w:rPr>
      </w:pPr>
      <w:r>
        <w:rPr>
          <w:rFonts w:hint="eastAsia" w:ascii="Times New Roman" w:hAnsi="Times New Roman"/>
          <w:color w:val="auto"/>
          <w:highlight w:val="none"/>
        </w:rPr>
        <w:t>《建筑电气工程施工质量验收规范》              GB50303-2002</w:t>
      </w:r>
    </w:p>
    <w:p w14:paraId="21F2D122">
      <w:pPr>
        <w:pStyle w:val="78"/>
        <w:spacing w:line="300" w:lineRule="exact"/>
        <w:rPr>
          <w:rFonts w:hint="eastAsia" w:ascii="Times New Roman" w:hAnsi="Times New Roman" w:cs="Arial"/>
          <w:color w:val="auto"/>
          <w:szCs w:val="21"/>
          <w:highlight w:val="none"/>
        </w:rPr>
      </w:pPr>
      <w:r>
        <w:rPr>
          <w:rFonts w:ascii="Times New Roman" w:hAnsi="Times New Roman"/>
          <w:color w:val="auto"/>
          <w:highlight w:val="none"/>
        </w:rPr>
        <w:t>以上技术规范由</w:t>
      </w:r>
      <w:r>
        <w:rPr>
          <w:rFonts w:hint="eastAsia" w:ascii="Times New Roman" w:hAnsi="Times New Roman"/>
          <w:color w:val="auto"/>
          <w:highlight w:val="none"/>
        </w:rPr>
        <w:t>分包人</w:t>
      </w:r>
      <w:r>
        <w:rPr>
          <w:rFonts w:ascii="Times New Roman" w:hAnsi="Times New Roman"/>
          <w:color w:val="auto"/>
          <w:highlight w:val="none"/>
        </w:rPr>
        <w:t>自备，如有不足之处或未能达到国家最新标准时，</w:t>
      </w:r>
      <w:r>
        <w:rPr>
          <w:rFonts w:hint="eastAsia" w:ascii="Times New Roman" w:hAnsi="Times New Roman"/>
          <w:color w:val="auto"/>
          <w:highlight w:val="none"/>
        </w:rPr>
        <w:t>分包人</w:t>
      </w:r>
      <w:r>
        <w:rPr>
          <w:rFonts w:ascii="Times New Roman" w:hAnsi="Times New Roman"/>
          <w:color w:val="auto"/>
          <w:highlight w:val="none"/>
        </w:rPr>
        <w:t>应使施工及选用的设备和材料符合最新版本的国家标准、规范。</w:t>
      </w:r>
    </w:p>
    <w:p w14:paraId="6ACC3E45">
      <w:pPr>
        <w:rPr>
          <w:rFonts w:ascii="宋体" w:cs="宋体"/>
          <w:color w:val="auto"/>
          <w:sz w:val="32"/>
          <w:szCs w:val="32"/>
          <w:highlight w:val="none"/>
        </w:rPr>
      </w:pPr>
      <w:r>
        <w:rPr>
          <w:rFonts w:ascii="宋体" w:cs="宋体"/>
          <w:color w:val="auto"/>
          <w:sz w:val="32"/>
          <w:szCs w:val="32"/>
          <w:highlight w:val="none"/>
        </w:rPr>
        <w:br w:type="page"/>
      </w:r>
    </w:p>
    <w:p w14:paraId="1A1FD1FB">
      <w:pPr>
        <w:pStyle w:val="3"/>
        <w:spacing w:line="380" w:lineRule="exact"/>
        <w:jc w:val="center"/>
        <w:rPr>
          <w:rFonts w:ascii="宋体" w:cs="宋体"/>
          <w:b w:val="0"/>
          <w:bCs w:val="0"/>
          <w:color w:val="auto"/>
          <w:sz w:val="28"/>
          <w:szCs w:val="28"/>
          <w:highlight w:val="none"/>
        </w:rPr>
      </w:pPr>
      <w:r>
        <w:rPr>
          <w:rFonts w:hint="eastAsia" w:ascii="宋体" w:hAnsi="宋体" w:cs="宋体"/>
          <w:color w:val="auto"/>
          <w:sz w:val="32"/>
          <w:szCs w:val="32"/>
          <w:highlight w:val="none"/>
        </w:rPr>
        <w:t>第六章　响应文件格式</w:t>
      </w:r>
      <w:bookmarkEnd w:id="120"/>
      <w:bookmarkEnd w:id="121"/>
      <w:bookmarkEnd w:id="122"/>
      <w:bookmarkEnd w:id="123"/>
      <w:bookmarkEnd w:id="124"/>
    </w:p>
    <w:p w14:paraId="6E14C84D">
      <w:pPr>
        <w:spacing w:line="360" w:lineRule="auto"/>
        <w:rPr>
          <w:rFonts w:ascii="宋体" w:cs="宋体"/>
          <w:b/>
          <w:bCs/>
          <w:color w:val="auto"/>
          <w:sz w:val="28"/>
          <w:szCs w:val="28"/>
          <w:highlight w:val="none"/>
        </w:rPr>
      </w:pPr>
      <w:r>
        <w:rPr>
          <w:rFonts w:hint="eastAsia" w:ascii="宋体" w:hAnsi="宋体" w:cs="宋体"/>
          <w:b/>
          <w:bCs/>
          <w:color w:val="auto"/>
          <w:sz w:val="28"/>
          <w:szCs w:val="28"/>
          <w:highlight w:val="none"/>
        </w:rPr>
        <w:t>响应文件封面样式</w:t>
      </w:r>
    </w:p>
    <w:p w14:paraId="6DD60AAB">
      <w:pPr>
        <w:pStyle w:val="15"/>
        <w:spacing w:line="480" w:lineRule="auto"/>
        <w:ind w:left="0" w:leftChars="0" w:right="280"/>
        <w:jc w:val="right"/>
        <w:rPr>
          <w:rFonts w:ascii="宋体" w:cs="宋体"/>
          <w:b/>
          <w:color w:val="auto"/>
          <w:sz w:val="28"/>
          <w:highlight w:val="none"/>
        </w:rPr>
      </w:pPr>
    </w:p>
    <w:p w14:paraId="5CA344B0">
      <w:pPr>
        <w:rPr>
          <w:rFonts w:ascii="宋体" w:cs="宋体"/>
          <w:b/>
          <w:color w:val="auto"/>
          <w:sz w:val="28"/>
          <w:highlight w:val="none"/>
        </w:rPr>
      </w:pPr>
    </w:p>
    <w:p w14:paraId="4D2E7D7A">
      <w:pPr>
        <w:spacing w:line="360" w:lineRule="auto"/>
        <w:jc w:val="center"/>
        <w:rPr>
          <w:rFonts w:ascii="宋体" w:cs="宋体"/>
          <w:color w:val="auto"/>
          <w:sz w:val="84"/>
          <w:highlight w:val="none"/>
        </w:rPr>
      </w:pPr>
      <w:r>
        <w:rPr>
          <w:rFonts w:hint="eastAsia" w:ascii="宋体" w:hAnsi="宋体" w:cs="宋体"/>
          <w:color w:val="auto"/>
          <w:sz w:val="84"/>
          <w:highlight w:val="none"/>
        </w:rPr>
        <w:t>响</w:t>
      </w:r>
      <w:r>
        <w:rPr>
          <w:rFonts w:ascii="宋体" w:hAnsi="宋体" w:cs="宋体"/>
          <w:color w:val="auto"/>
          <w:sz w:val="84"/>
          <w:highlight w:val="none"/>
        </w:rPr>
        <w:t xml:space="preserve"> </w:t>
      </w:r>
      <w:r>
        <w:rPr>
          <w:rFonts w:hint="eastAsia" w:ascii="宋体" w:hAnsi="宋体" w:cs="宋体"/>
          <w:color w:val="auto"/>
          <w:sz w:val="84"/>
          <w:highlight w:val="none"/>
        </w:rPr>
        <w:t>应</w:t>
      </w:r>
      <w:r>
        <w:rPr>
          <w:rFonts w:ascii="宋体" w:hAnsi="宋体" w:cs="宋体"/>
          <w:color w:val="auto"/>
          <w:sz w:val="84"/>
          <w:highlight w:val="none"/>
        </w:rPr>
        <w:t xml:space="preserve"> </w:t>
      </w:r>
      <w:r>
        <w:rPr>
          <w:rFonts w:hint="eastAsia" w:ascii="宋体" w:hAnsi="宋体" w:cs="宋体"/>
          <w:color w:val="auto"/>
          <w:sz w:val="84"/>
          <w:highlight w:val="none"/>
        </w:rPr>
        <w:t>文</w:t>
      </w:r>
      <w:r>
        <w:rPr>
          <w:rFonts w:ascii="宋体" w:hAnsi="宋体" w:cs="宋体"/>
          <w:color w:val="auto"/>
          <w:sz w:val="84"/>
          <w:highlight w:val="none"/>
        </w:rPr>
        <w:t xml:space="preserve"> </w:t>
      </w:r>
      <w:r>
        <w:rPr>
          <w:rFonts w:hint="eastAsia" w:ascii="宋体" w:hAnsi="宋体" w:cs="宋体"/>
          <w:color w:val="auto"/>
          <w:sz w:val="84"/>
          <w:highlight w:val="none"/>
        </w:rPr>
        <w:t>件</w:t>
      </w:r>
    </w:p>
    <w:p w14:paraId="594A3CE2">
      <w:pPr>
        <w:pStyle w:val="15"/>
        <w:ind w:left="0" w:leftChars="0" w:right="280"/>
        <w:jc w:val="center"/>
        <w:rPr>
          <w:rFonts w:ascii="宋体" w:cs="宋体"/>
          <w:b/>
          <w:color w:val="auto"/>
          <w:sz w:val="32"/>
          <w:szCs w:val="32"/>
          <w:highlight w:val="none"/>
        </w:rPr>
      </w:pPr>
      <w:r>
        <w:rPr>
          <w:rFonts w:hint="eastAsia" w:ascii="宋体" w:hAnsi="宋体" w:cs="宋体"/>
          <w:b/>
          <w:color w:val="auto"/>
          <w:sz w:val="32"/>
          <w:szCs w:val="32"/>
          <w:highlight w:val="none"/>
          <w:lang w:val="zh-CN"/>
        </w:rPr>
        <w:t>“</w:t>
      </w:r>
      <w:r>
        <w:rPr>
          <w:rFonts w:hint="eastAsia" w:ascii="宋体" w:hAnsi="宋体" w:cs="宋体"/>
          <w:b/>
          <w:color w:val="auto"/>
          <w:sz w:val="32"/>
          <w:szCs w:val="32"/>
          <w:highlight w:val="none"/>
        </w:rPr>
        <w:t>资格证明文件”或</w:t>
      </w:r>
      <w:r>
        <w:rPr>
          <w:rFonts w:hint="eastAsia" w:ascii="宋体" w:hAnsi="宋体" w:cs="宋体"/>
          <w:b/>
          <w:color w:val="auto"/>
          <w:sz w:val="32"/>
          <w:szCs w:val="32"/>
          <w:highlight w:val="none"/>
          <w:lang w:val="zh-CN"/>
        </w:rPr>
        <w:t>“</w:t>
      </w:r>
      <w:r>
        <w:rPr>
          <w:rFonts w:hint="eastAsia" w:ascii="宋体" w:hAnsi="宋体" w:cs="宋体"/>
          <w:b/>
          <w:color w:val="auto"/>
          <w:sz w:val="32"/>
          <w:szCs w:val="32"/>
          <w:highlight w:val="none"/>
        </w:rPr>
        <w:t>商务与技术文件”或“报价文件”</w:t>
      </w:r>
    </w:p>
    <w:p w14:paraId="4486CDA8">
      <w:pPr>
        <w:pStyle w:val="15"/>
        <w:ind w:left="0" w:leftChars="0" w:right="280"/>
        <w:jc w:val="center"/>
        <w:rPr>
          <w:rFonts w:ascii="宋体" w:cs="宋体"/>
          <w:b/>
          <w:color w:val="auto"/>
          <w:sz w:val="32"/>
          <w:szCs w:val="32"/>
          <w:highlight w:val="none"/>
        </w:rPr>
      </w:pPr>
      <w:r>
        <w:rPr>
          <w:rFonts w:hint="eastAsia" w:ascii="宋体" w:hAnsi="宋体" w:cs="宋体"/>
          <w:b/>
          <w:color w:val="auto"/>
          <w:sz w:val="32"/>
          <w:szCs w:val="32"/>
          <w:highlight w:val="none"/>
        </w:rPr>
        <w:t>（请选择）</w:t>
      </w:r>
    </w:p>
    <w:p w14:paraId="2DAE45B4">
      <w:pPr>
        <w:rPr>
          <w:rFonts w:ascii="宋体" w:cs="宋体"/>
          <w:color w:val="auto"/>
          <w:highlight w:val="none"/>
        </w:rPr>
      </w:pPr>
    </w:p>
    <w:p w14:paraId="0BFDCE65">
      <w:pPr>
        <w:rPr>
          <w:rFonts w:ascii="宋体" w:cs="宋体"/>
          <w:color w:val="auto"/>
          <w:highlight w:val="none"/>
        </w:rPr>
      </w:pPr>
    </w:p>
    <w:p w14:paraId="6896401F">
      <w:pPr>
        <w:rPr>
          <w:rFonts w:ascii="宋体" w:cs="宋体"/>
          <w:color w:val="auto"/>
          <w:sz w:val="28"/>
          <w:szCs w:val="28"/>
          <w:highlight w:val="none"/>
        </w:rPr>
      </w:pPr>
    </w:p>
    <w:p w14:paraId="0B2E0FD9">
      <w:pPr>
        <w:pStyle w:val="9"/>
        <w:rPr>
          <w:rFonts w:ascii="宋体" w:cs="宋体"/>
          <w:color w:val="auto"/>
          <w:sz w:val="28"/>
          <w:szCs w:val="28"/>
          <w:highlight w:val="none"/>
        </w:rPr>
      </w:pPr>
      <w:r>
        <w:rPr>
          <w:rFonts w:ascii="宋体" w:hAnsi="宋体" w:cs="宋体"/>
          <w:color w:val="auto"/>
          <w:sz w:val="28"/>
          <w:szCs w:val="28"/>
          <w:highlight w:val="none"/>
        </w:rPr>
        <w:t xml:space="preserve">                     </w:t>
      </w:r>
      <w:r>
        <w:rPr>
          <w:rFonts w:hint="eastAsia" w:ascii="宋体" w:hAnsi="宋体" w:cs="宋体"/>
          <w:b/>
          <w:bCs/>
          <w:color w:val="auto"/>
          <w:sz w:val="28"/>
          <w:szCs w:val="28"/>
          <w:highlight w:val="none"/>
        </w:rPr>
        <w:t>标项号</w:t>
      </w:r>
      <w:r>
        <w:rPr>
          <w:rFonts w:ascii="宋体" w:hAnsi="宋体" w:cs="宋体"/>
          <w:b/>
          <w:bCs/>
          <w:color w:val="auto"/>
          <w:sz w:val="28"/>
          <w:szCs w:val="28"/>
          <w:highlight w:val="none"/>
        </w:rPr>
        <w:t xml:space="preserve"> </w:t>
      </w:r>
      <w:r>
        <w:rPr>
          <w:rFonts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（如有）</w:t>
      </w:r>
    </w:p>
    <w:p w14:paraId="64C083B8">
      <w:pPr>
        <w:rPr>
          <w:rFonts w:ascii="宋体" w:cs="宋体"/>
          <w:color w:val="auto"/>
          <w:highlight w:val="none"/>
        </w:rPr>
      </w:pPr>
    </w:p>
    <w:p w14:paraId="100ADD19">
      <w:pPr>
        <w:pStyle w:val="14"/>
        <w:spacing w:before="156" w:after="156" w:line="480" w:lineRule="auto"/>
        <w:jc w:val="center"/>
        <w:rPr>
          <w:rFonts w:hint="eastAsia" w:hAnsi="宋体" w:cs="宋体"/>
          <w:b/>
          <w:color w:val="auto"/>
          <w:sz w:val="28"/>
          <w:highlight w:val="none"/>
        </w:rPr>
      </w:pPr>
    </w:p>
    <w:p w14:paraId="0F261B1B">
      <w:pPr>
        <w:pStyle w:val="14"/>
        <w:spacing w:before="156" w:after="156" w:line="480" w:lineRule="auto"/>
        <w:ind w:firstLine="980" w:firstLineChars="350"/>
        <w:rPr>
          <w:rFonts w:hint="eastAsia" w:hAnsi="宋体" w:cs="宋体"/>
          <w:b/>
          <w:bCs/>
          <w:color w:val="auto"/>
          <w:sz w:val="28"/>
          <w:szCs w:val="28"/>
          <w:highlight w:val="none"/>
          <w:u w:val="single"/>
        </w:rPr>
      </w:pPr>
      <w:r>
        <w:rPr>
          <w:rFonts w:hint="eastAsia" w:hAnsi="宋体" w:cs="宋体"/>
          <w:bCs/>
          <w:color w:val="auto"/>
          <w:sz w:val="28"/>
          <w:szCs w:val="28"/>
          <w:highlight w:val="none"/>
          <w:lang w:val="zh-CN"/>
        </w:rPr>
        <w:t>项目编号</w:t>
      </w:r>
      <w:r>
        <w:rPr>
          <w:rFonts w:hAnsi="宋体" w:cs="宋体"/>
          <w:bCs/>
          <w:color w:val="auto"/>
          <w:sz w:val="28"/>
          <w:szCs w:val="28"/>
          <w:highlight w:val="none"/>
          <w:lang w:val="zh-CN"/>
        </w:rPr>
        <w:t>:</w:t>
      </w:r>
    </w:p>
    <w:p w14:paraId="312A1A47">
      <w:pPr>
        <w:pStyle w:val="14"/>
        <w:spacing w:before="156" w:after="156" w:line="480" w:lineRule="auto"/>
        <w:ind w:firstLine="980" w:firstLineChars="350"/>
        <w:rPr>
          <w:rFonts w:hint="eastAsia" w:hAnsi="宋体" w:cs="宋体"/>
          <w:b/>
          <w:bCs/>
          <w:color w:val="auto"/>
          <w:sz w:val="28"/>
          <w:szCs w:val="28"/>
          <w:highlight w:val="none"/>
          <w:u w:val="single"/>
        </w:rPr>
      </w:pPr>
      <w:r>
        <w:rPr>
          <w:rFonts w:hint="eastAsia" w:hAnsi="宋体" w:cs="宋体"/>
          <w:color w:val="auto"/>
          <w:sz w:val="28"/>
          <w:szCs w:val="28"/>
          <w:highlight w:val="none"/>
        </w:rPr>
        <w:t>项目名</w:t>
      </w:r>
      <w:r>
        <w:rPr>
          <w:rFonts w:hint="eastAsia" w:hAnsi="宋体" w:cs="宋体"/>
          <w:bCs/>
          <w:color w:val="auto"/>
          <w:sz w:val="28"/>
          <w:szCs w:val="28"/>
          <w:highlight w:val="none"/>
        </w:rPr>
        <w:t>称</w:t>
      </w:r>
      <w:r>
        <w:rPr>
          <w:rFonts w:hAnsi="宋体" w:cs="宋体"/>
          <w:bCs/>
          <w:color w:val="auto"/>
          <w:sz w:val="28"/>
          <w:szCs w:val="28"/>
          <w:highlight w:val="none"/>
          <w:lang w:val="zh-CN"/>
        </w:rPr>
        <w:t>:</w:t>
      </w:r>
    </w:p>
    <w:p w14:paraId="50CA0168">
      <w:pPr>
        <w:spacing w:line="360" w:lineRule="auto"/>
        <w:ind w:firstLine="2744" w:firstLineChars="980"/>
        <w:jc w:val="left"/>
        <w:rPr>
          <w:rFonts w:ascii="宋体" w:cs="宋体"/>
          <w:color w:val="auto"/>
          <w:sz w:val="28"/>
          <w:szCs w:val="44"/>
          <w:highlight w:val="none"/>
        </w:rPr>
      </w:pPr>
    </w:p>
    <w:p w14:paraId="30FF4B16">
      <w:pPr>
        <w:pStyle w:val="9"/>
        <w:rPr>
          <w:rFonts w:ascii="宋体" w:cs="宋体"/>
          <w:color w:val="auto"/>
          <w:sz w:val="28"/>
          <w:szCs w:val="44"/>
          <w:highlight w:val="none"/>
        </w:rPr>
      </w:pPr>
    </w:p>
    <w:p w14:paraId="4F041B57">
      <w:pPr>
        <w:spacing w:line="360" w:lineRule="auto"/>
        <w:jc w:val="left"/>
        <w:rPr>
          <w:rFonts w:ascii="宋体" w:cs="宋体"/>
          <w:color w:val="auto"/>
          <w:sz w:val="28"/>
          <w:szCs w:val="44"/>
          <w:highlight w:val="none"/>
        </w:rPr>
      </w:pPr>
    </w:p>
    <w:p w14:paraId="32F74FD3">
      <w:pPr>
        <w:spacing w:line="360" w:lineRule="auto"/>
        <w:ind w:firstLine="980" w:firstLineChars="350"/>
        <w:jc w:val="left"/>
        <w:rPr>
          <w:rFonts w:ascii="宋体" w:cs="宋体"/>
          <w:color w:val="auto"/>
          <w:sz w:val="28"/>
          <w:szCs w:val="44"/>
          <w:highlight w:val="none"/>
          <w:u w:val="single"/>
        </w:rPr>
      </w:pPr>
      <w:r>
        <w:rPr>
          <w:rFonts w:hint="eastAsia" w:ascii="宋体" w:hAnsi="宋体" w:cs="宋体"/>
          <w:color w:val="auto"/>
          <w:sz w:val="28"/>
          <w:szCs w:val="44"/>
          <w:highlight w:val="none"/>
        </w:rPr>
        <w:t>供应商名称：</w:t>
      </w:r>
      <w:r>
        <w:rPr>
          <w:rFonts w:ascii="宋体" w:hAnsi="宋体" w:cs="宋体"/>
          <w:color w:val="auto"/>
          <w:sz w:val="28"/>
          <w:szCs w:val="44"/>
          <w:highlight w:val="none"/>
          <w:u w:val="single"/>
        </w:rPr>
        <w:t xml:space="preserve">                         </w:t>
      </w:r>
      <w:r>
        <w:rPr>
          <w:rFonts w:hint="eastAsia" w:ascii="宋体" w:hAnsi="宋体" w:cs="宋体"/>
          <w:color w:val="auto"/>
          <w:sz w:val="28"/>
          <w:szCs w:val="44"/>
          <w:highlight w:val="none"/>
        </w:rPr>
        <w:t>（盖单位章）</w:t>
      </w:r>
    </w:p>
    <w:p w14:paraId="0B13CE68">
      <w:pPr>
        <w:spacing w:before="156" w:beforeLines="50" w:line="360" w:lineRule="auto"/>
        <w:ind w:firstLine="3920" w:firstLineChars="1400"/>
        <w:jc w:val="left"/>
        <w:rPr>
          <w:rFonts w:ascii="宋体" w:cs="宋体"/>
          <w:color w:val="auto"/>
          <w:sz w:val="28"/>
          <w:highlight w:val="none"/>
        </w:rPr>
      </w:pPr>
      <w:r>
        <w:rPr>
          <w:rFonts w:hint="eastAsia" w:ascii="宋体" w:hAnsi="宋体" w:cs="宋体"/>
          <w:color w:val="auto"/>
          <w:sz w:val="28"/>
          <w:highlight w:val="none"/>
        </w:rPr>
        <w:t>年</w:t>
      </w:r>
      <w:r>
        <w:rPr>
          <w:rFonts w:ascii="宋体" w:hAnsi="宋体" w:cs="宋体"/>
          <w:color w:val="auto"/>
          <w:sz w:val="28"/>
          <w:highlight w:val="none"/>
        </w:rPr>
        <w:t xml:space="preserve">   </w:t>
      </w:r>
      <w:r>
        <w:rPr>
          <w:rFonts w:hint="eastAsia" w:ascii="宋体" w:hAnsi="宋体" w:cs="宋体"/>
          <w:color w:val="auto"/>
          <w:sz w:val="28"/>
          <w:highlight w:val="none"/>
        </w:rPr>
        <w:t>月</w:t>
      </w:r>
      <w:r>
        <w:rPr>
          <w:rFonts w:ascii="宋体" w:hAnsi="宋体" w:cs="宋体"/>
          <w:color w:val="auto"/>
          <w:sz w:val="28"/>
          <w:highlight w:val="none"/>
        </w:rPr>
        <w:t xml:space="preserve">   </w:t>
      </w:r>
      <w:r>
        <w:rPr>
          <w:rFonts w:hint="eastAsia" w:ascii="宋体" w:hAnsi="宋体" w:cs="宋体"/>
          <w:color w:val="auto"/>
          <w:sz w:val="28"/>
          <w:highlight w:val="none"/>
        </w:rPr>
        <w:t>日</w:t>
      </w:r>
    </w:p>
    <w:p w14:paraId="3CF96958">
      <w:pPr>
        <w:spacing w:before="50" w:after="50" w:line="360" w:lineRule="auto"/>
        <w:rPr>
          <w:rFonts w:ascii="宋体" w:cs="宋体"/>
          <w:color w:val="auto"/>
          <w:sz w:val="24"/>
          <w:highlight w:val="none"/>
        </w:rPr>
        <w:sectPr>
          <w:headerReference r:id="rId9" w:type="default"/>
          <w:pgSz w:w="11906" w:h="16838"/>
          <w:pgMar w:top="1440" w:right="1587" w:bottom="1440" w:left="1587" w:header="851" w:footer="992" w:gutter="0"/>
          <w:cols w:space="720" w:num="1"/>
          <w:docGrid w:type="lines" w:linePitch="312" w:charSpace="0"/>
        </w:sectPr>
      </w:pPr>
    </w:p>
    <w:p w14:paraId="0EE3E4C4">
      <w:pPr>
        <w:pStyle w:val="4"/>
        <w:spacing w:before="312" w:beforeLines="100" w:after="0"/>
        <w:jc w:val="center"/>
        <w:rPr>
          <w:rFonts w:hint="eastAsia" w:ascii="宋体" w:hAnsi="宋体" w:eastAsia="宋体" w:cs="宋体"/>
          <w:bCs w:val="0"/>
          <w:color w:val="auto"/>
          <w:highlight w:val="none"/>
          <w:lang w:val="zh-CN"/>
        </w:rPr>
      </w:pPr>
      <w:bookmarkStart w:id="127" w:name="_Toc14856"/>
      <w:bookmarkStart w:id="128" w:name="_Toc528578413"/>
      <w:bookmarkStart w:id="129" w:name="_Toc528927455"/>
      <w:bookmarkStart w:id="130" w:name="_Toc528927456"/>
      <w:bookmarkStart w:id="131" w:name="_Toc528578414"/>
      <w:r>
        <w:rPr>
          <w:rFonts w:ascii="宋体" w:hAnsi="宋体" w:eastAsia="宋体" w:cs="宋体"/>
          <w:bCs w:val="0"/>
          <w:color w:val="auto"/>
          <w:highlight w:val="none"/>
          <w:lang w:val="zh-CN"/>
        </w:rPr>
        <w:t>1</w:t>
      </w:r>
      <w:r>
        <w:rPr>
          <w:rFonts w:hint="eastAsia" w:ascii="宋体" w:hAnsi="宋体" w:eastAsia="宋体" w:cs="宋体"/>
          <w:bCs w:val="0"/>
          <w:color w:val="auto"/>
          <w:highlight w:val="none"/>
          <w:lang w:val="zh-CN"/>
        </w:rPr>
        <w:t>、资格文件格式</w:t>
      </w:r>
      <w:bookmarkEnd w:id="127"/>
      <w:bookmarkEnd w:id="128"/>
      <w:bookmarkEnd w:id="129"/>
    </w:p>
    <w:p w14:paraId="6C000214">
      <w:pPr>
        <w:spacing w:before="100" w:beforeAutospacing="1" w:line="48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目</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录</w:t>
      </w:r>
    </w:p>
    <w:p w14:paraId="4958B40E">
      <w:pPr>
        <w:spacing w:line="360" w:lineRule="auto"/>
        <w:jc w:val="center"/>
        <w:rPr>
          <w:rFonts w:ascii="宋体" w:cs="宋体"/>
          <w:color w:val="auto"/>
          <w:sz w:val="24"/>
          <w:highlight w:val="none"/>
        </w:rPr>
      </w:pPr>
      <w:r>
        <w:rPr>
          <w:rFonts w:hint="eastAsia" w:ascii="宋体" w:hAnsi="宋体" w:cs="宋体"/>
          <w:color w:val="auto"/>
          <w:sz w:val="24"/>
          <w:highlight w:val="none"/>
        </w:rPr>
        <w:t>（按照“第三章</w:t>
      </w:r>
      <w:r>
        <w:rPr>
          <w:rFonts w:ascii="宋体" w:hAnsi="宋体" w:cs="宋体"/>
          <w:color w:val="auto"/>
          <w:sz w:val="24"/>
          <w:highlight w:val="none"/>
        </w:rPr>
        <w:t xml:space="preserve"> </w:t>
      </w:r>
      <w:r>
        <w:rPr>
          <w:rFonts w:hint="eastAsia" w:ascii="宋体" w:hAnsi="宋体" w:cs="宋体"/>
          <w:color w:val="auto"/>
          <w:sz w:val="24"/>
          <w:highlight w:val="none"/>
        </w:rPr>
        <w:t>磋商须知”有关资格证明文件组成要求编排）</w:t>
      </w:r>
    </w:p>
    <w:p w14:paraId="68A30BD0">
      <w:pPr>
        <w:spacing w:before="100" w:beforeAutospacing="1" w:line="480" w:lineRule="auto"/>
        <w:jc w:val="center"/>
        <w:rPr>
          <w:rFonts w:ascii="宋体" w:cs="宋体"/>
          <w:b/>
          <w:bCs/>
          <w:color w:val="auto"/>
          <w:sz w:val="32"/>
          <w:szCs w:val="32"/>
          <w:highlight w:val="none"/>
        </w:rPr>
      </w:pPr>
    </w:p>
    <w:p w14:paraId="58CE9D11">
      <w:pPr>
        <w:spacing w:before="100" w:beforeAutospacing="1" w:line="360" w:lineRule="auto"/>
        <w:rPr>
          <w:rFonts w:ascii="宋体" w:cs="宋体"/>
          <w:b/>
          <w:bCs/>
          <w:color w:val="auto"/>
          <w:sz w:val="24"/>
          <w:highlight w:val="none"/>
        </w:rPr>
        <w:sectPr>
          <w:pgSz w:w="11906" w:h="16838"/>
          <w:pgMar w:top="1440" w:right="1587" w:bottom="1440" w:left="1587" w:header="851" w:footer="992" w:gutter="0"/>
          <w:cols w:space="720" w:num="1"/>
          <w:docGrid w:type="lines" w:linePitch="312" w:charSpace="0"/>
        </w:sectPr>
      </w:pPr>
    </w:p>
    <w:p w14:paraId="7444A982">
      <w:pPr>
        <w:spacing w:line="360" w:lineRule="auto"/>
        <w:rPr>
          <w:rFonts w:ascii="宋体" w:cs="宋体"/>
          <w:b/>
          <w:bCs/>
          <w:color w:val="auto"/>
          <w:sz w:val="24"/>
          <w:highlight w:val="none"/>
        </w:rPr>
      </w:pPr>
      <w:r>
        <w:rPr>
          <w:rFonts w:hint="eastAsia" w:ascii="宋体" w:hAnsi="宋体" w:cs="宋体"/>
          <w:b/>
          <w:bCs/>
          <w:color w:val="auto"/>
          <w:sz w:val="24"/>
          <w:highlight w:val="none"/>
        </w:rPr>
        <w:t>附件</w:t>
      </w:r>
      <w:r>
        <w:rPr>
          <w:rFonts w:ascii="宋体" w:hAnsi="宋体" w:cs="宋体"/>
          <w:b/>
          <w:bCs/>
          <w:color w:val="auto"/>
          <w:sz w:val="24"/>
          <w:highlight w:val="none"/>
        </w:rPr>
        <w:t>1</w:t>
      </w:r>
      <w:r>
        <w:rPr>
          <w:rFonts w:hint="eastAsia" w:ascii="宋体" w:hAnsi="宋体" w:cs="宋体"/>
          <w:b/>
          <w:bCs/>
          <w:color w:val="auto"/>
          <w:sz w:val="24"/>
          <w:highlight w:val="none"/>
        </w:rPr>
        <w:t>：</w:t>
      </w:r>
    </w:p>
    <w:p w14:paraId="06D56DD2">
      <w:pPr>
        <w:spacing w:line="480" w:lineRule="auto"/>
        <w:jc w:val="left"/>
        <w:rPr>
          <w:rFonts w:ascii="宋体" w:cs="宋体"/>
          <w:color w:val="auto"/>
          <w:sz w:val="28"/>
          <w:szCs w:val="28"/>
          <w:highlight w:val="none"/>
          <w:lang w:val="zh-CN"/>
        </w:rPr>
      </w:pPr>
    </w:p>
    <w:p w14:paraId="68B52812">
      <w:pPr>
        <w:spacing w:after="312" w:afterLines="100" w:line="480" w:lineRule="auto"/>
        <w:jc w:val="center"/>
        <w:rPr>
          <w:rFonts w:asci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具有履行合同所必须的设备和专业技术能力的承诺函</w:t>
      </w:r>
    </w:p>
    <w:p w14:paraId="0A2A45C2">
      <w:pPr>
        <w:spacing w:line="480" w:lineRule="auto"/>
        <w:jc w:val="left"/>
        <w:rPr>
          <w:rFonts w:ascii="宋体" w:cs="宋体"/>
          <w:color w:val="auto"/>
          <w:sz w:val="28"/>
          <w:szCs w:val="28"/>
          <w:highlight w:val="non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仙居县白塔镇人民政府：</w:t>
      </w:r>
    </w:p>
    <w:p w14:paraId="7DC5DA60">
      <w:pPr>
        <w:spacing w:line="480" w:lineRule="auto"/>
        <w:ind w:firstLine="560" w:firstLineChars="200"/>
        <w:jc w:val="left"/>
        <w:rPr>
          <w:rFonts w:ascii="宋体" w:cs="宋体"/>
          <w:color w:val="auto"/>
          <w:sz w:val="28"/>
          <w:szCs w:val="28"/>
          <w:highlight w:val="none"/>
        </w:rPr>
      </w:pPr>
      <w:r>
        <w:rPr>
          <w:rFonts w:hint="eastAsia" w:ascii="宋体" w:hAnsi="宋体" w:cs="宋体"/>
          <w:color w:val="auto"/>
          <w:sz w:val="28"/>
          <w:szCs w:val="28"/>
          <w:highlight w:val="none"/>
        </w:rPr>
        <w:t>在贵方组织的</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神仙居5A景区镇基础设施提升项目-游客集散中心（景区集散点）项目（重新招标）</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磋商邀请，我公司在完全理解本项目采购的技术要求、商务条款及其他内容后，决定参与该项目的采购活动。并承诺，如中标，我公司将提供足够的设备和专业技术能力保证本合同履行。</w:t>
      </w:r>
    </w:p>
    <w:p w14:paraId="1FBF33E4">
      <w:pPr>
        <w:spacing w:line="480" w:lineRule="auto"/>
        <w:ind w:firstLine="560" w:firstLineChars="200"/>
        <w:jc w:val="left"/>
        <w:rPr>
          <w:rFonts w:ascii="宋体" w:cs="宋体"/>
          <w:color w:val="auto"/>
          <w:sz w:val="28"/>
          <w:szCs w:val="28"/>
          <w:highlight w:val="none"/>
        </w:rPr>
      </w:pPr>
      <w:r>
        <w:rPr>
          <w:rFonts w:hint="eastAsia" w:ascii="宋体" w:hAnsi="宋体" w:cs="宋体"/>
          <w:color w:val="auto"/>
          <w:sz w:val="28"/>
          <w:szCs w:val="28"/>
          <w:highlight w:val="none"/>
        </w:rPr>
        <w:t>本公司对上述承诺的真实性负责。如有虚假，我公司同意按我方合同违约处理，并依法承担相应法律责任。</w:t>
      </w:r>
    </w:p>
    <w:p w14:paraId="770D8661">
      <w:pPr>
        <w:spacing w:line="450" w:lineRule="atLeast"/>
        <w:ind w:right="480" w:firstLine="5040" w:firstLineChars="1800"/>
        <w:rPr>
          <w:rFonts w:ascii="宋体" w:cs="宋体"/>
          <w:color w:val="auto"/>
          <w:sz w:val="28"/>
          <w:szCs w:val="28"/>
          <w:highlight w:val="none"/>
        </w:rPr>
      </w:pPr>
    </w:p>
    <w:p w14:paraId="483924E5">
      <w:pPr>
        <w:spacing w:line="450" w:lineRule="atLeast"/>
        <w:jc w:val="left"/>
        <w:rPr>
          <w:rFonts w:ascii="宋体" w:cs="宋体"/>
          <w:color w:val="auto"/>
          <w:sz w:val="28"/>
          <w:szCs w:val="28"/>
          <w:highlight w:val="none"/>
        </w:rPr>
      </w:pPr>
      <w:r>
        <w:rPr>
          <w:rFonts w:ascii="宋体" w:cs="宋体"/>
          <w:color w:val="auto"/>
          <w:sz w:val="28"/>
          <w:szCs w:val="28"/>
          <w:highlight w:val="none"/>
        </w:rPr>
        <w:t>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声明人</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盖单位章</w:t>
      </w:r>
      <w:r>
        <w:rPr>
          <w:rFonts w:ascii="宋体" w:hAnsi="宋体" w:cs="宋体"/>
          <w:color w:val="auto"/>
          <w:sz w:val="28"/>
          <w:szCs w:val="28"/>
          <w:highlight w:val="none"/>
        </w:rPr>
        <w:t>)</w:t>
      </w:r>
      <w:r>
        <w:rPr>
          <w:rFonts w:hint="eastAsia" w:ascii="宋体" w:hAnsi="宋体" w:cs="宋体"/>
          <w:color w:val="auto"/>
          <w:sz w:val="28"/>
          <w:szCs w:val="28"/>
          <w:highlight w:val="none"/>
        </w:rPr>
        <w:t>：</w:t>
      </w:r>
    </w:p>
    <w:p w14:paraId="3F866D4F">
      <w:pPr>
        <w:pStyle w:val="14"/>
        <w:spacing w:before="156" w:after="156" w:line="360" w:lineRule="auto"/>
        <w:ind w:firstLine="5460" w:firstLineChars="1950"/>
        <w:rPr>
          <w:rFonts w:hint="eastAsia" w:hAnsi="宋体" w:cs="宋体"/>
          <w:bCs/>
          <w:color w:val="auto"/>
          <w:sz w:val="28"/>
          <w:szCs w:val="28"/>
          <w:highlight w:val="none"/>
          <w:lang w:val="zh-CN"/>
        </w:rPr>
      </w:pPr>
      <w:r>
        <w:rPr>
          <w:rFonts w:hAnsi="宋体" w:cs="宋体"/>
          <w:bCs/>
          <w:color w:val="auto"/>
          <w:sz w:val="28"/>
          <w:szCs w:val="28"/>
          <w:highlight w:val="none"/>
        </w:rPr>
        <w:t xml:space="preserve">  </w:t>
      </w:r>
      <w:r>
        <w:rPr>
          <w:rFonts w:hint="eastAsia" w:hAnsi="宋体" w:cs="宋体"/>
          <w:bCs/>
          <w:color w:val="auto"/>
          <w:sz w:val="28"/>
          <w:szCs w:val="28"/>
          <w:highlight w:val="none"/>
        </w:rPr>
        <w:t>日　期：</w:t>
      </w:r>
    </w:p>
    <w:p w14:paraId="4199BE75">
      <w:pPr>
        <w:spacing w:before="100" w:beforeAutospacing="1" w:line="360" w:lineRule="auto"/>
        <w:rPr>
          <w:rFonts w:ascii="宋体" w:cs="宋体"/>
          <w:b/>
          <w:bCs/>
          <w:color w:val="auto"/>
          <w:sz w:val="24"/>
          <w:highlight w:val="none"/>
        </w:rPr>
        <w:sectPr>
          <w:pgSz w:w="11906" w:h="16838"/>
          <w:pgMar w:top="1440" w:right="1587" w:bottom="1440" w:left="1587" w:header="851" w:footer="992" w:gutter="0"/>
          <w:cols w:space="720" w:num="1"/>
          <w:docGrid w:type="lines" w:linePitch="312" w:charSpace="0"/>
        </w:sectPr>
      </w:pPr>
    </w:p>
    <w:p w14:paraId="21FFD485">
      <w:pPr>
        <w:spacing w:line="360" w:lineRule="auto"/>
        <w:rPr>
          <w:rFonts w:ascii="宋体" w:cs="宋体"/>
          <w:b/>
          <w:bCs/>
          <w:color w:val="auto"/>
          <w:sz w:val="24"/>
          <w:highlight w:val="none"/>
        </w:rPr>
      </w:pPr>
      <w:r>
        <w:rPr>
          <w:rFonts w:hint="eastAsia" w:ascii="宋体" w:hAnsi="宋体" w:cs="宋体"/>
          <w:b/>
          <w:bCs/>
          <w:color w:val="auto"/>
          <w:sz w:val="24"/>
          <w:highlight w:val="none"/>
        </w:rPr>
        <w:t>附件</w:t>
      </w:r>
      <w:r>
        <w:rPr>
          <w:rFonts w:ascii="宋体" w:hAnsi="宋体" w:cs="宋体"/>
          <w:b/>
          <w:bCs/>
          <w:color w:val="auto"/>
          <w:sz w:val="24"/>
          <w:highlight w:val="none"/>
        </w:rPr>
        <w:t>2</w:t>
      </w:r>
      <w:r>
        <w:rPr>
          <w:rFonts w:hint="eastAsia" w:ascii="宋体" w:hAnsi="宋体" w:cs="宋体"/>
          <w:b/>
          <w:bCs/>
          <w:color w:val="auto"/>
          <w:sz w:val="24"/>
          <w:highlight w:val="none"/>
        </w:rPr>
        <w:t>：</w:t>
      </w:r>
    </w:p>
    <w:p w14:paraId="70DD25A7">
      <w:pPr>
        <w:spacing w:line="480" w:lineRule="auto"/>
        <w:jc w:val="left"/>
        <w:rPr>
          <w:rFonts w:ascii="宋体" w:cs="宋体"/>
          <w:color w:val="auto"/>
          <w:sz w:val="28"/>
          <w:szCs w:val="28"/>
          <w:highlight w:val="none"/>
          <w:lang w:val="zh-CN"/>
        </w:rPr>
      </w:pPr>
    </w:p>
    <w:p w14:paraId="613633FB">
      <w:pPr>
        <w:spacing w:after="312" w:afterLines="100" w:line="480" w:lineRule="auto"/>
        <w:jc w:val="center"/>
        <w:rPr>
          <w:rFonts w:ascii="宋体" w:cs="宋体"/>
          <w:color w:val="auto"/>
          <w:sz w:val="32"/>
          <w:szCs w:val="32"/>
          <w:highlight w:val="none"/>
        </w:rPr>
      </w:pPr>
      <w:r>
        <w:rPr>
          <w:rFonts w:hint="eastAsia" w:ascii="宋体" w:hAnsi="宋体" w:cs="宋体"/>
          <w:b/>
          <w:bCs/>
          <w:color w:val="auto"/>
          <w:kern w:val="0"/>
          <w:sz w:val="32"/>
          <w:szCs w:val="32"/>
          <w:highlight w:val="none"/>
          <w:lang w:val="zh-CN"/>
        </w:rPr>
        <w:t>无重大违法记录声明书</w:t>
      </w:r>
    </w:p>
    <w:p w14:paraId="78F2CF5E">
      <w:pPr>
        <w:spacing w:line="480" w:lineRule="auto"/>
        <w:jc w:val="left"/>
        <w:rPr>
          <w:rFonts w:ascii="宋体" w:cs="宋体"/>
          <w:color w:val="auto"/>
          <w:sz w:val="28"/>
          <w:szCs w:val="28"/>
          <w:highlight w:val="none"/>
        </w:rPr>
      </w:pPr>
      <w:r>
        <w:rPr>
          <w:rFonts w:hint="eastAsia" w:ascii="宋体" w:hAnsi="宋体" w:cs="宋体"/>
          <w:color w:val="auto"/>
          <w:sz w:val="28"/>
          <w:szCs w:val="28"/>
          <w:highlight w:val="none"/>
        </w:rPr>
        <w:t>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仙居县白塔镇人民政府：</w:t>
      </w:r>
    </w:p>
    <w:p w14:paraId="39C7F2F9">
      <w:pPr>
        <w:spacing w:line="480" w:lineRule="auto"/>
        <w:ind w:firstLine="560" w:firstLineChars="200"/>
        <w:jc w:val="left"/>
        <w:rPr>
          <w:rFonts w:ascii="宋体" w:cs="宋体"/>
          <w:color w:val="auto"/>
          <w:sz w:val="28"/>
          <w:szCs w:val="28"/>
          <w:highlight w:val="none"/>
        </w:rPr>
      </w:pPr>
      <w:r>
        <w:rPr>
          <w:rFonts w:hint="eastAsia" w:ascii="宋体" w:hAnsi="宋体" w:cs="宋体"/>
          <w:color w:val="auto"/>
          <w:sz w:val="28"/>
          <w:szCs w:val="28"/>
          <w:highlight w:val="none"/>
        </w:rPr>
        <w:t>我方郑重声明：我方参加</w:t>
      </w:r>
      <w:r>
        <w:rPr>
          <w:rFonts w:ascii="宋体" w:hAnsi="宋体" w:cs="宋体"/>
          <w:color w:val="auto"/>
          <w:sz w:val="28"/>
          <w:szCs w:val="28"/>
          <w:highlight w:val="none"/>
        </w:rPr>
        <w:t xml:space="preserve"> </w:t>
      </w:r>
      <w:r>
        <w:rPr>
          <w:rFonts w:hint="eastAsia" w:ascii="宋体" w:hAnsi="宋体" w:cs="宋体"/>
          <w:color w:val="auto"/>
          <w:sz w:val="28"/>
          <w:szCs w:val="28"/>
          <w:highlight w:val="none"/>
          <w:u w:val="single"/>
          <w:lang w:eastAsia="zh-CN"/>
        </w:rPr>
        <w:t>神仙居5A景区镇基础设施提升项目-游客集散中心（景区集散点）项目（重新招标）</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的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64DE3013">
      <w:pPr>
        <w:spacing w:line="480" w:lineRule="auto"/>
        <w:ind w:firstLine="560" w:firstLineChars="200"/>
        <w:jc w:val="left"/>
        <w:rPr>
          <w:rFonts w:ascii="宋体" w:cs="宋体"/>
          <w:color w:val="auto"/>
          <w:spacing w:val="6"/>
          <w:sz w:val="28"/>
          <w:szCs w:val="28"/>
          <w:highlight w:val="none"/>
        </w:rPr>
      </w:pPr>
      <w:r>
        <w:rPr>
          <w:rFonts w:hint="eastAsia" w:ascii="宋体" w:hAnsi="宋体" w:cs="宋体"/>
          <w:color w:val="auto"/>
          <w:sz w:val="28"/>
          <w:szCs w:val="28"/>
          <w:highlight w:val="none"/>
        </w:rPr>
        <w:t>特此声明。</w:t>
      </w:r>
    </w:p>
    <w:p w14:paraId="189A7859">
      <w:pPr>
        <w:pStyle w:val="14"/>
        <w:spacing w:before="156" w:after="156"/>
        <w:jc w:val="center"/>
        <w:rPr>
          <w:rFonts w:hint="eastAsia" w:hAnsi="宋体" w:cs="宋体"/>
          <w:color w:val="auto"/>
          <w:sz w:val="28"/>
          <w:szCs w:val="28"/>
          <w:highlight w:val="none"/>
        </w:rPr>
      </w:pPr>
    </w:p>
    <w:p w14:paraId="6B564D7A">
      <w:pPr>
        <w:spacing w:line="450" w:lineRule="atLeast"/>
        <w:jc w:val="left"/>
        <w:rPr>
          <w:rFonts w:ascii="宋体" w:cs="宋体"/>
          <w:color w:val="auto"/>
          <w:sz w:val="28"/>
          <w:szCs w:val="28"/>
          <w:highlight w:val="none"/>
        </w:rPr>
      </w:pPr>
      <w:r>
        <w:rPr>
          <w:rFonts w:ascii="宋体" w:cs="宋体"/>
          <w:color w:val="auto"/>
          <w:sz w:val="28"/>
          <w:szCs w:val="28"/>
          <w:highlight w:val="none"/>
        </w:rPr>
        <w:t>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声明人</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盖单位章</w:t>
      </w:r>
      <w:r>
        <w:rPr>
          <w:rFonts w:ascii="宋体" w:hAnsi="宋体" w:cs="宋体"/>
          <w:color w:val="auto"/>
          <w:sz w:val="28"/>
          <w:szCs w:val="28"/>
          <w:highlight w:val="none"/>
        </w:rPr>
        <w:t>)</w:t>
      </w:r>
      <w:r>
        <w:rPr>
          <w:rFonts w:hint="eastAsia" w:ascii="宋体" w:hAnsi="宋体" w:cs="宋体"/>
          <w:color w:val="auto"/>
          <w:sz w:val="28"/>
          <w:szCs w:val="28"/>
          <w:highlight w:val="none"/>
        </w:rPr>
        <w:t>：</w:t>
      </w:r>
      <w:r>
        <w:rPr>
          <w:rFonts w:ascii="宋体" w:cs="宋体"/>
          <w:color w:val="auto"/>
          <w:sz w:val="28"/>
          <w:szCs w:val="28"/>
          <w:highlight w:val="none"/>
        </w:rPr>
        <w:t> </w:t>
      </w:r>
    </w:p>
    <w:p w14:paraId="659BB413">
      <w:pPr>
        <w:pStyle w:val="14"/>
        <w:spacing w:before="156" w:after="156" w:line="360" w:lineRule="auto"/>
        <w:ind w:firstLine="5481" w:firstLineChars="1950"/>
        <w:rPr>
          <w:rFonts w:hint="eastAsia" w:hAnsi="宋体" w:cs="宋体"/>
          <w:b/>
          <w:color w:val="auto"/>
          <w:sz w:val="28"/>
          <w:szCs w:val="28"/>
          <w:highlight w:val="none"/>
        </w:rPr>
      </w:pPr>
      <w:r>
        <w:rPr>
          <w:rFonts w:hAnsi="宋体" w:cs="宋体"/>
          <w:b/>
          <w:color w:val="auto"/>
          <w:sz w:val="28"/>
          <w:szCs w:val="28"/>
          <w:highlight w:val="none"/>
        </w:rPr>
        <w:t xml:space="preserve"> </w:t>
      </w:r>
      <w:r>
        <w:rPr>
          <w:rFonts w:hAnsi="宋体" w:cs="宋体"/>
          <w:b w:val="0"/>
          <w:bCs/>
          <w:color w:val="auto"/>
          <w:sz w:val="28"/>
          <w:szCs w:val="28"/>
          <w:highlight w:val="none"/>
        </w:rPr>
        <w:t xml:space="preserve"> </w:t>
      </w:r>
      <w:r>
        <w:rPr>
          <w:rFonts w:hint="eastAsia" w:hAnsi="宋体" w:cs="宋体"/>
          <w:b w:val="0"/>
          <w:bCs/>
          <w:color w:val="auto"/>
          <w:sz w:val="28"/>
          <w:szCs w:val="28"/>
          <w:highlight w:val="none"/>
        </w:rPr>
        <w:t>日　期：</w:t>
      </w:r>
    </w:p>
    <w:p w14:paraId="46D5D0D8">
      <w:pPr>
        <w:spacing w:line="360" w:lineRule="auto"/>
        <w:rPr>
          <w:rFonts w:ascii="宋体" w:cs="宋体"/>
          <w:b/>
          <w:bCs/>
          <w:color w:val="auto"/>
          <w:sz w:val="24"/>
          <w:highlight w:val="none"/>
        </w:rPr>
      </w:pPr>
      <w:r>
        <w:rPr>
          <w:rFonts w:hAnsi="宋体" w:cs="宋体"/>
          <w:b/>
          <w:color w:val="auto"/>
          <w:sz w:val="28"/>
          <w:szCs w:val="28"/>
          <w:highlight w:val="none"/>
        </w:rPr>
        <w:br w:type="page"/>
      </w:r>
      <w:r>
        <w:rPr>
          <w:rFonts w:hint="eastAsia" w:ascii="宋体" w:hAnsi="宋体" w:cs="宋体"/>
          <w:b/>
          <w:bCs/>
          <w:color w:val="auto"/>
          <w:sz w:val="24"/>
          <w:highlight w:val="none"/>
        </w:rPr>
        <w:t>附件</w:t>
      </w:r>
      <w:r>
        <w:rPr>
          <w:rFonts w:ascii="宋体" w:hAnsi="宋体" w:cs="宋体"/>
          <w:b/>
          <w:bCs/>
          <w:color w:val="auto"/>
          <w:sz w:val="24"/>
          <w:highlight w:val="none"/>
        </w:rPr>
        <w:t>3</w:t>
      </w:r>
      <w:r>
        <w:rPr>
          <w:rFonts w:hint="eastAsia" w:ascii="宋体" w:hAnsi="宋体" w:cs="宋体"/>
          <w:b/>
          <w:bCs/>
          <w:color w:val="auto"/>
          <w:sz w:val="24"/>
          <w:highlight w:val="none"/>
        </w:rPr>
        <w:t>：</w:t>
      </w:r>
    </w:p>
    <w:p w14:paraId="62308C15">
      <w:pPr>
        <w:pStyle w:val="15"/>
        <w:ind w:left="5250"/>
        <w:rPr>
          <w:rFonts w:hint="eastAsia" w:hAnsi="宋体" w:cs="宋体"/>
          <w:b/>
          <w:color w:val="auto"/>
          <w:sz w:val="28"/>
          <w:szCs w:val="28"/>
          <w:highlight w:val="none"/>
        </w:rPr>
      </w:pPr>
    </w:p>
    <w:p w14:paraId="3E494BBB">
      <w:pPr>
        <w:spacing w:after="312" w:afterLines="100" w:line="480" w:lineRule="auto"/>
        <w:jc w:val="center"/>
        <w:rPr>
          <w:rFonts w:ascii="宋体" w:cs="宋体"/>
          <w:color w:val="auto"/>
          <w:sz w:val="28"/>
          <w:szCs w:val="28"/>
          <w:highlight w:val="none"/>
        </w:rPr>
      </w:pPr>
      <w:bookmarkStart w:id="132" w:name="_Toc51489575"/>
      <w:r>
        <w:rPr>
          <w:rFonts w:hint="eastAsia" w:ascii="宋体" w:hAnsi="宋体" w:cs="宋体"/>
          <w:b/>
          <w:bCs/>
          <w:color w:val="auto"/>
          <w:kern w:val="0"/>
          <w:sz w:val="32"/>
          <w:szCs w:val="32"/>
          <w:highlight w:val="none"/>
          <w:lang w:val="zh-CN"/>
        </w:rPr>
        <w:t>依法缴纳税收及社会保障资金的书面承诺</w:t>
      </w:r>
      <w:bookmarkEnd w:id="132"/>
    </w:p>
    <w:p w14:paraId="484D8AF7">
      <w:pPr>
        <w:spacing w:line="480" w:lineRule="auto"/>
        <w:jc w:val="left"/>
        <w:rPr>
          <w:rFonts w:ascii="宋体" w:cs="宋体"/>
          <w:color w:val="auto"/>
          <w:sz w:val="28"/>
          <w:szCs w:val="28"/>
          <w:highlight w:val="none"/>
        </w:rPr>
      </w:pPr>
      <w:r>
        <w:rPr>
          <w:rFonts w:hint="eastAsia" w:ascii="宋体" w:hAnsi="宋体"/>
          <w:color w:val="auto"/>
          <w:kern w:val="0"/>
          <w:sz w:val="28"/>
          <w:szCs w:val="28"/>
          <w:highlight w:val="none"/>
        </w:rPr>
        <w:t>致</w:t>
      </w:r>
      <w:r>
        <w:rPr>
          <w:rFonts w:ascii="宋体" w:hAnsi="宋体"/>
          <w:color w:val="auto"/>
          <w:kern w:val="0"/>
          <w:sz w:val="28"/>
          <w:szCs w:val="28"/>
          <w:highlight w:val="none"/>
        </w:rPr>
        <w:t xml:space="preserve"> </w:t>
      </w:r>
      <w:r>
        <w:rPr>
          <w:rFonts w:hint="eastAsia" w:ascii="宋体" w:hAnsi="宋体"/>
          <w:color w:val="auto"/>
          <w:kern w:val="0"/>
          <w:sz w:val="28"/>
          <w:szCs w:val="28"/>
          <w:highlight w:val="none"/>
        </w:rPr>
        <w:t>仙居县白塔镇人民政府</w:t>
      </w:r>
      <w:r>
        <w:rPr>
          <w:rFonts w:hint="eastAsia" w:ascii="宋体" w:hAnsi="宋体" w:cs="宋体"/>
          <w:color w:val="auto"/>
          <w:sz w:val="28"/>
          <w:szCs w:val="28"/>
          <w:highlight w:val="none"/>
        </w:rPr>
        <w:t>：</w:t>
      </w:r>
    </w:p>
    <w:p w14:paraId="788D0891">
      <w:pPr>
        <w:spacing w:line="480" w:lineRule="auto"/>
        <w:ind w:firstLine="560" w:firstLineChars="200"/>
        <w:jc w:val="left"/>
        <w:rPr>
          <w:rFonts w:ascii="宋体" w:cs="宋体"/>
          <w:color w:val="auto"/>
          <w:sz w:val="28"/>
          <w:szCs w:val="28"/>
          <w:highlight w:val="none"/>
        </w:rPr>
      </w:pPr>
      <w:r>
        <w:rPr>
          <w:rFonts w:hint="eastAsia" w:ascii="宋体" w:hAnsi="宋体" w:cs="宋体"/>
          <w:color w:val="auto"/>
          <w:sz w:val="28"/>
          <w:szCs w:val="28"/>
          <w:highlight w:val="none"/>
        </w:rPr>
        <w:t>我公司作为本次采购项目的供应商，参加</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神仙居5A景区镇基础设施提升项目-游客集散中心（景区集散点）项目（重新招标）</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购活动，根据采购文件要求，现郑重承诺：</w:t>
      </w:r>
    </w:p>
    <w:p w14:paraId="2720F523">
      <w:pPr>
        <w:spacing w:line="480" w:lineRule="auto"/>
        <w:ind w:firstLine="560" w:firstLineChars="200"/>
        <w:jc w:val="left"/>
        <w:rPr>
          <w:rFonts w:ascii="宋体" w:cs="宋体"/>
          <w:color w:val="auto"/>
          <w:sz w:val="28"/>
          <w:szCs w:val="28"/>
          <w:highlight w:val="none"/>
        </w:rPr>
      </w:pPr>
      <w:r>
        <w:rPr>
          <w:rFonts w:hint="eastAsia" w:ascii="宋体" w:hAnsi="宋体" w:cs="宋体"/>
          <w:color w:val="auto"/>
          <w:sz w:val="28"/>
          <w:szCs w:val="28"/>
          <w:highlight w:val="none"/>
        </w:rPr>
        <w:t>我公司已依法缴纳税收及社会保障资金，符合参与政府采购活动的资格条件，不存在税收缴纳、社会保障等方面的失信记录。</w:t>
      </w:r>
    </w:p>
    <w:p w14:paraId="4C970DFE">
      <w:pPr>
        <w:spacing w:line="480" w:lineRule="auto"/>
        <w:ind w:firstLine="560" w:firstLineChars="200"/>
        <w:jc w:val="left"/>
        <w:rPr>
          <w:rFonts w:ascii="宋体" w:cs="宋体"/>
          <w:color w:val="auto"/>
          <w:sz w:val="28"/>
          <w:szCs w:val="28"/>
          <w:highlight w:val="none"/>
        </w:rPr>
      </w:pPr>
      <w:r>
        <w:rPr>
          <w:rFonts w:hint="eastAsia" w:ascii="宋体" w:hAnsi="宋体" w:cs="宋体"/>
          <w:color w:val="auto"/>
          <w:sz w:val="28"/>
          <w:szCs w:val="28"/>
          <w:highlight w:val="none"/>
        </w:rPr>
        <w:t>如本公司对以上条款提供虚假承诺，愿承担一切法律责任。</w:t>
      </w:r>
    </w:p>
    <w:p w14:paraId="362DE78B">
      <w:pPr>
        <w:spacing w:line="480" w:lineRule="auto"/>
        <w:jc w:val="left"/>
        <w:rPr>
          <w:rFonts w:ascii="宋体" w:cs="宋体"/>
          <w:color w:val="auto"/>
          <w:sz w:val="28"/>
          <w:szCs w:val="28"/>
          <w:highlight w:val="none"/>
        </w:rPr>
      </w:pPr>
    </w:p>
    <w:p w14:paraId="547325F0">
      <w:pPr>
        <w:spacing w:line="480" w:lineRule="auto"/>
        <w:jc w:val="left"/>
        <w:rPr>
          <w:rFonts w:ascii="宋体" w:cs="宋体"/>
          <w:color w:val="auto"/>
          <w:sz w:val="28"/>
          <w:szCs w:val="28"/>
          <w:highlight w:val="none"/>
        </w:rPr>
      </w:pPr>
    </w:p>
    <w:p w14:paraId="4C816C84">
      <w:pPr>
        <w:spacing w:line="450" w:lineRule="atLeast"/>
        <w:jc w:val="left"/>
        <w:rPr>
          <w:rFonts w:ascii="宋体" w:cs="宋体"/>
          <w:color w:val="auto"/>
          <w:sz w:val="28"/>
          <w:szCs w:val="28"/>
          <w:highlight w:val="non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承诺人</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盖单位章</w:t>
      </w:r>
      <w:r>
        <w:rPr>
          <w:rFonts w:ascii="宋体" w:hAnsi="宋体" w:cs="宋体"/>
          <w:color w:val="auto"/>
          <w:sz w:val="28"/>
          <w:szCs w:val="28"/>
          <w:highlight w:val="none"/>
        </w:rPr>
        <w:t>)</w:t>
      </w:r>
      <w:r>
        <w:rPr>
          <w:rFonts w:hint="eastAsia" w:ascii="宋体" w:hAnsi="宋体" w:cs="宋体"/>
          <w:color w:val="auto"/>
          <w:sz w:val="28"/>
          <w:szCs w:val="28"/>
          <w:highlight w:val="none"/>
        </w:rPr>
        <w:t>：</w:t>
      </w:r>
      <w:r>
        <w:rPr>
          <w:rFonts w:ascii="宋体" w:cs="宋体"/>
          <w:color w:val="auto"/>
          <w:sz w:val="28"/>
          <w:szCs w:val="28"/>
          <w:highlight w:val="none"/>
        </w:rPr>
        <w:t> </w:t>
      </w:r>
    </w:p>
    <w:p w14:paraId="23F8AB71">
      <w:pPr>
        <w:pStyle w:val="14"/>
        <w:spacing w:before="156" w:after="156" w:line="360" w:lineRule="auto"/>
        <w:ind w:firstLine="5460" w:firstLineChars="1950"/>
        <w:rPr>
          <w:rFonts w:hint="eastAsia" w:hAnsi="宋体" w:cs="宋体"/>
          <w:bCs/>
          <w:color w:val="auto"/>
          <w:sz w:val="28"/>
          <w:szCs w:val="28"/>
          <w:highlight w:val="none"/>
        </w:rPr>
      </w:pPr>
      <w:r>
        <w:rPr>
          <w:rFonts w:hAnsi="宋体" w:cs="宋体"/>
          <w:bCs/>
          <w:color w:val="auto"/>
          <w:sz w:val="28"/>
          <w:szCs w:val="28"/>
          <w:highlight w:val="none"/>
        </w:rPr>
        <w:t xml:space="preserve">  </w:t>
      </w:r>
      <w:r>
        <w:rPr>
          <w:rFonts w:hint="eastAsia" w:hAnsi="宋体" w:cs="宋体"/>
          <w:bCs/>
          <w:color w:val="auto"/>
          <w:sz w:val="28"/>
          <w:szCs w:val="28"/>
          <w:highlight w:val="none"/>
        </w:rPr>
        <w:t>日　期：</w:t>
      </w:r>
    </w:p>
    <w:p w14:paraId="0D1572F9">
      <w:pPr>
        <w:ind w:firstLine="600"/>
        <w:rPr>
          <w:color w:val="auto"/>
          <w:highlight w:val="none"/>
        </w:rPr>
      </w:pPr>
    </w:p>
    <w:p w14:paraId="0784032F">
      <w:pPr>
        <w:rPr>
          <w:b/>
          <w:bCs/>
          <w:color w:val="auto"/>
          <w:highlight w:val="none"/>
        </w:rPr>
      </w:pPr>
    </w:p>
    <w:p w14:paraId="6DE18FCB">
      <w:pPr>
        <w:spacing w:line="360" w:lineRule="auto"/>
        <w:rPr>
          <w:rFonts w:ascii="宋体" w:cs="宋体"/>
          <w:b/>
          <w:bCs/>
          <w:color w:val="auto"/>
          <w:sz w:val="24"/>
          <w:highlight w:val="none"/>
        </w:rPr>
        <w:sectPr>
          <w:pgSz w:w="11906" w:h="16838"/>
          <w:pgMar w:top="1440" w:right="1587" w:bottom="1440" w:left="1587" w:header="851" w:footer="992" w:gutter="0"/>
          <w:cols w:space="720" w:num="1"/>
          <w:docGrid w:type="lines" w:linePitch="312" w:charSpace="0"/>
        </w:sectPr>
      </w:pPr>
    </w:p>
    <w:p w14:paraId="771BF113">
      <w:pPr>
        <w:spacing w:line="360" w:lineRule="auto"/>
        <w:rPr>
          <w:rFonts w:ascii="宋体" w:cs="宋体"/>
          <w:b/>
          <w:bCs/>
          <w:color w:val="auto"/>
          <w:sz w:val="24"/>
          <w:highlight w:val="none"/>
        </w:rPr>
      </w:pPr>
      <w:r>
        <w:rPr>
          <w:rFonts w:hint="eastAsia" w:ascii="宋体" w:hAnsi="宋体" w:cs="宋体"/>
          <w:b/>
          <w:bCs/>
          <w:color w:val="auto"/>
          <w:sz w:val="24"/>
          <w:highlight w:val="none"/>
        </w:rPr>
        <w:t>附件</w:t>
      </w:r>
      <w:r>
        <w:rPr>
          <w:rFonts w:ascii="宋体" w:hAnsi="宋体" w:cs="宋体"/>
          <w:b/>
          <w:bCs/>
          <w:color w:val="auto"/>
          <w:sz w:val="24"/>
          <w:highlight w:val="none"/>
        </w:rPr>
        <w:t>4</w:t>
      </w:r>
      <w:r>
        <w:rPr>
          <w:rFonts w:hint="eastAsia" w:ascii="宋体" w:hAnsi="宋体" w:cs="宋体"/>
          <w:b/>
          <w:bCs/>
          <w:color w:val="auto"/>
          <w:sz w:val="24"/>
          <w:highlight w:val="none"/>
        </w:rPr>
        <w:t>：</w:t>
      </w:r>
    </w:p>
    <w:p w14:paraId="7DAD7A17">
      <w:pPr>
        <w:pStyle w:val="9"/>
        <w:rPr>
          <w:b/>
          <w:bCs/>
          <w:color w:val="auto"/>
          <w:highlight w:val="none"/>
        </w:rPr>
      </w:pPr>
    </w:p>
    <w:p w14:paraId="56350515">
      <w:pPr>
        <w:spacing w:after="303" w:afterLines="100" w:line="480" w:lineRule="auto"/>
        <w:jc w:val="center"/>
        <w:rPr>
          <w:color w:val="auto"/>
          <w:highlight w:val="none"/>
        </w:rPr>
      </w:pPr>
      <w:r>
        <w:rPr>
          <w:rFonts w:hint="eastAsia" w:ascii="宋体" w:hAnsi="宋体" w:cs="宋体"/>
          <w:b/>
          <w:bCs/>
          <w:color w:val="auto"/>
          <w:kern w:val="0"/>
          <w:sz w:val="32"/>
          <w:szCs w:val="32"/>
          <w:highlight w:val="none"/>
          <w:lang w:val="zh-CN"/>
        </w:rPr>
        <w:t>健全的财务会计制度承诺函</w:t>
      </w:r>
    </w:p>
    <w:p w14:paraId="70FBCA6E">
      <w:pPr>
        <w:widowControl/>
        <w:spacing w:line="360" w:lineRule="auto"/>
        <w:rPr>
          <w:rFonts w:ascii="宋体"/>
          <w:color w:val="auto"/>
          <w:sz w:val="28"/>
          <w:szCs w:val="28"/>
          <w:highlight w:val="none"/>
        </w:rPr>
      </w:pPr>
      <w:r>
        <w:rPr>
          <w:rFonts w:hint="eastAsia" w:ascii="宋体" w:hAnsi="宋体"/>
          <w:color w:val="auto"/>
          <w:kern w:val="0"/>
          <w:sz w:val="28"/>
          <w:szCs w:val="28"/>
          <w:highlight w:val="none"/>
        </w:rPr>
        <w:t>致</w:t>
      </w:r>
      <w:r>
        <w:rPr>
          <w:rFonts w:ascii="宋体" w:hAnsi="宋体"/>
          <w:color w:val="auto"/>
          <w:kern w:val="0"/>
          <w:sz w:val="28"/>
          <w:szCs w:val="28"/>
          <w:highlight w:val="none"/>
        </w:rPr>
        <w:t xml:space="preserve"> </w:t>
      </w:r>
      <w:r>
        <w:rPr>
          <w:rFonts w:hint="eastAsia" w:ascii="宋体" w:hAnsi="宋体"/>
          <w:color w:val="auto"/>
          <w:kern w:val="0"/>
          <w:sz w:val="28"/>
          <w:szCs w:val="28"/>
          <w:highlight w:val="none"/>
        </w:rPr>
        <w:t>仙居县白塔镇人民政府：</w:t>
      </w:r>
      <w:r>
        <w:rPr>
          <w:rFonts w:ascii="宋体" w:hAnsi="宋体"/>
          <w:color w:val="auto"/>
          <w:sz w:val="28"/>
          <w:szCs w:val="28"/>
          <w:highlight w:val="none"/>
        </w:rPr>
        <w:t xml:space="preserve"> </w:t>
      </w:r>
    </w:p>
    <w:p w14:paraId="43D64693">
      <w:pPr>
        <w:pStyle w:val="9"/>
        <w:spacing w:line="360" w:lineRule="auto"/>
        <w:rPr>
          <w:rFonts w:asci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本公司参加</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神仙居5A景区镇基础设施提升项目-游客集散中心（景区集散点）项目（重新招标）</w:t>
      </w:r>
      <w:r>
        <w:rPr>
          <w:rFonts w:ascii="宋体" w:hAnsi="宋体"/>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的采购活动，现承诺我公司在参加本项目政府采购活动前，</w:t>
      </w:r>
      <w:r>
        <w:rPr>
          <w:rFonts w:hint="eastAsia" w:ascii="宋体" w:hAnsi="宋体"/>
          <w:color w:val="auto"/>
          <w:kern w:val="0"/>
          <w:sz w:val="28"/>
          <w:szCs w:val="28"/>
          <w:highlight w:val="none"/>
        </w:rPr>
        <w:t>没有处于被责令停产、财产被接管、冻结或破产状态，具有足够的流动资金，有能力履行合同；我公司</w:t>
      </w:r>
      <w:r>
        <w:rPr>
          <w:rFonts w:hint="eastAsia" w:ascii="宋体" w:hAnsi="宋体"/>
          <w:color w:val="auto"/>
          <w:sz w:val="28"/>
          <w:szCs w:val="28"/>
          <w:highlight w:val="none"/>
        </w:rPr>
        <w:t>具有良好的商业信誉和健全的财务会计制度。</w:t>
      </w:r>
    </w:p>
    <w:p w14:paraId="2CA05CF9">
      <w:pPr>
        <w:spacing w:line="480" w:lineRule="auto"/>
        <w:ind w:firstLine="560" w:firstLineChars="200"/>
        <w:jc w:val="left"/>
        <w:rPr>
          <w:rFonts w:ascii="宋体" w:cs="宋体"/>
          <w:color w:val="auto"/>
          <w:sz w:val="28"/>
          <w:szCs w:val="28"/>
          <w:highlight w:val="none"/>
        </w:rPr>
      </w:pPr>
      <w:r>
        <w:rPr>
          <w:rFonts w:hint="eastAsia" w:ascii="宋体" w:hAnsi="宋体" w:cs="宋体"/>
          <w:color w:val="auto"/>
          <w:sz w:val="28"/>
          <w:szCs w:val="28"/>
          <w:highlight w:val="none"/>
        </w:rPr>
        <w:t>如本公司对以上条款提供虚假承诺，愿承担一切法律责任。</w:t>
      </w:r>
    </w:p>
    <w:p w14:paraId="1142C3A0">
      <w:pPr>
        <w:pStyle w:val="9"/>
        <w:rPr>
          <w:color w:val="auto"/>
          <w:sz w:val="28"/>
          <w:szCs w:val="28"/>
          <w:highlight w:val="none"/>
        </w:rPr>
      </w:pPr>
    </w:p>
    <w:p w14:paraId="656DBB49">
      <w:pPr>
        <w:pStyle w:val="9"/>
        <w:spacing w:line="480" w:lineRule="auto"/>
        <w:rPr>
          <w:color w:val="auto"/>
          <w:sz w:val="28"/>
          <w:szCs w:val="28"/>
          <w:highlight w:val="none"/>
        </w:rPr>
      </w:pPr>
    </w:p>
    <w:p w14:paraId="1CE0EDF8">
      <w:pPr>
        <w:spacing w:line="480" w:lineRule="auto"/>
        <w:jc w:val="left"/>
        <w:rPr>
          <w:rFonts w:ascii="宋体" w:cs="宋体"/>
          <w:color w:val="auto"/>
          <w:sz w:val="28"/>
          <w:szCs w:val="28"/>
          <w:highlight w:val="non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承诺人</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盖单位章</w:t>
      </w:r>
      <w:r>
        <w:rPr>
          <w:rFonts w:ascii="宋体" w:hAnsi="宋体" w:cs="宋体"/>
          <w:color w:val="auto"/>
          <w:sz w:val="28"/>
          <w:szCs w:val="28"/>
          <w:highlight w:val="none"/>
        </w:rPr>
        <w:t>)</w:t>
      </w:r>
      <w:r>
        <w:rPr>
          <w:rFonts w:hint="eastAsia" w:ascii="宋体" w:hAnsi="宋体" w:cs="宋体"/>
          <w:color w:val="auto"/>
          <w:sz w:val="28"/>
          <w:szCs w:val="28"/>
          <w:highlight w:val="none"/>
        </w:rPr>
        <w:t>：</w:t>
      </w:r>
      <w:r>
        <w:rPr>
          <w:rFonts w:ascii="宋体" w:cs="宋体"/>
          <w:color w:val="auto"/>
          <w:sz w:val="28"/>
          <w:szCs w:val="28"/>
          <w:highlight w:val="none"/>
        </w:rPr>
        <w:t> </w:t>
      </w:r>
    </w:p>
    <w:p w14:paraId="5BA0A98D">
      <w:pPr>
        <w:pStyle w:val="14"/>
        <w:spacing w:before="151" w:after="151" w:line="480" w:lineRule="auto"/>
        <w:ind w:firstLine="5460" w:firstLineChars="1950"/>
        <w:rPr>
          <w:rFonts w:hint="eastAsia" w:hAnsi="宋体" w:cs="宋体"/>
          <w:bCs/>
          <w:color w:val="auto"/>
          <w:sz w:val="28"/>
          <w:szCs w:val="28"/>
          <w:highlight w:val="none"/>
        </w:rPr>
      </w:pPr>
      <w:r>
        <w:rPr>
          <w:rFonts w:hAnsi="宋体" w:cs="宋体"/>
          <w:bCs/>
          <w:color w:val="auto"/>
          <w:sz w:val="28"/>
          <w:szCs w:val="28"/>
          <w:highlight w:val="none"/>
        </w:rPr>
        <w:t xml:space="preserve">  </w:t>
      </w:r>
      <w:r>
        <w:rPr>
          <w:rFonts w:hint="eastAsia" w:hAnsi="宋体" w:cs="宋体"/>
          <w:bCs/>
          <w:color w:val="auto"/>
          <w:sz w:val="28"/>
          <w:szCs w:val="28"/>
          <w:highlight w:val="none"/>
        </w:rPr>
        <w:t>日　期：</w:t>
      </w:r>
    </w:p>
    <w:p w14:paraId="11DB56BD">
      <w:pPr>
        <w:pStyle w:val="4"/>
        <w:spacing w:before="303" w:beforeLines="100" w:after="0"/>
        <w:jc w:val="center"/>
        <w:rPr>
          <w:rFonts w:hint="eastAsia" w:ascii="宋体" w:hAnsi="宋体" w:eastAsia="宋体" w:cs="宋体"/>
          <w:bCs w:val="0"/>
          <w:color w:val="auto"/>
          <w:highlight w:val="none"/>
          <w:lang w:val="zh-CN"/>
        </w:rPr>
      </w:pPr>
    </w:p>
    <w:p w14:paraId="3DF6B140">
      <w:pPr>
        <w:rPr>
          <w:rFonts w:ascii="宋体" w:cs="宋体"/>
          <w:color w:val="auto"/>
          <w:highlight w:val="none"/>
          <w:lang w:val="zh-CN"/>
        </w:rPr>
      </w:pPr>
    </w:p>
    <w:p w14:paraId="53E72AF7">
      <w:pPr>
        <w:pStyle w:val="33"/>
        <w:ind w:firstLine="520"/>
        <w:rPr>
          <w:rFonts w:hint="eastAsia" w:ascii="宋体" w:eastAsia="宋体" w:cs="宋体"/>
          <w:bCs w:val="0"/>
          <w:color w:val="auto"/>
          <w:highlight w:val="none"/>
          <w:lang w:val="zh-CN"/>
        </w:rPr>
      </w:pPr>
    </w:p>
    <w:p w14:paraId="06C1E8A4">
      <w:pPr>
        <w:pStyle w:val="9"/>
        <w:rPr>
          <w:rFonts w:ascii="宋体" w:cs="宋体"/>
          <w:color w:val="auto"/>
          <w:highlight w:val="none"/>
          <w:lang w:val="zh-CN"/>
        </w:rPr>
      </w:pPr>
    </w:p>
    <w:p w14:paraId="43AA97CD">
      <w:pPr>
        <w:pStyle w:val="10"/>
        <w:ind w:firstLine="420"/>
        <w:rPr>
          <w:rFonts w:ascii="宋体" w:cs="宋体"/>
          <w:color w:val="auto"/>
          <w:highlight w:val="none"/>
          <w:lang w:val="zh-CN"/>
        </w:rPr>
      </w:pPr>
    </w:p>
    <w:p w14:paraId="299F99D6">
      <w:pPr>
        <w:rPr>
          <w:rFonts w:ascii="宋体" w:cs="宋体"/>
          <w:color w:val="auto"/>
          <w:highlight w:val="none"/>
          <w:lang w:val="zh-CN"/>
        </w:rPr>
      </w:pPr>
    </w:p>
    <w:p w14:paraId="2DC3DF4C">
      <w:pPr>
        <w:pStyle w:val="33"/>
        <w:ind w:firstLine="520"/>
        <w:rPr>
          <w:rFonts w:hint="eastAsia" w:ascii="宋体" w:eastAsia="宋体" w:cs="宋体"/>
          <w:bCs w:val="0"/>
          <w:color w:val="auto"/>
          <w:highlight w:val="none"/>
          <w:lang w:val="zh-CN"/>
        </w:rPr>
      </w:pPr>
    </w:p>
    <w:p w14:paraId="43E234F6">
      <w:pPr>
        <w:pStyle w:val="9"/>
        <w:rPr>
          <w:rFonts w:ascii="宋体" w:cs="宋体"/>
          <w:color w:val="auto"/>
          <w:highlight w:val="none"/>
          <w:lang w:val="zh-CN"/>
        </w:rPr>
      </w:pPr>
    </w:p>
    <w:p w14:paraId="03D6A977">
      <w:pPr>
        <w:pStyle w:val="10"/>
        <w:ind w:firstLine="420"/>
        <w:rPr>
          <w:color w:val="auto"/>
          <w:highlight w:val="none"/>
          <w:lang w:val="zh-CN"/>
        </w:rPr>
      </w:pPr>
    </w:p>
    <w:p w14:paraId="6A1CA599">
      <w:pPr>
        <w:spacing w:line="360" w:lineRule="auto"/>
        <w:rPr>
          <w:rFonts w:ascii="宋体" w:cs="宋体"/>
          <w:b/>
          <w:bCs/>
          <w:color w:val="auto"/>
          <w:sz w:val="24"/>
          <w:highlight w:val="none"/>
        </w:rPr>
      </w:pPr>
    </w:p>
    <w:p w14:paraId="771E5460">
      <w:pPr>
        <w:spacing w:line="360" w:lineRule="auto"/>
        <w:rPr>
          <w:rFonts w:ascii="宋体" w:cs="宋体"/>
          <w:b/>
          <w:color w:val="auto"/>
          <w:sz w:val="32"/>
          <w:szCs w:val="32"/>
          <w:highlight w:val="none"/>
        </w:rPr>
      </w:pPr>
      <w:r>
        <w:rPr>
          <w:rFonts w:hint="eastAsia" w:ascii="宋体" w:hAnsi="宋体" w:cs="宋体"/>
          <w:b/>
          <w:bCs/>
          <w:color w:val="auto"/>
          <w:sz w:val="24"/>
          <w:highlight w:val="none"/>
        </w:rPr>
        <w:t>附件</w:t>
      </w:r>
      <w:r>
        <w:rPr>
          <w:rFonts w:ascii="宋体" w:hAnsi="宋体" w:cs="宋体"/>
          <w:b/>
          <w:bCs/>
          <w:color w:val="auto"/>
          <w:sz w:val="24"/>
          <w:highlight w:val="none"/>
        </w:rPr>
        <w:t>5</w:t>
      </w:r>
      <w:r>
        <w:rPr>
          <w:rFonts w:hint="eastAsia" w:ascii="宋体" w:hAnsi="宋体" w:cs="宋体"/>
          <w:b/>
          <w:bCs/>
          <w:color w:val="auto"/>
          <w:sz w:val="24"/>
          <w:highlight w:val="none"/>
        </w:rPr>
        <w:t>：</w:t>
      </w:r>
    </w:p>
    <w:p w14:paraId="4D862F34">
      <w:pPr>
        <w:spacing w:after="151" w:afterLines="50"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663FA86A">
      <w:pPr>
        <w:spacing w:line="500" w:lineRule="exact"/>
        <w:ind w:firstLine="480"/>
        <w:rPr>
          <w:rFonts w:hint="eastAsia" w:ascii="宋体"/>
          <w:color w:val="auto"/>
          <w:sz w:val="24"/>
        </w:rPr>
      </w:pPr>
      <w:r>
        <w:rPr>
          <w:rFonts w:hint="eastAsia" w:ascii="宋体"/>
          <w:color w:val="auto"/>
          <w:sz w:val="24"/>
        </w:rPr>
        <w:t>本公司（联合体）郑重声明，根据《政府采购促进中小企业发展办法》（财库[2020]46号）的规定，本公司（联合体）参加</w:t>
      </w:r>
      <w:r>
        <w:rPr>
          <w:rFonts w:ascii="宋体" w:hAnsi="宋体"/>
          <w:i/>
          <w:kern w:val="0"/>
          <w:sz w:val="24"/>
          <w:u w:val="single"/>
        </w:rPr>
        <w:t>（单位名称）</w:t>
      </w:r>
      <w:r>
        <w:rPr>
          <w:rFonts w:hint="eastAsia" w:ascii="宋体"/>
          <w:color w:val="auto"/>
          <w:sz w:val="24"/>
        </w:rPr>
        <w:t>的</w:t>
      </w:r>
      <w:r>
        <w:rPr>
          <w:rFonts w:ascii="宋体" w:hAnsi="宋体"/>
          <w:i/>
          <w:kern w:val="0"/>
          <w:sz w:val="24"/>
          <w:u w:val="single"/>
        </w:rPr>
        <w:t>（项目名称）</w:t>
      </w:r>
      <w:r>
        <w:rPr>
          <w:rFonts w:hint="eastAsia" w:ascii="宋体"/>
          <w:color w:val="auto"/>
          <w:sz w:val="24"/>
          <w:u w:val="single"/>
        </w:rPr>
        <w:t xml:space="preserve"> </w:t>
      </w:r>
      <w:r>
        <w:rPr>
          <w:rFonts w:hint="eastAsia" w:ascii="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4B92004">
      <w:pPr>
        <w:spacing w:line="500" w:lineRule="exact"/>
        <w:ind w:firstLine="480" w:firstLineChars="200"/>
        <w:rPr>
          <w:rFonts w:ascii="宋体"/>
          <w:color w:val="auto"/>
          <w:spacing w:val="6"/>
          <w:sz w:val="24"/>
        </w:rPr>
      </w:pPr>
      <w:r>
        <w:rPr>
          <w:rFonts w:hint="eastAsia" w:ascii="宋体"/>
          <w:color w:val="auto"/>
          <w:sz w:val="24"/>
        </w:rPr>
        <w:t>1、</w:t>
      </w:r>
      <w:r>
        <w:rPr>
          <w:rFonts w:ascii="宋体" w:hAnsi="宋体"/>
          <w:i/>
          <w:kern w:val="0"/>
          <w:sz w:val="24"/>
          <w:u w:val="single"/>
        </w:rPr>
        <w:t>（项目名称）</w:t>
      </w:r>
      <w:r>
        <w:rPr>
          <w:rFonts w:hint="eastAsia" w:ascii="宋体"/>
          <w:color w:val="auto"/>
          <w:sz w:val="24"/>
        </w:rPr>
        <w:t>，属于</w:t>
      </w:r>
      <w:r>
        <w:rPr>
          <w:rFonts w:hint="eastAsia" w:ascii="宋体"/>
          <w:color w:val="auto"/>
          <w:sz w:val="24"/>
          <w:u w:val="single"/>
        </w:rPr>
        <w:t xml:space="preserve"> </w:t>
      </w:r>
      <w:r>
        <w:rPr>
          <w:rFonts w:hint="eastAsia" w:ascii="宋体" w:hAnsi="Times New Roman" w:eastAsia="宋体" w:cs="Times New Roman"/>
          <w:color w:val="auto"/>
          <w:sz w:val="24"/>
          <w:u w:val="single"/>
        </w:rPr>
        <w:t xml:space="preserve"> 建筑业</w:t>
      </w:r>
      <w:r>
        <w:rPr>
          <w:rFonts w:hint="eastAsia" w:ascii="宋体"/>
          <w:color w:val="auto"/>
          <w:sz w:val="24"/>
          <w:u w:val="single"/>
        </w:rPr>
        <w:t xml:space="preserve">  </w:t>
      </w:r>
      <w:r>
        <w:rPr>
          <w:rFonts w:hint="eastAsia" w:ascii="宋体"/>
          <w:color w:val="auto"/>
          <w:sz w:val="24"/>
        </w:rPr>
        <w:t>；承建（承接）企业为</w:t>
      </w:r>
      <w:r>
        <w:rPr>
          <w:rFonts w:hint="eastAsia" w:ascii="宋体"/>
          <w:color w:val="auto"/>
          <w:sz w:val="24"/>
          <w:u w:val="single"/>
        </w:rPr>
        <w:t xml:space="preserve">  （企业名称）  </w:t>
      </w:r>
      <w:r>
        <w:rPr>
          <w:rFonts w:hint="eastAsia" w:ascii="宋体"/>
          <w:color w:val="auto"/>
          <w:sz w:val="24"/>
        </w:rPr>
        <w:t>，从业人员</w:t>
      </w:r>
      <w:r>
        <w:rPr>
          <w:rFonts w:hint="eastAsia" w:ascii="宋体"/>
          <w:color w:val="auto"/>
          <w:sz w:val="24"/>
          <w:u w:val="single"/>
        </w:rPr>
        <w:t xml:space="preserve">    </w:t>
      </w:r>
      <w:r>
        <w:rPr>
          <w:rFonts w:hint="eastAsia" w:ascii="宋体"/>
          <w:color w:val="auto"/>
          <w:sz w:val="24"/>
        </w:rPr>
        <w:t>人，营业收入为</w:t>
      </w:r>
      <w:r>
        <w:rPr>
          <w:rFonts w:hint="eastAsia" w:ascii="宋体"/>
          <w:color w:val="auto"/>
          <w:sz w:val="24"/>
          <w:u w:val="single"/>
        </w:rPr>
        <w:t xml:space="preserve">    </w:t>
      </w:r>
      <w:r>
        <w:rPr>
          <w:rFonts w:hint="eastAsia" w:ascii="宋体"/>
          <w:color w:val="auto"/>
          <w:sz w:val="24"/>
        </w:rPr>
        <w:t>万元，资产总额为</w:t>
      </w:r>
      <w:r>
        <w:rPr>
          <w:rFonts w:hint="eastAsia" w:ascii="宋体"/>
          <w:color w:val="auto"/>
          <w:sz w:val="24"/>
          <w:u w:val="single"/>
        </w:rPr>
        <w:t xml:space="preserve">   </w:t>
      </w:r>
      <w:r>
        <w:rPr>
          <w:rFonts w:hint="eastAsia" w:ascii="宋体"/>
          <w:color w:val="auto"/>
          <w:sz w:val="24"/>
        </w:rPr>
        <w:t>万元，属于</w:t>
      </w:r>
      <w:r>
        <w:rPr>
          <w:rFonts w:hint="eastAsia" w:ascii="宋体"/>
          <w:color w:val="auto"/>
          <w:sz w:val="24"/>
          <w:u w:val="single"/>
        </w:rPr>
        <w:t xml:space="preserve">  （中型企业/小型企业/微型企业）（供应商根据企业自身情况选择其一）  </w:t>
      </w:r>
      <w:r>
        <w:rPr>
          <w:rFonts w:hint="eastAsia" w:ascii="宋体"/>
          <w:color w:val="auto"/>
          <w:sz w:val="24"/>
        </w:rPr>
        <w:t>；</w:t>
      </w:r>
    </w:p>
    <w:p w14:paraId="371BF4E4">
      <w:pPr>
        <w:spacing w:line="500" w:lineRule="exact"/>
        <w:ind w:firstLine="480"/>
        <w:rPr>
          <w:rFonts w:ascii="宋体"/>
          <w:color w:val="auto"/>
          <w:sz w:val="24"/>
        </w:rPr>
      </w:pPr>
      <w:r>
        <w:rPr>
          <w:rFonts w:hint="eastAsia" w:ascii="宋体"/>
          <w:color w:val="auto"/>
          <w:sz w:val="24"/>
        </w:rPr>
        <w:t>......</w:t>
      </w:r>
    </w:p>
    <w:p w14:paraId="580C1811">
      <w:pPr>
        <w:spacing w:line="500" w:lineRule="exact"/>
        <w:ind w:firstLine="480"/>
        <w:rPr>
          <w:rFonts w:hint="eastAsia" w:ascii="宋体"/>
          <w:color w:val="auto"/>
          <w:sz w:val="24"/>
        </w:rPr>
      </w:pPr>
      <w:r>
        <w:rPr>
          <w:rFonts w:hint="eastAsia" w:ascii="宋体"/>
          <w:color w:val="auto"/>
          <w:sz w:val="24"/>
        </w:rPr>
        <w:t>以上企业，不属于大企业的分支机构，不存在控股股东为大企业的情形，也不存在与大企业的负责人为同一人的情形。</w:t>
      </w:r>
    </w:p>
    <w:p w14:paraId="00517A65">
      <w:pPr>
        <w:spacing w:line="500" w:lineRule="exact"/>
        <w:ind w:firstLine="480"/>
        <w:rPr>
          <w:rFonts w:hint="eastAsia"/>
          <w:color w:val="auto"/>
          <w:sz w:val="24"/>
        </w:rPr>
      </w:pPr>
      <w:r>
        <w:rPr>
          <w:rFonts w:hint="eastAsia" w:ascii="宋体"/>
          <w:color w:val="auto"/>
          <w:sz w:val="24"/>
        </w:rPr>
        <w:t>本企业对上述声明内容的真实性负责。如有虚假，将依法承担相应责任。</w:t>
      </w:r>
    </w:p>
    <w:p w14:paraId="36ACB1D7">
      <w:pPr>
        <w:pStyle w:val="62"/>
        <w:spacing w:line="480" w:lineRule="auto"/>
        <w:rPr>
          <w:rFonts w:hint="eastAsia" w:ascii="宋体" w:hAnsi="宋体" w:cs="宋体"/>
          <w:color w:val="auto"/>
          <w:sz w:val="24"/>
          <w:lang w:val="zh-CN"/>
        </w:rPr>
      </w:pPr>
    </w:p>
    <w:p w14:paraId="3D802001">
      <w:pPr>
        <w:spacing w:line="360" w:lineRule="auto"/>
        <w:ind w:firstLine="504"/>
        <w:jc w:val="center"/>
        <w:rPr>
          <w:rFonts w:hint="eastAsia" w:ascii="宋体" w:hAnsi="宋体" w:cs="宋体"/>
          <w:color w:val="auto"/>
          <w:spacing w:val="6"/>
          <w:sz w:val="24"/>
        </w:rPr>
      </w:pPr>
      <w:r>
        <w:rPr>
          <w:rFonts w:hint="eastAsia" w:ascii="宋体" w:hAnsi="宋体" w:cs="宋体"/>
          <w:color w:val="auto"/>
          <w:spacing w:val="6"/>
          <w:sz w:val="24"/>
        </w:rPr>
        <w:t xml:space="preserve">       磋商</w:t>
      </w:r>
      <w:r>
        <w:rPr>
          <w:rFonts w:hint="eastAsia" w:ascii="宋体" w:hAnsi="宋体" w:cs="宋体"/>
          <w:color w:val="auto"/>
          <w:sz w:val="24"/>
        </w:rPr>
        <w:t>供应商</w:t>
      </w:r>
      <w:r>
        <w:rPr>
          <w:rFonts w:hint="eastAsia" w:ascii="宋体" w:hAnsi="宋体" w:cs="宋体"/>
          <w:color w:val="auto"/>
          <w:kern w:val="0"/>
          <w:sz w:val="24"/>
          <w:lang w:val="zh-CN"/>
        </w:rPr>
        <w:t>名称(公章)</w:t>
      </w:r>
      <w:r>
        <w:rPr>
          <w:rFonts w:hint="eastAsia" w:ascii="宋体" w:hAnsi="宋体" w:cs="宋体"/>
          <w:color w:val="auto"/>
          <w:spacing w:val="6"/>
          <w:sz w:val="24"/>
        </w:rPr>
        <w:t>：</w:t>
      </w:r>
    </w:p>
    <w:p w14:paraId="2E60B251">
      <w:pPr>
        <w:spacing w:line="360" w:lineRule="auto"/>
        <w:ind w:firstLine="504"/>
        <w:jc w:val="center"/>
        <w:rPr>
          <w:rFonts w:hint="eastAsia" w:ascii="宋体" w:hAnsi="宋体" w:cs="宋体"/>
          <w:color w:val="auto"/>
          <w:spacing w:val="6"/>
          <w:sz w:val="24"/>
        </w:rPr>
      </w:pPr>
      <w:r>
        <w:rPr>
          <w:rFonts w:hint="eastAsia" w:ascii="宋体" w:hAnsi="宋体" w:cs="宋体"/>
          <w:color w:val="auto"/>
          <w:spacing w:val="6"/>
          <w:sz w:val="24"/>
          <w:lang w:val="en-US" w:eastAsia="zh-CN"/>
        </w:rPr>
        <w:t xml:space="preserve">       </w:t>
      </w:r>
      <w:r>
        <w:rPr>
          <w:rFonts w:hint="eastAsia" w:ascii="宋体" w:hAnsi="宋体" w:cs="宋体"/>
          <w:color w:val="auto"/>
          <w:sz w:val="24"/>
        </w:rPr>
        <w:t>日期：</w:t>
      </w:r>
      <w:r>
        <w:rPr>
          <w:rFonts w:hint="eastAsia" w:ascii="宋体" w:hAnsi="宋体" w:cs="宋体"/>
          <w:color w:val="auto"/>
          <w:sz w:val="24"/>
          <w:lang w:val="zh-CN"/>
        </w:rPr>
        <w:t xml:space="preserve">     年   月   日</w:t>
      </w:r>
    </w:p>
    <w:p w14:paraId="30E47F99">
      <w:pPr>
        <w:pStyle w:val="62"/>
        <w:spacing w:line="480" w:lineRule="auto"/>
        <w:rPr>
          <w:rFonts w:hint="eastAsia" w:ascii="宋体" w:hAnsi="宋体" w:cs="宋体"/>
          <w:b/>
          <w:strike/>
          <w:color w:val="auto"/>
          <w:sz w:val="24"/>
          <w:lang w:val="en-GB"/>
        </w:rPr>
      </w:pPr>
    </w:p>
    <w:p w14:paraId="38250B5C">
      <w:pPr>
        <w:pStyle w:val="62"/>
        <w:rPr>
          <w:rFonts w:hint="eastAsia" w:ascii="宋体" w:hAnsi="宋体"/>
          <w:color w:val="auto"/>
          <w:sz w:val="21"/>
          <w:szCs w:val="21"/>
          <w:lang w:val="en-GB"/>
        </w:rPr>
      </w:pPr>
      <w:r>
        <w:rPr>
          <w:rFonts w:hint="eastAsia" w:ascii="宋体" w:hAnsi="宋体"/>
          <w:color w:val="auto"/>
          <w:sz w:val="21"/>
          <w:szCs w:val="21"/>
          <w:lang w:val="en-GB"/>
        </w:rPr>
        <w:t>填写注意事项：</w:t>
      </w:r>
    </w:p>
    <w:p w14:paraId="1EEDCA26">
      <w:pPr>
        <w:pStyle w:val="62"/>
        <w:numPr>
          <w:ilvl w:val="0"/>
          <w:numId w:val="15"/>
        </w:numPr>
        <w:ind w:firstLine="420" w:firstLineChars="200"/>
        <w:rPr>
          <w:rFonts w:hint="eastAsia" w:ascii="宋体" w:hAnsi="宋体"/>
          <w:color w:val="auto"/>
          <w:sz w:val="21"/>
          <w:szCs w:val="21"/>
          <w:lang w:val="en-GB"/>
        </w:rPr>
      </w:pPr>
      <w:r>
        <w:rPr>
          <w:rFonts w:hint="eastAsia" w:ascii="宋体" w:hAnsi="宋体"/>
          <w:color w:val="auto"/>
          <w:sz w:val="21"/>
          <w:szCs w:val="21"/>
        </w:rPr>
        <w:t>从业人员、营业收入、资产总额填报上一年度数据，无上一年度数据的新成立企业可不填报。</w:t>
      </w:r>
    </w:p>
    <w:p w14:paraId="0E097488">
      <w:pPr>
        <w:pStyle w:val="62"/>
        <w:numPr>
          <w:ilvl w:val="0"/>
          <w:numId w:val="15"/>
        </w:numPr>
        <w:ind w:firstLine="420" w:firstLineChars="200"/>
        <w:rPr>
          <w:rFonts w:hint="eastAsia" w:ascii="宋体" w:hAnsi="宋体"/>
          <w:color w:val="auto"/>
          <w:sz w:val="21"/>
          <w:szCs w:val="21"/>
        </w:rPr>
      </w:pPr>
      <w:r>
        <w:rPr>
          <w:rFonts w:hint="eastAsia" w:ascii="宋体" w:hAnsi="宋体"/>
          <w:color w:val="auto"/>
          <w:sz w:val="21"/>
          <w:szCs w:val="21"/>
        </w:rPr>
        <w:t>标的所属行业为建筑业。</w:t>
      </w:r>
    </w:p>
    <w:p w14:paraId="21487F9C">
      <w:pPr>
        <w:pStyle w:val="62"/>
        <w:numPr>
          <w:ilvl w:val="0"/>
          <w:numId w:val="15"/>
        </w:numPr>
        <w:ind w:firstLine="420" w:firstLineChars="200"/>
        <w:rPr>
          <w:rFonts w:ascii="宋体" w:hAnsi="宋体"/>
          <w:color w:val="auto"/>
          <w:sz w:val="21"/>
          <w:szCs w:val="21"/>
        </w:rPr>
      </w:pPr>
      <w:r>
        <w:rPr>
          <w:rFonts w:hint="eastAsia" w:ascii="宋体" w:hAnsi="宋体"/>
          <w:color w:val="auto"/>
          <w:sz w:val="21"/>
          <w:szCs w:val="21"/>
        </w:rPr>
        <w:t>中型企业、小型企业、微型企业请根据《工业和信息化部、国家统计局、国家发展和改革委员会、财政部关于印发中小企业划型标准规定的通知》（工信部联企业[2011]300号）规定的划分标准填写。</w:t>
      </w:r>
    </w:p>
    <w:p w14:paraId="149594A6">
      <w:pPr>
        <w:snapToGrid w:val="0"/>
        <w:spacing w:line="348" w:lineRule="auto"/>
        <w:ind w:firstLine="420" w:firstLineChars="200"/>
        <w:rPr>
          <w:rFonts w:ascii="宋体" w:hAnsi="宋体"/>
          <w:sz w:val="21"/>
          <w:szCs w:val="21"/>
          <w:lang w:val="zh-CN"/>
        </w:rPr>
      </w:pPr>
      <w:r>
        <w:rPr>
          <w:rFonts w:ascii="宋体" w:hAnsi="宋体"/>
          <w:kern w:val="0"/>
          <w:sz w:val="21"/>
          <w:szCs w:val="21"/>
        </w:rPr>
        <w:t>。</w:t>
      </w:r>
    </w:p>
    <w:p w14:paraId="4BB41230">
      <w:pPr>
        <w:pStyle w:val="14"/>
        <w:spacing w:before="151" w:after="151" w:line="360" w:lineRule="auto"/>
        <w:jc w:val="center"/>
        <w:rPr>
          <w:rFonts w:hint="eastAsia" w:hAnsi="宋体" w:cs="宋体"/>
          <w:color w:val="auto"/>
          <w:sz w:val="32"/>
          <w:szCs w:val="32"/>
          <w:highlight w:val="none"/>
          <w:lang w:val="en-GB"/>
        </w:rPr>
        <w:sectPr>
          <w:pgSz w:w="11905" w:h="16838"/>
          <w:pgMar w:top="1440" w:right="1587" w:bottom="1440" w:left="1587" w:header="851" w:footer="992" w:gutter="0"/>
          <w:cols w:space="720" w:num="1"/>
          <w:docGrid w:type="lines" w:linePitch="303" w:charSpace="0"/>
        </w:sectPr>
      </w:pPr>
    </w:p>
    <w:p w14:paraId="3FD73ECB">
      <w:pPr>
        <w:pStyle w:val="14"/>
        <w:spacing w:before="120" w:after="120" w:line="360" w:lineRule="auto"/>
        <w:jc w:val="center"/>
        <w:rPr>
          <w:rFonts w:hint="eastAsia" w:hAnsi="宋体" w:cs="宋体"/>
          <w:b/>
          <w:color w:val="auto"/>
          <w:sz w:val="32"/>
          <w:szCs w:val="32"/>
          <w:highlight w:val="none"/>
          <w:lang w:val="en-GB"/>
        </w:rPr>
      </w:pPr>
      <w:r>
        <w:rPr>
          <w:rFonts w:hint="eastAsia" w:hAnsi="宋体" w:cs="宋体"/>
          <w:color w:val="auto"/>
          <w:sz w:val="32"/>
          <w:szCs w:val="32"/>
          <w:highlight w:val="none"/>
          <w:lang w:val="en-GB"/>
        </w:rPr>
        <w:t>（</w:t>
      </w:r>
      <w:r>
        <w:rPr>
          <w:rFonts w:hAnsi="宋体" w:cs="宋体"/>
          <w:color w:val="auto"/>
          <w:sz w:val="32"/>
          <w:szCs w:val="32"/>
          <w:highlight w:val="none"/>
        </w:rPr>
        <w:t>2</w:t>
      </w:r>
      <w:r>
        <w:rPr>
          <w:rFonts w:hint="eastAsia" w:hAnsi="宋体" w:cs="宋体"/>
          <w:color w:val="auto"/>
          <w:sz w:val="32"/>
          <w:szCs w:val="32"/>
          <w:highlight w:val="none"/>
          <w:lang w:val="en-GB"/>
        </w:rPr>
        <w:t>）残疾人福利性单位声明函</w:t>
      </w:r>
      <w:r>
        <w:rPr>
          <w:rFonts w:hint="eastAsia" w:hAnsi="宋体" w:cs="宋体"/>
          <w:i/>
          <w:color w:val="auto"/>
          <w:sz w:val="28"/>
          <w:szCs w:val="28"/>
          <w:highlight w:val="none"/>
        </w:rPr>
        <w:t>（如有）</w:t>
      </w:r>
    </w:p>
    <w:p w14:paraId="50D94EB3">
      <w:pPr>
        <w:spacing w:line="360" w:lineRule="auto"/>
        <w:ind w:firstLine="504" w:firstLineChars="200"/>
        <w:rPr>
          <w:rFonts w:ascii="宋体" w:cs="宋体"/>
          <w:color w:val="auto"/>
          <w:spacing w:val="6"/>
          <w:sz w:val="24"/>
          <w:highlight w:val="none"/>
        </w:rPr>
      </w:pPr>
      <w:r>
        <w:rPr>
          <w:rFonts w:hint="eastAsia" w:ascii="宋体" w:hAnsi="宋体" w:cs="宋体"/>
          <w:color w:val="auto"/>
          <w:spacing w:val="6"/>
          <w:sz w:val="24"/>
          <w:highlight w:val="none"/>
        </w:rPr>
        <w:t>本单位郑重声明，根据《财政部</w:t>
      </w: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民政部</w:t>
      </w: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中国残疾人联合会关于促进残疾人就业政府采购政策的通知》（财库〔</w:t>
      </w:r>
      <w:r>
        <w:rPr>
          <w:rFonts w:ascii="宋体" w:hAnsi="宋体" w:cs="宋体"/>
          <w:color w:val="auto"/>
          <w:spacing w:val="6"/>
          <w:sz w:val="24"/>
          <w:highlight w:val="none"/>
        </w:rPr>
        <w:t>2017</w:t>
      </w:r>
      <w:r>
        <w:rPr>
          <w:rFonts w:hint="eastAsia" w:ascii="宋体" w:hAnsi="宋体" w:cs="宋体"/>
          <w:color w:val="auto"/>
          <w:spacing w:val="6"/>
          <w:sz w:val="24"/>
          <w:highlight w:val="none"/>
        </w:rPr>
        <w:t>〕</w:t>
      </w:r>
      <w:r>
        <w:rPr>
          <w:rFonts w:ascii="宋体" w:hAnsi="宋体" w:cs="宋体"/>
          <w:color w:val="auto"/>
          <w:spacing w:val="6"/>
          <w:sz w:val="24"/>
          <w:highlight w:val="none"/>
        </w:rPr>
        <w:t>141</w:t>
      </w:r>
      <w:r>
        <w:rPr>
          <w:rFonts w:hint="eastAsia" w:ascii="宋体" w:hAnsi="宋体" w:cs="宋体"/>
          <w:color w:val="auto"/>
          <w:spacing w:val="6"/>
          <w:sz w:val="24"/>
          <w:highlight w:val="none"/>
        </w:rPr>
        <w:t>号）的规定，本单位为符合条件的残疾人福利性单位，且本单位参加</w:t>
      </w:r>
      <w:r>
        <w:rPr>
          <w:rFonts w:ascii="宋体" w:hAnsi="宋体"/>
          <w:i/>
          <w:kern w:val="0"/>
          <w:sz w:val="24"/>
          <w:u w:val="single"/>
        </w:rPr>
        <w:t>（单位名称）</w:t>
      </w:r>
      <w:r>
        <w:rPr>
          <w:rFonts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单位组织的</w:t>
      </w:r>
      <w:r>
        <w:rPr>
          <w:rFonts w:ascii="宋体" w:hAnsi="宋体"/>
          <w:i/>
          <w:kern w:val="0"/>
          <w:sz w:val="24"/>
          <w:u w:val="single"/>
        </w:rPr>
        <w:t>（项目名称）</w:t>
      </w:r>
      <w:r>
        <w:rPr>
          <w:rFonts w:hint="eastAsia" w:ascii="宋体" w:hAnsi="宋体" w:cs="宋体"/>
          <w:color w:val="auto"/>
          <w:spacing w:val="6"/>
          <w:sz w:val="24"/>
          <w:highlight w:val="none"/>
        </w:rPr>
        <w:t>项目采购活动提供本单位制造的货物（</w:t>
      </w:r>
      <w:r>
        <w:rPr>
          <w:rFonts w:hint="eastAsia" w:ascii="宋体" w:hAnsi="宋体" w:cs="宋体"/>
          <w:color w:val="auto"/>
          <w:spacing w:val="6"/>
          <w:sz w:val="24"/>
          <w:highlight w:val="none"/>
          <w:u w:val="single"/>
        </w:rPr>
        <w:t>由本单位承担工程</w:t>
      </w:r>
      <w:r>
        <w:rPr>
          <w:rFonts w:ascii="宋体" w:hAnsi="宋体" w:cs="宋体"/>
          <w:color w:val="auto"/>
          <w:spacing w:val="6"/>
          <w:sz w:val="24"/>
          <w:highlight w:val="none"/>
          <w:u w:val="single"/>
        </w:rPr>
        <w:t>/</w:t>
      </w:r>
      <w:r>
        <w:rPr>
          <w:rFonts w:hint="eastAsia" w:ascii="宋体" w:hAnsi="宋体" w:cs="宋体"/>
          <w:color w:val="auto"/>
          <w:spacing w:val="6"/>
          <w:sz w:val="24"/>
          <w:highlight w:val="none"/>
          <w:u w:val="single"/>
        </w:rPr>
        <w:t>提供服务</w:t>
      </w:r>
      <w:r>
        <w:rPr>
          <w:rFonts w:hint="eastAsia" w:ascii="宋体" w:hAnsi="宋体" w:cs="宋体"/>
          <w:color w:val="auto"/>
          <w:spacing w:val="6"/>
          <w:sz w:val="24"/>
          <w:highlight w:val="none"/>
        </w:rPr>
        <w:t>），或者提供其他残疾人福利性单位制造的货物（不包括使用非残疾人福利性单位注册商标的货物）。</w:t>
      </w:r>
    </w:p>
    <w:p w14:paraId="28D0BDBB">
      <w:pPr>
        <w:spacing w:line="360" w:lineRule="auto"/>
        <w:ind w:firstLine="504" w:firstLineChars="200"/>
        <w:rPr>
          <w:rFonts w:asci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r>
        <w:rPr>
          <w:rFonts w:ascii="宋体" w:hAnsi="宋体" w:cs="宋体"/>
          <w:color w:val="auto"/>
          <w:spacing w:val="6"/>
          <w:sz w:val="24"/>
          <w:highlight w:val="none"/>
        </w:rPr>
        <w:t xml:space="preserve">           </w:t>
      </w:r>
    </w:p>
    <w:p w14:paraId="222EF083">
      <w:pPr>
        <w:tabs>
          <w:tab w:val="left" w:pos="4860"/>
        </w:tabs>
        <w:spacing w:line="360" w:lineRule="auto"/>
        <w:ind w:right="1560" w:firstLine="504" w:firstLineChars="200"/>
        <w:jc w:val="center"/>
        <w:rPr>
          <w:rFonts w:ascii="宋体" w:cs="宋体"/>
          <w:color w:val="auto"/>
          <w:spacing w:val="6"/>
          <w:sz w:val="24"/>
          <w:highlight w:val="none"/>
        </w:rPr>
      </w:pPr>
      <w:r>
        <w:rPr>
          <w:rFonts w:ascii="宋体" w:hAnsi="宋体" w:cs="宋体"/>
          <w:color w:val="auto"/>
          <w:spacing w:val="6"/>
          <w:sz w:val="24"/>
          <w:highlight w:val="none"/>
        </w:rPr>
        <w:t xml:space="preserve">         </w:t>
      </w:r>
    </w:p>
    <w:p w14:paraId="128E9BA0">
      <w:pPr>
        <w:tabs>
          <w:tab w:val="left" w:pos="4860"/>
        </w:tabs>
        <w:spacing w:line="360" w:lineRule="auto"/>
        <w:ind w:right="1560" w:firstLine="504" w:firstLineChars="200"/>
        <w:jc w:val="center"/>
        <w:rPr>
          <w:rFonts w:ascii="宋体" w:cs="宋体"/>
          <w:color w:val="auto"/>
          <w:spacing w:val="6"/>
          <w:sz w:val="24"/>
          <w:highlight w:val="none"/>
        </w:rPr>
      </w:pP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单位名称（盖章）：</w:t>
      </w:r>
    </w:p>
    <w:p w14:paraId="2415360D">
      <w:pPr>
        <w:tabs>
          <w:tab w:val="left" w:pos="4860"/>
        </w:tabs>
        <w:spacing w:line="360" w:lineRule="auto"/>
        <w:ind w:right="1560" w:firstLine="504" w:firstLineChars="200"/>
        <w:jc w:val="center"/>
        <w:rPr>
          <w:rFonts w:ascii="宋体" w:cs="宋体"/>
          <w:color w:val="auto"/>
          <w:sz w:val="24"/>
          <w:highlight w:val="none"/>
        </w:rPr>
      </w:pP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日</w:t>
      </w: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期：</w:t>
      </w:r>
    </w:p>
    <w:p w14:paraId="2919651F">
      <w:pPr>
        <w:pStyle w:val="62"/>
        <w:spacing w:after="120" w:line="360" w:lineRule="auto"/>
        <w:rPr>
          <w:rFonts w:ascii="宋体" w:cs="宋体"/>
          <w:color w:val="auto"/>
          <w:sz w:val="24"/>
          <w:highlight w:val="none"/>
        </w:rPr>
      </w:pPr>
      <w:r>
        <w:rPr>
          <w:rFonts w:hint="eastAsia" w:ascii="宋体" w:hAnsi="宋体" w:cs="宋体"/>
          <w:color w:val="auto"/>
          <w:sz w:val="24"/>
          <w:highlight w:val="none"/>
        </w:rPr>
        <w:t>－－－－－－－－－－－－－－－－－－－－－－－－－－－－－－－－－－－－</w:t>
      </w:r>
    </w:p>
    <w:p w14:paraId="433BCA29">
      <w:pPr>
        <w:pStyle w:val="14"/>
        <w:spacing w:before="120" w:after="120" w:line="360" w:lineRule="auto"/>
        <w:jc w:val="center"/>
        <w:rPr>
          <w:rFonts w:hint="eastAsia" w:hAnsi="宋体" w:cs="宋体"/>
          <w:color w:val="auto"/>
          <w:sz w:val="32"/>
          <w:szCs w:val="32"/>
          <w:highlight w:val="none"/>
          <w:lang w:val="en-GB"/>
        </w:rPr>
      </w:pPr>
      <w:r>
        <w:rPr>
          <w:rFonts w:hint="eastAsia" w:hAnsi="宋体" w:cs="宋体"/>
          <w:color w:val="auto"/>
          <w:sz w:val="32"/>
          <w:szCs w:val="32"/>
          <w:highlight w:val="none"/>
          <w:lang w:val="en-GB"/>
        </w:rPr>
        <w:t>（</w:t>
      </w:r>
      <w:r>
        <w:rPr>
          <w:rFonts w:hAnsi="宋体" w:cs="宋体"/>
          <w:color w:val="auto"/>
          <w:sz w:val="32"/>
          <w:szCs w:val="32"/>
          <w:highlight w:val="none"/>
        </w:rPr>
        <w:t>3</w:t>
      </w:r>
      <w:r>
        <w:rPr>
          <w:rFonts w:hint="eastAsia" w:hAnsi="宋体" w:cs="宋体"/>
          <w:color w:val="auto"/>
          <w:sz w:val="32"/>
          <w:szCs w:val="32"/>
          <w:highlight w:val="none"/>
          <w:lang w:val="en-GB"/>
        </w:rPr>
        <w:t>）监狱企业</w:t>
      </w:r>
      <w:r>
        <w:rPr>
          <w:rFonts w:hint="eastAsia" w:hAnsi="宋体" w:cs="宋体"/>
          <w:i/>
          <w:color w:val="auto"/>
          <w:sz w:val="28"/>
          <w:szCs w:val="28"/>
          <w:highlight w:val="none"/>
        </w:rPr>
        <w:t>（如有）</w:t>
      </w:r>
    </w:p>
    <w:p w14:paraId="170A6E9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lang w:val="zh-CN"/>
        </w:rPr>
        <w:t>监狱企业参加政府采购活动时，应当提供由省级以上监狱管理局、戒毒管理局（含新疆生产建设兵团）出具的</w:t>
      </w:r>
      <w:r>
        <w:rPr>
          <w:rFonts w:hint="eastAsia" w:ascii="宋体" w:hAnsi="宋体" w:cs="宋体"/>
          <w:b/>
          <w:color w:val="auto"/>
          <w:szCs w:val="21"/>
          <w:highlight w:val="none"/>
          <w:u w:val="single"/>
          <w:lang w:val="zh-CN"/>
        </w:rPr>
        <w:t>属于监狱企业的证明文件，视同小型、微型企业；</w:t>
      </w:r>
    </w:p>
    <w:p w14:paraId="2F1F1CAB">
      <w:pPr>
        <w:rPr>
          <w:color w:val="auto"/>
          <w:highlight w:val="none"/>
          <w:lang w:val="zh-CN"/>
        </w:rPr>
        <w:sectPr>
          <w:pgSz w:w="11906" w:h="16838"/>
          <w:pgMar w:top="1418" w:right="1418" w:bottom="1418" w:left="1418" w:header="851" w:footer="992" w:gutter="0"/>
          <w:cols w:space="720" w:num="1"/>
          <w:docGrid w:linePitch="312" w:charSpace="0"/>
        </w:sectPr>
      </w:pPr>
    </w:p>
    <w:p w14:paraId="634C5CEB">
      <w:pPr>
        <w:rPr>
          <w:color w:val="auto"/>
          <w:highlight w:val="none"/>
          <w:lang w:val="zh-CN"/>
        </w:rPr>
      </w:pPr>
    </w:p>
    <w:p w14:paraId="4C130C91">
      <w:pPr>
        <w:pStyle w:val="4"/>
        <w:spacing w:before="240" w:beforeLines="100" w:after="0"/>
        <w:jc w:val="center"/>
        <w:rPr>
          <w:rFonts w:hint="eastAsia" w:ascii="宋体" w:hAnsi="宋体" w:eastAsia="宋体" w:cs="宋体"/>
          <w:bCs w:val="0"/>
          <w:color w:val="auto"/>
          <w:highlight w:val="none"/>
          <w:lang w:val="zh-CN"/>
        </w:rPr>
      </w:pPr>
      <w:bookmarkStart w:id="133" w:name="_Toc14537"/>
      <w:r>
        <w:rPr>
          <w:rFonts w:ascii="宋体" w:hAnsi="宋体" w:eastAsia="宋体" w:cs="宋体"/>
          <w:bCs w:val="0"/>
          <w:color w:val="auto"/>
          <w:highlight w:val="none"/>
          <w:lang w:val="zh-CN"/>
        </w:rPr>
        <w:t>2</w:t>
      </w:r>
      <w:r>
        <w:rPr>
          <w:rFonts w:hint="eastAsia" w:ascii="宋体" w:hAnsi="宋体" w:eastAsia="宋体" w:cs="宋体"/>
          <w:bCs w:val="0"/>
          <w:color w:val="auto"/>
          <w:highlight w:val="none"/>
          <w:lang w:val="zh-CN"/>
        </w:rPr>
        <w:t>、商务资信技术文件格式</w:t>
      </w:r>
      <w:bookmarkEnd w:id="130"/>
      <w:bookmarkEnd w:id="131"/>
      <w:bookmarkEnd w:id="133"/>
    </w:p>
    <w:p w14:paraId="39B691DC">
      <w:pPr>
        <w:spacing w:before="100" w:beforeAutospacing="1" w:after="100" w:afterAutospacing="1"/>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0B651C1A">
      <w:pPr>
        <w:spacing w:line="480" w:lineRule="auto"/>
        <w:jc w:val="center"/>
        <w:rPr>
          <w:rFonts w:ascii="宋体" w:cs="宋体"/>
          <w:color w:val="auto"/>
          <w:sz w:val="24"/>
          <w:highlight w:val="none"/>
        </w:rPr>
      </w:pPr>
      <w:r>
        <w:rPr>
          <w:rFonts w:hint="eastAsia" w:ascii="宋体" w:hAnsi="宋体" w:cs="宋体"/>
          <w:color w:val="auto"/>
          <w:sz w:val="24"/>
          <w:highlight w:val="none"/>
        </w:rPr>
        <w:t>（供应商可参考采购文件“第三章</w:t>
      </w:r>
      <w:r>
        <w:rPr>
          <w:rFonts w:ascii="宋体" w:hAnsi="宋体" w:cs="宋体"/>
          <w:color w:val="auto"/>
          <w:sz w:val="24"/>
          <w:highlight w:val="none"/>
        </w:rPr>
        <w:t xml:space="preserve"> </w:t>
      </w:r>
      <w:r>
        <w:rPr>
          <w:rFonts w:hint="eastAsia" w:ascii="宋体" w:hAnsi="宋体" w:cs="宋体"/>
          <w:color w:val="auto"/>
          <w:sz w:val="24"/>
          <w:highlight w:val="none"/>
        </w:rPr>
        <w:t>磋商须知”商务资信技术文件组成要求编排）</w:t>
      </w:r>
    </w:p>
    <w:p w14:paraId="7D8B8EC3">
      <w:pPr>
        <w:spacing w:line="360" w:lineRule="auto"/>
        <w:rPr>
          <w:rFonts w:ascii="宋体" w:cs="宋体"/>
          <w:b/>
          <w:bCs/>
          <w:color w:val="auto"/>
          <w:sz w:val="24"/>
          <w:highlight w:val="none"/>
        </w:rPr>
      </w:pPr>
      <w:bookmarkStart w:id="134" w:name="_Toc434090250"/>
      <w:bookmarkStart w:id="135" w:name="_Toc481505164"/>
      <w:r>
        <w:rPr>
          <w:rFonts w:ascii="宋体" w:cs="宋体"/>
          <w:b/>
          <w:bCs/>
          <w:color w:val="auto"/>
          <w:sz w:val="24"/>
          <w:highlight w:val="none"/>
        </w:rPr>
        <w:br w:type="page"/>
      </w:r>
      <w:r>
        <w:rPr>
          <w:rFonts w:hint="eastAsia" w:ascii="宋体" w:hAnsi="宋体" w:cs="宋体"/>
          <w:b/>
          <w:bCs/>
          <w:color w:val="auto"/>
          <w:sz w:val="24"/>
          <w:highlight w:val="none"/>
        </w:rPr>
        <w:t>附件</w:t>
      </w:r>
      <w:r>
        <w:rPr>
          <w:rFonts w:ascii="宋体" w:hAnsi="宋体" w:cs="宋体"/>
          <w:b/>
          <w:bCs/>
          <w:color w:val="auto"/>
          <w:sz w:val="24"/>
          <w:highlight w:val="none"/>
        </w:rPr>
        <w:t>6</w:t>
      </w:r>
      <w:r>
        <w:rPr>
          <w:rFonts w:hint="eastAsia" w:ascii="宋体" w:hAnsi="宋体" w:cs="宋体"/>
          <w:b/>
          <w:bCs/>
          <w:color w:val="auto"/>
          <w:sz w:val="24"/>
          <w:highlight w:val="none"/>
        </w:rPr>
        <w:t>：</w:t>
      </w:r>
    </w:p>
    <w:p w14:paraId="604EB240">
      <w:pPr>
        <w:jc w:val="center"/>
        <w:rPr>
          <w:snapToGrid w:val="0"/>
          <w:color w:val="auto"/>
          <w:sz w:val="30"/>
          <w:szCs w:val="30"/>
          <w:highlight w:val="none"/>
        </w:rPr>
      </w:pPr>
    </w:p>
    <w:p w14:paraId="1CBDBB6F">
      <w:pPr>
        <w:jc w:val="center"/>
        <w:rPr>
          <w:snapToGrid w:val="0"/>
          <w:color w:val="auto"/>
          <w:sz w:val="30"/>
          <w:szCs w:val="30"/>
          <w:highlight w:val="none"/>
        </w:rPr>
      </w:pPr>
      <w:r>
        <w:rPr>
          <w:rFonts w:hint="eastAsia"/>
          <w:snapToGrid w:val="0"/>
          <w:color w:val="auto"/>
          <w:sz w:val="30"/>
          <w:szCs w:val="30"/>
          <w:highlight w:val="none"/>
        </w:rPr>
        <w:t>（</w:t>
      </w:r>
      <w:r>
        <w:rPr>
          <w:snapToGrid w:val="0"/>
          <w:color w:val="auto"/>
          <w:sz w:val="30"/>
          <w:szCs w:val="30"/>
          <w:highlight w:val="none"/>
        </w:rPr>
        <w:t>1</w:t>
      </w:r>
      <w:r>
        <w:rPr>
          <w:rFonts w:hint="eastAsia"/>
          <w:snapToGrid w:val="0"/>
          <w:color w:val="auto"/>
          <w:sz w:val="30"/>
          <w:szCs w:val="30"/>
          <w:highlight w:val="none"/>
        </w:rPr>
        <w:t>）法定代表人身份证明书</w:t>
      </w:r>
      <w:r>
        <w:rPr>
          <w:snapToGrid w:val="0"/>
          <w:color w:val="auto"/>
          <w:sz w:val="30"/>
          <w:szCs w:val="30"/>
          <w:highlight w:val="none"/>
        </w:rPr>
        <w:t xml:space="preserve">  </w:t>
      </w:r>
      <w:r>
        <w:rPr>
          <w:rFonts w:hint="eastAsia"/>
          <w:i/>
          <w:iCs/>
          <w:snapToGrid w:val="0"/>
          <w:color w:val="auto"/>
          <w:sz w:val="24"/>
          <w:highlight w:val="none"/>
          <w:u w:val="single"/>
        </w:rPr>
        <w:t>（以下二选一）</w:t>
      </w:r>
    </w:p>
    <w:p w14:paraId="037A01FE">
      <w:pPr>
        <w:rPr>
          <w:snapToGrid w:val="0"/>
          <w:color w:val="auto"/>
          <w:szCs w:val="21"/>
          <w:highlight w:val="none"/>
        </w:rPr>
      </w:pPr>
    </w:p>
    <w:p w14:paraId="6C0DE184">
      <w:pPr>
        <w:rPr>
          <w:snapToGrid w:val="0"/>
          <w:color w:val="auto"/>
          <w:szCs w:val="21"/>
          <w:highlight w:val="none"/>
        </w:rPr>
      </w:pPr>
    </w:p>
    <w:p w14:paraId="79055CAE">
      <w:pPr>
        <w:spacing w:line="500" w:lineRule="exact"/>
        <w:rPr>
          <w:snapToGrid w:val="0"/>
          <w:color w:val="auto"/>
          <w:sz w:val="24"/>
          <w:highlight w:val="none"/>
        </w:rPr>
      </w:pPr>
      <w:r>
        <w:rPr>
          <w:rFonts w:hint="eastAsia"/>
          <w:snapToGrid w:val="0"/>
          <w:color w:val="auto"/>
          <w:sz w:val="24"/>
          <w:highlight w:val="none"/>
        </w:rPr>
        <w:t>投标人名称：</w:t>
      </w:r>
      <w:r>
        <w:rPr>
          <w:snapToGrid w:val="0"/>
          <w:color w:val="auto"/>
          <w:sz w:val="24"/>
          <w:highlight w:val="none"/>
          <w:u w:val="single"/>
        </w:rPr>
        <w:t xml:space="preserve">                                         </w:t>
      </w:r>
    </w:p>
    <w:p w14:paraId="5474DDED">
      <w:pPr>
        <w:spacing w:line="500" w:lineRule="exact"/>
        <w:rPr>
          <w:snapToGrid w:val="0"/>
          <w:color w:val="auto"/>
          <w:sz w:val="24"/>
          <w:highlight w:val="none"/>
        </w:rPr>
      </w:pPr>
      <w:r>
        <w:rPr>
          <w:rFonts w:hint="eastAsia"/>
          <w:snapToGrid w:val="0"/>
          <w:color w:val="auto"/>
          <w:sz w:val="24"/>
          <w:highlight w:val="none"/>
        </w:rPr>
        <w:t>单位性质：</w:t>
      </w:r>
      <w:r>
        <w:rPr>
          <w:snapToGrid w:val="0"/>
          <w:color w:val="auto"/>
          <w:sz w:val="24"/>
          <w:highlight w:val="none"/>
          <w:u w:val="single"/>
        </w:rPr>
        <w:t xml:space="preserve">                                           </w:t>
      </w:r>
      <w:r>
        <w:rPr>
          <w:snapToGrid w:val="0"/>
          <w:color w:val="auto"/>
          <w:sz w:val="24"/>
          <w:highlight w:val="none"/>
        </w:rPr>
        <w:t xml:space="preserve"> </w:t>
      </w:r>
    </w:p>
    <w:p w14:paraId="77FEB82F">
      <w:pPr>
        <w:spacing w:line="500" w:lineRule="exact"/>
        <w:rPr>
          <w:snapToGrid w:val="0"/>
          <w:color w:val="auto"/>
          <w:sz w:val="24"/>
          <w:highlight w:val="none"/>
        </w:rPr>
      </w:pPr>
      <w:r>
        <w:rPr>
          <w:rFonts w:hint="eastAsia"/>
          <w:snapToGrid w:val="0"/>
          <w:color w:val="auto"/>
          <w:sz w:val="24"/>
          <w:highlight w:val="none"/>
        </w:rPr>
        <w:t>地址：</w:t>
      </w:r>
      <w:r>
        <w:rPr>
          <w:snapToGrid w:val="0"/>
          <w:color w:val="auto"/>
          <w:sz w:val="24"/>
          <w:highlight w:val="none"/>
          <w:u w:val="single"/>
        </w:rPr>
        <w:t xml:space="preserve">                                               </w:t>
      </w:r>
      <w:r>
        <w:rPr>
          <w:snapToGrid w:val="0"/>
          <w:color w:val="auto"/>
          <w:sz w:val="24"/>
          <w:highlight w:val="none"/>
        </w:rPr>
        <w:t xml:space="preserve"> </w:t>
      </w:r>
    </w:p>
    <w:p w14:paraId="30367591">
      <w:pPr>
        <w:spacing w:line="500" w:lineRule="exact"/>
        <w:rPr>
          <w:snapToGrid w:val="0"/>
          <w:color w:val="auto"/>
          <w:sz w:val="24"/>
          <w:highlight w:val="none"/>
        </w:rPr>
      </w:pPr>
      <w:r>
        <w:rPr>
          <w:rFonts w:hint="eastAsia"/>
          <w:snapToGrid w:val="0"/>
          <w:color w:val="auto"/>
          <w:sz w:val="24"/>
          <w:highlight w:val="none"/>
        </w:rPr>
        <w:t>成立时间：</w:t>
      </w:r>
      <w:r>
        <w:rPr>
          <w:snapToGrid w:val="0"/>
          <w:color w:val="auto"/>
          <w:sz w:val="24"/>
          <w:highlight w:val="none"/>
          <w:u w:val="single"/>
        </w:rPr>
        <w:t xml:space="preserve">        </w:t>
      </w:r>
      <w:r>
        <w:rPr>
          <w:rFonts w:hint="eastAsia"/>
          <w:snapToGrid w:val="0"/>
          <w:color w:val="auto"/>
          <w:sz w:val="24"/>
          <w:highlight w:val="none"/>
        </w:rPr>
        <w:t>年</w:t>
      </w:r>
      <w:r>
        <w:rPr>
          <w:snapToGrid w:val="0"/>
          <w:color w:val="auto"/>
          <w:sz w:val="24"/>
          <w:highlight w:val="none"/>
          <w:u w:val="single"/>
        </w:rPr>
        <w:t xml:space="preserve">    </w:t>
      </w:r>
      <w:r>
        <w:rPr>
          <w:rFonts w:hint="eastAsia"/>
          <w:snapToGrid w:val="0"/>
          <w:color w:val="auto"/>
          <w:sz w:val="24"/>
          <w:highlight w:val="none"/>
        </w:rPr>
        <w:t>月</w:t>
      </w:r>
      <w:r>
        <w:rPr>
          <w:snapToGrid w:val="0"/>
          <w:color w:val="auto"/>
          <w:sz w:val="24"/>
          <w:highlight w:val="none"/>
          <w:u w:val="single"/>
        </w:rPr>
        <w:t xml:space="preserve">    </w:t>
      </w:r>
      <w:r>
        <w:rPr>
          <w:rFonts w:hint="eastAsia"/>
          <w:snapToGrid w:val="0"/>
          <w:color w:val="auto"/>
          <w:sz w:val="24"/>
          <w:highlight w:val="none"/>
        </w:rPr>
        <w:t>日</w:t>
      </w:r>
    </w:p>
    <w:p w14:paraId="33049E51">
      <w:pPr>
        <w:spacing w:line="500" w:lineRule="exact"/>
        <w:rPr>
          <w:snapToGrid w:val="0"/>
          <w:color w:val="auto"/>
          <w:sz w:val="24"/>
          <w:highlight w:val="none"/>
        </w:rPr>
      </w:pPr>
      <w:r>
        <w:rPr>
          <w:rFonts w:hint="eastAsia"/>
          <w:snapToGrid w:val="0"/>
          <w:color w:val="auto"/>
          <w:sz w:val="24"/>
          <w:highlight w:val="none"/>
        </w:rPr>
        <w:t>经营期限：</w:t>
      </w:r>
      <w:r>
        <w:rPr>
          <w:snapToGrid w:val="0"/>
          <w:color w:val="auto"/>
          <w:sz w:val="24"/>
          <w:highlight w:val="none"/>
          <w:u w:val="single"/>
        </w:rPr>
        <w:t xml:space="preserve">                                </w:t>
      </w:r>
      <w:r>
        <w:rPr>
          <w:snapToGrid w:val="0"/>
          <w:color w:val="auto"/>
          <w:sz w:val="24"/>
          <w:highlight w:val="none"/>
        </w:rPr>
        <w:t xml:space="preserve"> </w:t>
      </w:r>
    </w:p>
    <w:p w14:paraId="01963680">
      <w:pPr>
        <w:spacing w:line="500" w:lineRule="exact"/>
        <w:rPr>
          <w:snapToGrid w:val="0"/>
          <w:color w:val="auto"/>
          <w:sz w:val="24"/>
          <w:highlight w:val="none"/>
          <w:u w:val="single"/>
        </w:rPr>
      </w:pPr>
      <w:r>
        <w:rPr>
          <w:rFonts w:hint="eastAsia"/>
          <w:snapToGrid w:val="0"/>
          <w:color w:val="auto"/>
          <w:sz w:val="24"/>
          <w:highlight w:val="none"/>
        </w:rPr>
        <w:t>姓名：</w:t>
      </w:r>
      <w:r>
        <w:rPr>
          <w:snapToGrid w:val="0"/>
          <w:color w:val="auto"/>
          <w:sz w:val="24"/>
          <w:highlight w:val="none"/>
          <w:u w:val="single"/>
        </w:rPr>
        <w:t xml:space="preserve">       </w:t>
      </w:r>
      <w:r>
        <w:rPr>
          <w:rFonts w:hint="eastAsia"/>
          <w:snapToGrid w:val="0"/>
          <w:color w:val="auto"/>
          <w:sz w:val="24"/>
          <w:highlight w:val="none"/>
        </w:rPr>
        <w:t>性别：</w:t>
      </w:r>
      <w:r>
        <w:rPr>
          <w:snapToGrid w:val="0"/>
          <w:color w:val="auto"/>
          <w:sz w:val="24"/>
          <w:highlight w:val="none"/>
          <w:u w:val="single"/>
        </w:rPr>
        <w:t xml:space="preserve">    </w:t>
      </w:r>
      <w:r>
        <w:rPr>
          <w:rFonts w:hint="eastAsia"/>
          <w:snapToGrid w:val="0"/>
          <w:color w:val="auto"/>
          <w:sz w:val="24"/>
          <w:highlight w:val="none"/>
        </w:rPr>
        <w:t>年龄：</w:t>
      </w:r>
      <w:r>
        <w:rPr>
          <w:snapToGrid w:val="0"/>
          <w:color w:val="auto"/>
          <w:sz w:val="24"/>
          <w:highlight w:val="none"/>
          <w:u w:val="single"/>
        </w:rPr>
        <w:t xml:space="preserve">    </w:t>
      </w:r>
      <w:r>
        <w:rPr>
          <w:rFonts w:hint="eastAsia"/>
          <w:snapToGrid w:val="0"/>
          <w:color w:val="auto"/>
          <w:sz w:val="24"/>
          <w:highlight w:val="none"/>
        </w:rPr>
        <w:t>身份证号码</w:t>
      </w:r>
      <w:r>
        <w:rPr>
          <w:snapToGrid w:val="0"/>
          <w:color w:val="auto"/>
          <w:sz w:val="24"/>
          <w:highlight w:val="none"/>
          <w:u w:val="single"/>
        </w:rPr>
        <w:t xml:space="preserve">               </w:t>
      </w:r>
    </w:p>
    <w:p w14:paraId="7406B4C7">
      <w:pPr>
        <w:spacing w:line="500" w:lineRule="exact"/>
        <w:rPr>
          <w:snapToGrid w:val="0"/>
          <w:color w:val="auto"/>
          <w:sz w:val="24"/>
          <w:highlight w:val="none"/>
        </w:rPr>
      </w:pPr>
      <w:r>
        <w:rPr>
          <w:rFonts w:hint="eastAsia"/>
          <w:snapToGrid w:val="0"/>
          <w:color w:val="auto"/>
          <w:sz w:val="24"/>
          <w:highlight w:val="none"/>
        </w:rPr>
        <w:t>职务：</w:t>
      </w:r>
      <w:r>
        <w:rPr>
          <w:snapToGrid w:val="0"/>
          <w:color w:val="auto"/>
          <w:sz w:val="24"/>
          <w:highlight w:val="none"/>
          <w:u w:val="single"/>
        </w:rPr>
        <w:t xml:space="preserve">          </w:t>
      </w:r>
      <w:r>
        <w:rPr>
          <w:rFonts w:hint="eastAsia"/>
          <w:snapToGrid w:val="0"/>
          <w:color w:val="auto"/>
          <w:sz w:val="24"/>
          <w:highlight w:val="none"/>
        </w:rPr>
        <w:t>系</w:t>
      </w:r>
      <w:r>
        <w:rPr>
          <w:snapToGrid w:val="0"/>
          <w:color w:val="auto"/>
          <w:sz w:val="24"/>
          <w:highlight w:val="none"/>
          <w:u w:val="single"/>
        </w:rPr>
        <w:t xml:space="preserve">                          </w:t>
      </w:r>
      <w:r>
        <w:rPr>
          <w:rFonts w:hint="eastAsia"/>
          <w:snapToGrid w:val="0"/>
          <w:color w:val="auto"/>
          <w:sz w:val="24"/>
          <w:highlight w:val="none"/>
        </w:rPr>
        <w:t>（投标人名称）的法定代表人。</w:t>
      </w:r>
    </w:p>
    <w:p w14:paraId="141E49F0">
      <w:pPr>
        <w:spacing w:line="500" w:lineRule="exact"/>
        <w:rPr>
          <w:snapToGrid w:val="0"/>
          <w:color w:val="auto"/>
          <w:sz w:val="24"/>
          <w:highlight w:val="none"/>
        </w:rPr>
      </w:pPr>
      <w:r>
        <w:rPr>
          <w:rFonts w:hint="eastAsia"/>
          <w:snapToGrid w:val="0"/>
          <w:color w:val="auto"/>
          <w:sz w:val="24"/>
          <w:highlight w:val="none"/>
        </w:rPr>
        <w:t>特此证明。</w:t>
      </w:r>
    </w:p>
    <w:p w14:paraId="02FB3FB2">
      <w:pPr>
        <w:spacing w:line="500" w:lineRule="exact"/>
        <w:rPr>
          <w:snapToGrid w:val="0"/>
          <w:color w:val="auto"/>
          <w:sz w:val="24"/>
          <w:highlight w:val="none"/>
        </w:rPr>
      </w:pPr>
      <w:r>
        <w:rPr>
          <w:snapToGrid w:val="0"/>
          <w:color w:val="auto"/>
          <w:sz w:val="24"/>
          <w:highlight w:val="none"/>
        </w:rPr>
        <w:t xml:space="preserve">                            </w:t>
      </w:r>
      <w:r>
        <w:rPr>
          <w:rFonts w:hint="eastAsia"/>
          <w:snapToGrid w:val="0"/>
          <w:color w:val="auto"/>
          <w:sz w:val="24"/>
          <w:highlight w:val="none"/>
        </w:rPr>
        <w:t>供应商：</w:t>
      </w:r>
      <w:r>
        <w:rPr>
          <w:snapToGrid w:val="0"/>
          <w:color w:val="auto"/>
          <w:sz w:val="24"/>
          <w:highlight w:val="none"/>
          <w:u w:val="single"/>
        </w:rPr>
        <w:t xml:space="preserve">                 </w:t>
      </w:r>
      <w:r>
        <w:rPr>
          <w:rFonts w:hint="eastAsia"/>
          <w:snapToGrid w:val="0"/>
          <w:color w:val="auto"/>
          <w:sz w:val="24"/>
          <w:highlight w:val="none"/>
        </w:rPr>
        <w:t>（盖单位章）</w:t>
      </w:r>
    </w:p>
    <w:p w14:paraId="70BDF15A">
      <w:pPr>
        <w:spacing w:line="500" w:lineRule="exact"/>
        <w:rPr>
          <w:snapToGrid w:val="0"/>
          <w:color w:val="auto"/>
          <w:sz w:val="24"/>
          <w:highlight w:val="none"/>
        </w:rPr>
      </w:pPr>
      <w:r>
        <w:rPr>
          <w:snapToGrid w:val="0"/>
          <w:color w:val="auto"/>
          <w:sz w:val="24"/>
          <w:highlight w:val="none"/>
        </w:rPr>
        <w:t xml:space="preserve">                                   </w:t>
      </w:r>
      <w:r>
        <w:rPr>
          <w:snapToGrid w:val="0"/>
          <w:color w:val="auto"/>
          <w:sz w:val="24"/>
          <w:highlight w:val="none"/>
          <w:u w:val="single"/>
        </w:rPr>
        <w:t xml:space="preserve">        </w:t>
      </w:r>
      <w:r>
        <w:rPr>
          <w:rFonts w:hint="eastAsia"/>
          <w:snapToGrid w:val="0"/>
          <w:color w:val="auto"/>
          <w:sz w:val="24"/>
          <w:highlight w:val="none"/>
        </w:rPr>
        <w:t>年</w:t>
      </w:r>
      <w:r>
        <w:rPr>
          <w:snapToGrid w:val="0"/>
          <w:color w:val="auto"/>
          <w:sz w:val="24"/>
          <w:highlight w:val="none"/>
          <w:u w:val="single"/>
        </w:rPr>
        <w:t xml:space="preserve">    </w:t>
      </w:r>
      <w:r>
        <w:rPr>
          <w:rFonts w:hint="eastAsia"/>
          <w:snapToGrid w:val="0"/>
          <w:color w:val="auto"/>
          <w:sz w:val="24"/>
          <w:highlight w:val="none"/>
        </w:rPr>
        <w:t>月</w:t>
      </w:r>
      <w:r>
        <w:rPr>
          <w:snapToGrid w:val="0"/>
          <w:color w:val="auto"/>
          <w:sz w:val="24"/>
          <w:highlight w:val="none"/>
          <w:u w:val="single"/>
        </w:rPr>
        <w:t xml:space="preserve">     </w:t>
      </w:r>
      <w:r>
        <w:rPr>
          <w:rFonts w:hint="eastAsia"/>
          <w:snapToGrid w:val="0"/>
          <w:color w:val="auto"/>
          <w:sz w:val="24"/>
          <w:highlight w:val="none"/>
        </w:rPr>
        <w:t>日</w:t>
      </w:r>
    </w:p>
    <w:p w14:paraId="4C882779">
      <w:pPr>
        <w:spacing w:line="500" w:lineRule="exact"/>
        <w:rPr>
          <w:snapToGrid w:val="0"/>
          <w:color w:val="auto"/>
          <w:sz w:val="28"/>
          <w:szCs w:val="28"/>
          <w:highlight w:val="none"/>
        </w:rPr>
      </w:pPr>
    </w:p>
    <w:p w14:paraId="1D4B1805">
      <w:pPr>
        <w:spacing w:line="500" w:lineRule="exact"/>
        <w:rPr>
          <w:snapToGrid w:val="0"/>
          <w:color w:val="auto"/>
          <w:sz w:val="24"/>
          <w:highlight w:val="none"/>
        </w:rPr>
      </w:pPr>
      <w:r>
        <w:rPr>
          <w:rFonts w:hint="eastAsia"/>
          <w:snapToGrid w:val="0"/>
          <w:color w:val="auto"/>
          <w:sz w:val="24"/>
          <w:highlight w:val="none"/>
        </w:rPr>
        <w:t>注：此证明用于法定代表人本人参加本项目的采购活动。</w:t>
      </w:r>
    </w:p>
    <w:p w14:paraId="37FDBD84">
      <w:pPr>
        <w:pStyle w:val="7"/>
        <w:spacing w:line="600" w:lineRule="exact"/>
        <w:ind w:firstLine="0"/>
        <w:rPr>
          <w:color w:val="auto"/>
          <w:sz w:val="24"/>
          <w:highlight w:val="none"/>
        </w:rPr>
      </w:pPr>
      <w:r>
        <w:rPr>
          <w:color w:val="auto"/>
          <w:sz w:val="24"/>
          <w:highlight w:val="none"/>
        </w:rPr>
        <w:t>-----------------------------------------------------------------------------------------------------------------</w:t>
      </w:r>
    </w:p>
    <w:p w14:paraId="2C8DAC0E">
      <w:pPr>
        <w:pStyle w:val="7"/>
        <w:spacing w:line="600" w:lineRule="exact"/>
        <w:ind w:firstLine="374" w:firstLineChars="156"/>
        <w:jc w:val="center"/>
        <w:rPr>
          <w:color w:val="auto"/>
          <w:sz w:val="24"/>
          <w:highlight w:val="none"/>
        </w:rPr>
      </w:pPr>
    </w:p>
    <w:p w14:paraId="00C133C2">
      <w:pPr>
        <w:pStyle w:val="7"/>
        <w:spacing w:line="600" w:lineRule="exact"/>
        <w:ind w:firstLine="374" w:firstLineChars="156"/>
        <w:jc w:val="center"/>
        <w:rPr>
          <w:color w:val="auto"/>
          <w:sz w:val="24"/>
          <w:highlight w:val="none"/>
        </w:rPr>
      </w:pPr>
    </w:p>
    <w:p w14:paraId="1A6A1F49">
      <w:pPr>
        <w:pStyle w:val="7"/>
        <w:spacing w:line="600" w:lineRule="exact"/>
        <w:ind w:firstLine="0"/>
        <w:jc w:val="center"/>
        <w:rPr>
          <w:color w:val="auto"/>
          <w:sz w:val="24"/>
          <w:highlight w:val="none"/>
        </w:rPr>
      </w:pPr>
      <w:r>
        <w:rPr>
          <w:rFonts w:hint="eastAsia"/>
          <w:color w:val="auto"/>
          <w:sz w:val="24"/>
          <w:highlight w:val="none"/>
        </w:rPr>
        <w:t>（有效身份证复印件）</w:t>
      </w:r>
    </w:p>
    <w:p w14:paraId="25A34470">
      <w:pPr>
        <w:spacing w:line="480" w:lineRule="auto"/>
        <w:ind w:firstLine="361" w:firstLineChars="100"/>
        <w:jc w:val="center"/>
        <w:rPr>
          <w:b/>
          <w:color w:val="auto"/>
          <w:sz w:val="36"/>
          <w:szCs w:val="36"/>
          <w:highlight w:val="none"/>
        </w:rPr>
        <w:sectPr>
          <w:pgSz w:w="11906" w:h="16838"/>
          <w:pgMar w:top="1418" w:right="1418" w:bottom="1418" w:left="1418" w:header="851" w:footer="992" w:gutter="0"/>
          <w:cols w:space="720" w:num="1"/>
          <w:docGrid w:linePitch="312" w:charSpace="0"/>
        </w:sectPr>
      </w:pPr>
    </w:p>
    <w:p w14:paraId="1A23F574">
      <w:pPr>
        <w:snapToGrid w:val="0"/>
        <w:spacing w:before="160" w:beforeLines="50" w:after="50"/>
        <w:jc w:val="center"/>
        <w:rPr>
          <w:rFonts w:ascii="宋体" w:cs="宋体"/>
          <w:b/>
          <w:color w:val="auto"/>
          <w:sz w:val="30"/>
          <w:szCs w:val="30"/>
          <w:highlight w:val="none"/>
        </w:rPr>
      </w:pPr>
      <w:r>
        <w:rPr>
          <w:rFonts w:hint="eastAsia" w:ascii="宋体" w:hAnsi="宋体" w:cs="宋体"/>
          <w:b/>
          <w:color w:val="auto"/>
          <w:sz w:val="30"/>
          <w:szCs w:val="30"/>
          <w:highlight w:val="none"/>
        </w:rPr>
        <w:t>（</w:t>
      </w:r>
      <w:r>
        <w:rPr>
          <w:rFonts w:ascii="宋体" w:hAnsi="宋体" w:cs="宋体"/>
          <w:b/>
          <w:color w:val="auto"/>
          <w:sz w:val="30"/>
          <w:szCs w:val="30"/>
          <w:highlight w:val="none"/>
        </w:rPr>
        <w:t>2</w:t>
      </w:r>
      <w:r>
        <w:rPr>
          <w:rFonts w:hint="eastAsia" w:ascii="宋体" w:hAnsi="宋体" w:cs="宋体"/>
          <w:b/>
          <w:color w:val="auto"/>
          <w:sz w:val="30"/>
          <w:szCs w:val="30"/>
          <w:highlight w:val="none"/>
        </w:rPr>
        <w:t>）法定代表人授权委托书</w:t>
      </w:r>
    </w:p>
    <w:p w14:paraId="414A69D1">
      <w:pPr>
        <w:snapToGrid w:val="0"/>
        <w:spacing w:before="160" w:beforeLines="50" w:after="50"/>
        <w:rPr>
          <w:rFonts w:ascii="宋体" w:cs="宋体"/>
          <w:bCs/>
          <w:color w:val="auto"/>
          <w:sz w:val="24"/>
          <w:highlight w:val="none"/>
        </w:rPr>
      </w:pPr>
    </w:p>
    <w:p w14:paraId="515CD5A9">
      <w:pPr>
        <w:snapToGrid w:val="0"/>
        <w:spacing w:before="160" w:beforeLines="50" w:after="50"/>
        <w:rPr>
          <w:rFonts w:ascii="宋体" w:cs="宋体"/>
          <w:b/>
          <w:bCs/>
          <w:color w:val="auto"/>
          <w:sz w:val="24"/>
          <w:highlight w:val="none"/>
        </w:rPr>
      </w:pPr>
      <w:r>
        <w:rPr>
          <w:rFonts w:hint="eastAsia" w:ascii="宋体" w:hAnsi="宋体" w:cs="宋体"/>
          <w:bCs/>
          <w:color w:val="auto"/>
          <w:sz w:val="24"/>
          <w:highlight w:val="none"/>
        </w:rPr>
        <w:t>致：</w:t>
      </w:r>
      <w:r>
        <w:rPr>
          <w:rFonts w:ascii="宋体" w:hAnsi="宋体" w:cs="宋体"/>
          <w:bCs/>
          <w:color w:val="auto"/>
          <w:sz w:val="24"/>
          <w:highlight w:val="none"/>
          <w:u w:val="single"/>
        </w:rPr>
        <w:t xml:space="preserve">  </w:t>
      </w:r>
      <w:r>
        <w:rPr>
          <w:rFonts w:hint="eastAsia" w:ascii="宋体" w:hAnsi="宋体" w:cs="宋体"/>
          <w:color w:val="auto"/>
          <w:sz w:val="24"/>
          <w:highlight w:val="none"/>
          <w:u w:val="single"/>
        </w:rPr>
        <w:t>（采购单位名称）</w:t>
      </w:r>
      <w:r>
        <w:rPr>
          <w:rFonts w:hint="eastAsia" w:ascii="宋体" w:hAnsi="宋体" w:cs="宋体"/>
          <w:color w:val="auto"/>
          <w:sz w:val="24"/>
          <w:highlight w:val="none"/>
        </w:rPr>
        <w:t>：</w:t>
      </w:r>
    </w:p>
    <w:p w14:paraId="70075FF6">
      <w:pPr>
        <w:spacing w:line="700" w:lineRule="exact"/>
        <w:ind w:firstLine="840" w:firstLineChars="350"/>
        <w:rPr>
          <w:rFonts w:asci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（磋商供应商全称）法定代表人</w:t>
      </w:r>
      <w:r>
        <w:rPr>
          <w:rFonts w:ascii="宋体" w:hAnsi="宋体" w:cs="宋体"/>
          <w:color w:val="auto"/>
          <w:sz w:val="24"/>
          <w:highlight w:val="none"/>
          <w:u w:val="single"/>
        </w:rPr>
        <w:t xml:space="preserve">            </w:t>
      </w:r>
      <w:r>
        <w:rPr>
          <w:rFonts w:hint="eastAsia" w:ascii="宋体" w:hAnsi="宋体" w:cs="宋体"/>
          <w:color w:val="auto"/>
          <w:sz w:val="24"/>
          <w:highlight w:val="none"/>
        </w:rPr>
        <w:t>授权</w:t>
      </w:r>
    </w:p>
    <w:p w14:paraId="4C691184">
      <w:pPr>
        <w:spacing w:line="700" w:lineRule="exact"/>
        <w:rPr>
          <w:rFonts w:asci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（全称代表姓名）为全权代表，参加贵单位组织的</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神仙居5A景区镇基础设施提升项目-游客集散中心（景区集散点）项目（重新招标）</w:t>
      </w:r>
      <w:r>
        <w:rPr>
          <w:rFonts w:ascii="宋体" w:hAnsi="宋体" w:cs="宋体"/>
          <w:color w:val="auto"/>
          <w:sz w:val="24"/>
          <w:highlight w:val="none"/>
          <w:u w:val="single"/>
        </w:rPr>
        <w:t xml:space="preserve"> </w:t>
      </w:r>
      <w:r>
        <w:rPr>
          <w:rFonts w:hint="eastAsia" w:ascii="宋体" w:hAnsi="宋体" w:cs="宋体"/>
          <w:color w:val="auto"/>
          <w:sz w:val="24"/>
          <w:highlight w:val="none"/>
        </w:rPr>
        <w:t>编号：</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ZJJX-25CG-005-01</w:t>
      </w:r>
      <w:r>
        <w:rPr>
          <w:rFonts w:ascii="宋体" w:hAnsi="宋体" w:cs="宋体"/>
          <w:color w:val="auto"/>
          <w:sz w:val="24"/>
          <w:highlight w:val="none"/>
          <w:u w:val="single"/>
        </w:rPr>
        <w:t xml:space="preserve">  </w:t>
      </w:r>
      <w:r>
        <w:rPr>
          <w:rFonts w:hint="eastAsia" w:ascii="宋体" w:hAnsi="宋体" w:cs="宋体"/>
          <w:color w:val="auto"/>
          <w:sz w:val="24"/>
          <w:highlight w:val="none"/>
        </w:rPr>
        <w:t>的磋商活动，全权代表我方处理磋商活动中的一切事务，我均予以承认。</w:t>
      </w:r>
    </w:p>
    <w:p w14:paraId="5F12A744">
      <w:pPr>
        <w:spacing w:line="360" w:lineRule="auto"/>
        <w:ind w:firstLine="4094" w:firstLineChars="1706"/>
        <w:rPr>
          <w:rFonts w:ascii="宋体" w:cs="宋体"/>
          <w:color w:val="auto"/>
          <w:sz w:val="24"/>
          <w:highlight w:val="none"/>
        </w:rPr>
      </w:pPr>
    </w:p>
    <w:p w14:paraId="336773DA">
      <w:pPr>
        <w:spacing w:line="360" w:lineRule="auto"/>
        <w:ind w:firstLine="3360" w:firstLineChars="1400"/>
        <w:rPr>
          <w:rFonts w:ascii="宋体" w:cs="宋体"/>
          <w:color w:val="auto"/>
          <w:sz w:val="24"/>
          <w:highlight w:val="none"/>
        </w:rPr>
      </w:pPr>
    </w:p>
    <w:p w14:paraId="2E63049D">
      <w:pPr>
        <w:spacing w:line="480" w:lineRule="auto"/>
        <w:ind w:firstLine="3360" w:firstLineChars="1400"/>
        <w:rPr>
          <w:rFonts w:ascii="宋体" w:cs="宋体"/>
          <w:color w:val="auto"/>
          <w:sz w:val="24"/>
          <w:highlight w:val="none"/>
        </w:rPr>
      </w:pPr>
      <w:r>
        <w:rPr>
          <w:rFonts w:hint="eastAsia" w:ascii="宋体" w:hAnsi="宋体" w:cs="宋体"/>
          <w:color w:val="auto"/>
          <w:sz w:val="24"/>
          <w:highlight w:val="none"/>
        </w:rPr>
        <w:t>法定代表人（签字或盖章）：</w:t>
      </w:r>
      <w:r>
        <w:rPr>
          <w:rFonts w:ascii="宋体" w:hAnsi="宋体" w:cs="宋体"/>
          <w:color w:val="auto"/>
          <w:sz w:val="24"/>
          <w:highlight w:val="none"/>
        </w:rPr>
        <w:t xml:space="preserve">  </w:t>
      </w:r>
    </w:p>
    <w:p w14:paraId="4929263E">
      <w:pPr>
        <w:spacing w:line="480" w:lineRule="auto"/>
        <w:ind w:firstLine="3360" w:firstLineChars="140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供应商</w:t>
      </w:r>
      <w:r>
        <w:rPr>
          <w:rFonts w:ascii="宋体" w:hAnsi="宋体" w:cs="宋体"/>
          <w:color w:val="auto"/>
          <w:sz w:val="24"/>
          <w:highlight w:val="none"/>
        </w:rPr>
        <w:t xml:space="preserve"> </w:t>
      </w:r>
      <w:r>
        <w:rPr>
          <w:rFonts w:hint="eastAsia" w:ascii="宋体" w:hAnsi="宋体" w:cs="宋体"/>
          <w:color w:val="auto"/>
          <w:sz w:val="24"/>
          <w:highlight w:val="none"/>
        </w:rPr>
        <w:t>（盖单位章）：</w:t>
      </w:r>
    </w:p>
    <w:p w14:paraId="7039DED3">
      <w:pPr>
        <w:pStyle w:val="14"/>
        <w:spacing w:beforeLines="0" w:afterLines="0" w:line="480" w:lineRule="auto"/>
        <w:rPr>
          <w:rFonts w:hint="eastAsia" w:hAnsi="宋体"/>
          <w:color w:val="auto"/>
          <w:highlight w:val="none"/>
        </w:rPr>
      </w:pPr>
      <w:r>
        <w:rPr>
          <w:rFonts w:hAnsi="宋体"/>
          <w:color w:val="auto"/>
          <w:highlight w:val="none"/>
        </w:rPr>
        <w:tab/>
      </w:r>
      <w:r>
        <w:rPr>
          <w:rFonts w:hAnsi="宋体"/>
          <w:color w:val="auto"/>
          <w:highlight w:val="none"/>
        </w:rPr>
        <w:tab/>
      </w:r>
      <w:r>
        <w:rPr>
          <w:rFonts w:hAnsi="宋体"/>
          <w:color w:val="auto"/>
          <w:highlight w:val="none"/>
        </w:rPr>
        <w:t xml:space="preserve">                                </w:t>
      </w: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p>
    <w:p w14:paraId="284FC36B">
      <w:pPr>
        <w:spacing w:line="360" w:lineRule="auto"/>
        <w:rPr>
          <w:rFonts w:ascii="宋体" w:cs="宋体"/>
          <w:b/>
          <w:bCs/>
          <w:color w:val="auto"/>
          <w:sz w:val="24"/>
          <w:highlight w:val="none"/>
        </w:rPr>
      </w:pPr>
    </w:p>
    <w:p w14:paraId="1722B29E">
      <w:pPr>
        <w:rPr>
          <w:color w:val="auto"/>
          <w:highlight w:val="none"/>
        </w:rPr>
      </w:pPr>
      <w:r>
        <w:rPr>
          <w:rFonts w:hint="eastAsia" w:ascii="宋体" w:hAnsi="宋体" w:cs="宋体"/>
          <w:b/>
          <w:bCs/>
          <w:color w:val="auto"/>
          <w:szCs w:val="21"/>
          <w:highlight w:val="none"/>
        </w:rPr>
        <w:t>注：本表后附法定代表人身份证复印件及委托代理人身份证复印件。</w:t>
      </w:r>
    </w:p>
    <w:p w14:paraId="6C6E1F74">
      <w:pPr>
        <w:pStyle w:val="7"/>
        <w:spacing w:line="600" w:lineRule="exact"/>
        <w:ind w:firstLine="0"/>
        <w:rPr>
          <w:color w:val="auto"/>
          <w:sz w:val="24"/>
          <w:highlight w:val="none"/>
        </w:rPr>
      </w:pPr>
      <w:r>
        <w:rPr>
          <w:color w:val="auto"/>
          <w:sz w:val="24"/>
          <w:highlight w:val="none"/>
        </w:rPr>
        <w:t>------------------------------------------------------------------------------------------------------------</w:t>
      </w:r>
    </w:p>
    <w:p w14:paraId="3A5E4EE2">
      <w:pPr>
        <w:rPr>
          <w:color w:val="auto"/>
          <w:highlight w:val="none"/>
        </w:rPr>
        <w:sectPr>
          <w:pgSz w:w="11905" w:h="16838"/>
          <w:pgMar w:top="1361" w:right="1587" w:bottom="1361" w:left="1587" w:header="851" w:footer="811" w:gutter="0"/>
          <w:cols w:space="720" w:num="1"/>
          <w:docGrid w:type="lines" w:linePitch="321" w:charSpace="0"/>
        </w:sectPr>
      </w:pPr>
    </w:p>
    <w:bookmarkEnd w:id="134"/>
    <w:bookmarkEnd w:id="135"/>
    <w:p w14:paraId="71F6B7DB">
      <w:pPr>
        <w:spacing w:line="360" w:lineRule="auto"/>
        <w:rPr>
          <w:rFonts w:ascii="宋体" w:cs="宋体"/>
          <w:b/>
          <w:bCs/>
          <w:color w:val="auto"/>
          <w:sz w:val="24"/>
          <w:highlight w:val="none"/>
        </w:rPr>
      </w:pPr>
      <w:bookmarkStart w:id="136" w:name="_Toc481505160"/>
      <w:r>
        <w:rPr>
          <w:rFonts w:hint="eastAsia" w:ascii="宋体" w:hAnsi="宋体" w:cs="宋体"/>
          <w:b/>
          <w:bCs/>
          <w:color w:val="auto"/>
          <w:sz w:val="24"/>
          <w:highlight w:val="none"/>
        </w:rPr>
        <w:t>附件</w:t>
      </w:r>
      <w:r>
        <w:rPr>
          <w:rFonts w:ascii="宋体" w:hAnsi="宋体" w:cs="宋体"/>
          <w:b/>
          <w:bCs/>
          <w:color w:val="auto"/>
          <w:sz w:val="24"/>
          <w:highlight w:val="none"/>
        </w:rPr>
        <w:t>7</w:t>
      </w:r>
      <w:r>
        <w:rPr>
          <w:rFonts w:hint="eastAsia" w:ascii="宋体" w:hAnsi="宋体" w:cs="宋体"/>
          <w:b/>
          <w:bCs/>
          <w:color w:val="auto"/>
          <w:sz w:val="24"/>
          <w:highlight w:val="none"/>
        </w:rPr>
        <w:t>：</w:t>
      </w:r>
    </w:p>
    <w:p w14:paraId="65B1460A">
      <w:pPr>
        <w:spacing w:line="450" w:lineRule="atLeast"/>
        <w:jc w:val="center"/>
        <w:rPr>
          <w:rFonts w:ascii="宋体" w:cs="宋体"/>
          <w:b/>
          <w:bCs/>
          <w:color w:val="auto"/>
          <w:kern w:val="0"/>
          <w:sz w:val="32"/>
          <w:szCs w:val="32"/>
          <w:highlight w:val="none"/>
          <w:lang w:val="zh-CN"/>
        </w:rPr>
      </w:pPr>
      <w:r>
        <w:rPr>
          <w:rFonts w:hint="eastAsia" w:ascii="宋体" w:hAnsi="宋体" w:cs="宋体"/>
          <w:b/>
          <w:bCs/>
          <w:color w:val="auto"/>
          <w:kern w:val="0"/>
          <w:sz w:val="32"/>
          <w:szCs w:val="32"/>
          <w:highlight w:val="none"/>
        </w:rPr>
        <w:t>磋商</w:t>
      </w:r>
      <w:r>
        <w:rPr>
          <w:rFonts w:hint="eastAsia" w:ascii="宋体" w:hAnsi="宋体" w:cs="宋体"/>
          <w:b/>
          <w:bCs/>
          <w:color w:val="auto"/>
          <w:kern w:val="0"/>
          <w:sz w:val="32"/>
          <w:szCs w:val="32"/>
          <w:highlight w:val="none"/>
          <w:lang w:val="zh-CN"/>
        </w:rPr>
        <w:t>声明书</w:t>
      </w:r>
    </w:p>
    <w:p w14:paraId="18AEBA92">
      <w:pPr>
        <w:spacing w:line="450" w:lineRule="atLeast"/>
        <w:ind w:firstLine="240" w:firstLineChars="100"/>
        <w:jc w:val="left"/>
        <w:rPr>
          <w:rFonts w:ascii="宋体" w:cs="宋体"/>
          <w:color w:val="auto"/>
          <w:sz w:val="24"/>
          <w:highlight w:val="none"/>
          <w:u w:val="single"/>
        </w:rPr>
      </w:pP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仙居县白塔镇人民政府：</w:t>
      </w:r>
    </w:p>
    <w:p w14:paraId="29165FFA">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______________________________(</w:t>
      </w:r>
      <w:r>
        <w:rPr>
          <w:rFonts w:hint="eastAsia" w:ascii="宋体" w:hAnsi="宋体" w:cs="宋体"/>
          <w:color w:val="auto"/>
          <w:sz w:val="24"/>
          <w:highlight w:val="none"/>
        </w:rPr>
        <w:t>供应商全称</w:t>
      </w:r>
      <w:r>
        <w:rPr>
          <w:rFonts w:ascii="宋体" w:hAnsi="宋体" w:cs="宋体"/>
          <w:color w:val="auto"/>
          <w:sz w:val="24"/>
          <w:highlight w:val="none"/>
        </w:rPr>
        <w:t>)</w:t>
      </w:r>
      <w:r>
        <w:rPr>
          <w:rFonts w:hint="eastAsia" w:ascii="宋体" w:hAnsi="宋体" w:cs="宋体"/>
          <w:color w:val="auto"/>
          <w:sz w:val="24"/>
          <w:highlight w:val="none"/>
        </w:rPr>
        <w:t>授权</w:t>
      </w:r>
      <w:r>
        <w:rPr>
          <w:rFonts w:ascii="宋体" w:hAnsi="宋体" w:cs="宋体"/>
          <w:color w:val="auto"/>
          <w:sz w:val="24"/>
          <w:highlight w:val="none"/>
        </w:rPr>
        <w:t>____________ (</w:t>
      </w:r>
      <w:r>
        <w:rPr>
          <w:rFonts w:hint="eastAsia" w:ascii="宋体" w:hAnsi="宋体" w:cs="宋体"/>
          <w:color w:val="auto"/>
          <w:sz w:val="24"/>
          <w:highlight w:val="none"/>
        </w:rPr>
        <w:t>全权代表姓名</w:t>
      </w:r>
      <w:r>
        <w:rPr>
          <w:rFonts w:ascii="宋体" w:hAnsi="宋体" w:cs="宋体"/>
          <w:color w:val="auto"/>
          <w:sz w:val="24"/>
          <w:highlight w:val="none"/>
        </w:rPr>
        <w:t>)___________(</w:t>
      </w:r>
      <w:r>
        <w:rPr>
          <w:rFonts w:hint="eastAsia" w:ascii="宋体" w:hAnsi="宋体" w:cs="宋体"/>
          <w:color w:val="auto"/>
          <w:sz w:val="24"/>
          <w:highlight w:val="none"/>
        </w:rPr>
        <w:t>职务、职称</w:t>
      </w:r>
      <w:r>
        <w:rPr>
          <w:rFonts w:ascii="宋体" w:hAnsi="宋体" w:cs="宋体"/>
          <w:color w:val="auto"/>
          <w:sz w:val="24"/>
          <w:highlight w:val="none"/>
        </w:rPr>
        <w:t>)</w:t>
      </w:r>
      <w:r>
        <w:rPr>
          <w:rFonts w:hint="eastAsia" w:ascii="宋体" w:hAnsi="宋体" w:cs="宋体"/>
          <w:color w:val="auto"/>
          <w:sz w:val="24"/>
          <w:highlight w:val="none"/>
        </w:rPr>
        <w:t>为全权代表，参加贵方组织的</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神仙居5A景区镇基础设施提升项目-游客集散中心（景区集散点）项目（重新招标）</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ZJJX-25CG-005-01</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采购的有关活动，并对此项目进行投标。为此：</w:t>
      </w:r>
    </w:p>
    <w:p w14:paraId="70AE645D">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、我方同意在磋商须知规定的开标日期起遵守本投标书中的承诺且在投标有效期满之前均具有约束力。</w:t>
      </w:r>
    </w:p>
    <w:p w14:paraId="6D984212">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、我方承诺已经具备《中华人民共和国政府采购法》中规定的参加政府采购活动的供应商应当具备的条件：</w:t>
      </w:r>
    </w:p>
    <w:p w14:paraId="2F2E90C8">
      <w:pPr>
        <w:spacing w:line="450" w:lineRule="atLeast"/>
        <w:ind w:firstLine="360" w:firstLineChars="150"/>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267D0ACA">
      <w:pPr>
        <w:spacing w:line="450" w:lineRule="atLeast"/>
        <w:ind w:firstLine="360" w:firstLineChars="150"/>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）遵守国家法律、行政法规，具有良好的信誉和商业道德；</w:t>
      </w:r>
    </w:p>
    <w:p w14:paraId="09E58D03">
      <w:pPr>
        <w:spacing w:line="450" w:lineRule="atLeast"/>
        <w:ind w:firstLine="360" w:firstLineChars="150"/>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）具有履行合同的能力和良好的履行合同记录；</w:t>
      </w:r>
    </w:p>
    <w:p w14:paraId="47110E1D">
      <w:pPr>
        <w:spacing w:line="450" w:lineRule="atLeast"/>
        <w:ind w:firstLine="360" w:firstLineChars="150"/>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）良好的资金、财务状况；</w:t>
      </w:r>
    </w:p>
    <w:p w14:paraId="65E16D7E">
      <w:pPr>
        <w:spacing w:line="450" w:lineRule="atLeast"/>
        <w:ind w:firstLine="360" w:firstLineChars="150"/>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）产品及生产所需装备符合中国政府规定的相应技术标准和环保标准；</w:t>
      </w:r>
    </w:p>
    <w:p w14:paraId="3E37B5D1">
      <w:pPr>
        <w:spacing w:line="450" w:lineRule="atLeast"/>
        <w:ind w:firstLine="360" w:firstLineChars="150"/>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）没有违反政府采购法规、政策的记录；</w:t>
      </w:r>
    </w:p>
    <w:p w14:paraId="1274BF72">
      <w:pPr>
        <w:spacing w:line="450" w:lineRule="atLeast"/>
        <w:ind w:firstLine="360" w:firstLineChars="150"/>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）没有发生重大经济纠纷和走私犯罪记录；</w:t>
      </w:r>
    </w:p>
    <w:p w14:paraId="23BE8895">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 xml:space="preserve"> 3</w:t>
      </w:r>
      <w:r>
        <w:rPr>
          <w:rFonts w:hint="eastAsia" w:ascii="宋体" w:hAnsi="宋体" w:cs="宋体"/>
          <w:color w:val="auto"/>
          <w:sz w:val="24"/>
          <w:highlight w:val="none"/>
        </w:rPr>
        <w:t>、提供磋商须知规定的全部响应文件，具体内容为：</w:t>
      </w:r>
    </w:p>
    <w:p w14:paraId="34ECCCCE">
      <w:pPr>
        <w:spacing w:line="450" w:lineRule="atLeast"/>
        <w:ind w:firstLine="360" w:firstLineChars="150"/>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）报价文件；</w:t>
      </w:r>
    </w:p>
    <w:p w14:paraId="0552DCD9">
      <w:pPr>
        <w:spacing w:line="450" w:lineRule="atLeast"/>
        <w:ind w:firstLine="360" w:firstLineChars="150"/>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）商务资信技术文件；</w:t>
      </w:r>
    </w:p>
    <w:p w14:paraId="16F5B7D5">
      <w:pPr>
        <w:spacing w:line="450" w:lineRule="atLeast"/>
        <w:ind w:firstLine="360" w:firstLineChars="150"/>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）磋商须知要求供应商提交的全部文件；</w:t>
      </w:r>
    </w:p>
    <w:p w14:paraId="3FB22242">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、按采购文件要求提供和交付的货物或服务的投标报价详见报价一览表。</w:t>
      </w:r>
    </w:p>
    <w:p w14:paraId="45775454">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、保证忠实地执行双方所签订的合同，并承担合同规定的责任和义务。</w:t>
      </w:r>
    </w:p>
    <w:p w14:paraId="12CC0316">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、保证遵守采购文件中的其他有关规定。</w:t>
      </w:r>
    </w:p>
    <w:p w14:paraId="29FD03E1">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、如果在开标后规定的磋商有效期内撤回投标书，我方的投标保证金可不予退回。</w:t>
      </w:r>
    </w:p>
    <w:p w14:paraId="3A1E58CD">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、我方完全理解贵方不一定要接受最低价的投标。</w:t>
      </w:r>
    </w:p>
    <w:p w14:paraId="5EB23512">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、我方愿意向贵方提供任何与该项投标有关的数据、情况和技术资料。若贵方需要，我方愿意提供我方作出的一切承诺的证明材料。</w:t>
      </w:r>
    </w:p>
    <w:p w14:paraId="2F4CC1A9">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10</w:t>
      </w:r>
      <w:r>
        <w:rPr>
          <w:rFonts w:hint="eastAsia" w:ascii="宋体" w:hAnsi="宋体" w:cs="宋体"/>
          <w:color w:val="auto"/>
          <w:sz w:val="24"/>
          <w:highlight w:val="none"/>
        </w:rPr>
        <w:t>、我方已详细审核全部采购文件，包括采购文件修改书（如有的话）、参考资料及有关附件，确认无误。</w:t>
      </w:r>
    </w:p>
    <w:p w14:paraId="59383664">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、我方将严格遵守《中华人民共和国政府采购法》第七十七条规定：供应商有下列情形之一的，处以采购金额</w:t>
      </w:r>
      <w:r>
        <w:rPr>
          <w:rFonts w:ascii="宋体" w:hAnsi="宋体" w:cs="宋体"/>
          <w:color w:val="auto"/>
          <w:sz w:val="24"/>
          <w:highlight w:val="none"/>
        </w:rPr>
        <w:t>5</w:t>
      </w:r>
      <w:r>
        <w:rPr>
          <w:rFonts w:hint="eastAsia" w:ascii="宋体" w:hAnsi="宋体" w:cs="宋体"/>
          <w:color w:val="auto"/>
          <w:sz w:val="24"/>
          <w:highlight w:val="none"/>
        </w:rPr>
        <w:t>‰以上</w:t>
      </w:r>
      <w:r>
        <w:rPr>
          <w:rFonts w:ascii="宋体" w:hAnsi="宋体" w:cs="宋体"/>
          <w:color w:val="auto"/>
          <w:sz w:val="24"/>
          <w:highlight w:val="none"/>
        </w:rPr>
        <w:t>10</w:t>
      </w:r>
      <w:r>
        <w:rPr>
          <w:rFonts w:hint="eastAsia" w:ascii="宋体" w:hAnsi="宋体" w:cs="宋体"/>
          <w:color w:val="auto"/>
          <w:sz w:val="24"/>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75EDBFF8">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a</w:t>
      </w:r>
      <w:r>
        <w:rPr>
          <w:rFonts w:hint="eastAsia" w:ascii="宋体" w:hAnsi="宋体" w:cs="宋体"/>
          <w:color w:val="auto"/>
          <w:sz w:val="24"/>
          <w:highlight w:val="none"/>
        </w:rPr>
        <w:t>、提供虚假材料谋取中标、成交的；</w:t>
      </w:r>
    </w:p>
    <w:p w14:paraId="3BC93F58">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b</w:t>
      </w:r>
      <w:r>
        <w:rPr>
          <w:rFonts w:hint="eastAsia" w:ascii="宋体" w:hAnsi="宋体" w:cs="宋体"/>
          <w:color w:val="auto"/>
          <w:sz w:val="24"/>
          <w:highlight w:val="none"/>
        </w:rPr>
        <w:t>、采取不正当手段诋毁、排挤其他供应商的；</w:t>
      </w:r>
    </w:p>
    <w:p w14:paraId="2E9D1AC2">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c</w:t>
      </w:r>
      <w:r>
        <w:rPr>
          <w:rFonts w:hint="eastAsia" w:ascii="宋体" w:hAnsi="宋体" w:cs="宋体"/>
          <w:color w:val="auto"/>
          <w:sz w:val="24"/>
          <w:highlight w:val="none"/>
        </w:rPr>
        <w:t>、与采购人、其它供应商恶意串通的；</w:t>
      </w:r>
    </w:p>
    <w:p w14:paraId="0EFFAA43">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d</w:t>
      </w:r>
      <w:r>
        <w:rPr>
          <w:rFonts w:hint="eastAsia" w:ascii="宋体" w:hAnsi="宋体" w:cs="宋体"/>
          <w:color w:val="auto"/>
          <w:sz w:val="24"/>
          <w:highlight w:val="none"/>
        </w:rPr>
        <w:t>、向采购人行贿或者提供其他不正当利益的；</w:t>
      </w:r>
    </w:p>
    <w:p w14:paraId="2C90E2E1">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e</w:t>
      </w:r>
      <w:r>
        <w:rPr>
          <w:rFonts w:hint="eastAsia" w:ascii="宋体" w:hAnsi="宋体" w:cs="宋体"/>
          <w:color w:val="auto"/>
          <w:sz w:val="24"/>
          <w:highlight w:val="none"/>
        </w:rPr>
        <w:t>、拒绝有关部门监督检查或提供虚假情况的。</w:t>
      </w:r>
    </w:p>
    <w:p w14:paraId="5BF0A3F0">
      <w:pPr>
        <w:spacing w:line="450" w:lineRule="atLeast"/>
        <w:ind w:firstLine="480" w:firstLineChars="200"/>
        <w:jc w:val="left"/>
        <w:rPr>
          <w:rFonts w:ascii="宋体" w:cs="宋体"/>
          <w:color w:val="auto"/>
          <w:sz w:val="24"/>
          <w:highlight w:val="none"/>
        </w:rPr>
      </w:pPr>
      <w:r>
        <w:rPr>
          <w:rFonts w:ascii="宋体" w:hAnsi="宋体" w:cs="宋体"/>
          <w:color w:val="auto"/>
          <w:sz w:val="24"/>
          <w:highlight w:val="none"/>
        </w:rPr>
        <w:t>12</w:t>
      </w:r>
      <w:r>
        <w:rPr>
          <w:rFonts w:hint="eastAsia" w:ascii="宋体" w:hAnsi="宋体" w:cs="宋体"/>
          <w:color w:val="auto"/>
          <w:sz w:val="24"/>
          <w:highlight w:val="none"/>
        </w:rPr>
        <w:t>、我方的响应文件自响应文件递交截止之日起</w:t>
      </w:r>
      <w:r>
        <w:rPr>
          <w:rFonts w:ascii="宋体" w:hAnsi="宋体" w:cs="宋体"/>
          <w:color w:val="auto"/>
          <w:sz w:val="24"/>
          <w:highlight w:val="none"/>
          <w:u w:val="single"/>
        </w:rPr>
        <w:t>90</w:t>
      </w:r>
      <w:r>
        <w:rPr>
          <w:rFonts w:hint="eastAsia" w:ascii="宋体" w:hAnsi="宋体" w:cs="宋体"/>
          <w:color w:val="auto"/>
          <w:sz w:val="24"/>
          <w:highlight w:val="none"/>
        </w:rPr>
        <w:t>天内有效。</w:t>
      </w:r>
    </w:p>
    <w:p w14:paraId="2213610E">
      <w:pPr>
        <w:spacing w:line="450" w:lineRule="atLeast"/>
        <w:ind w:firstLine="480" w:firstLineChars="200"/>
        <w:jc w:val="left"/>
        <w:rPr>
          <w:rFonts w:ascii="宋体" w:cs="宋体"/>
          <w:color w:val="auto"/>
          <w:sz w:val="24"/>
          <w:highlight w:val="none"/>
        </w:rPr>
      </w:pPr>
    </w:p>
    <w:p w14:paraId="27517857">
      <w:pPr>
        <w:spacing w:line="450" w:lineRule="atLeast"/>
        <w:jc w:val="left"/>
        <w:rPr>
          <w:rFonts w:ascii="宋体" w:cs="宋体"/>
          <w:color w:val="auto"/>
          <w:sz w:val="24"/>
          <w:highlight w:val="none"/>
        </w:rPr>
      </w:pPr>
      <w:r>
        <w:rPr>
          <w:rFonts w:ascii="宋体" w:cs="宋体"/>
          <w:color w:val="auto"/>
          <w:sz w:val="24"/>
          <w:highlight w:val="none"/>
        </w:rPr>
        <w:t> </w:t>
      </w:r>
    </w:p>
    <w:p w14:paraId="51DDC874">
      <w:pPr>
        <w:spacing w:line="450" w:lineRule="atLeast"/>
        <w:ind w:firstLine="480" w:firstLineChars="200"/>
        <w:jc w:val="left"/>
        <w:rPr>
          <w:rFonts w:ascii="宋体" w:cs="宋体"/>
          <w:color w:val="auto"/>
          <w:sz w:val="24"/>
          <w:highlight w:val="none"/>
        </w:rPr>
      </w:pPr>
      <w:r>
        <w:rPr>
          <w:rFonts w:hint="eastAsia" w:ascii="宋体" w:hAnsi="宋体" w:cs="宋体"/>
          <w:color w:val="auto"/>
          <w:sz w:val="24"/>
          <w:highlight w:val="none"/>
        </w:rPr>
        <w:t>与本投标有关的一切往来通讯请寄：</w:t>
      </w:r>
    </w:p>
    <w:p w14:paraId="179FB931">
      <w:pPr>
        <w:spacing w:line="450" w:lineRule="atLeast"/>
        <w:ind w:firstLine="480" w:firstLineChars="200"/>
        <w:jc w:val="left"/>
        <w:rPr>
          <w:rFonts w:asci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rPr>
        <w:t xml:space="preserve">____________________                   </w:t>
      </w:r>
    </w:p>
    <w:p w14:paraId="1E8673AA">
      <w:pPr>
        <w:spacing w:line="450" w:lineRule="atLeast"/>
        <w:ind w:firstLine="480" w:firstLineChars="200"/>
        <w:jc w:val="left"/>
        <w:rPr>
          <w:rFonts w:ascii="宋体" w:cs="宋体"/>
          <w:color w:val="auto"/>
          <w:sz w:val="24"/>
          <w:highlight w:val="none"/>
        </w:rPr>
      </w:pPr>
      <w:r>
        <w:rPr>
          <w:rFonts w:hint="eastAsia" w:ascii="宋体" w:hAnsi="宋体" w:cs="宋体"/>
          <w:color w:val="auto"/>
          <w:sz w:val="24"/>
          <w:highlight w:val="none"/>
        </w:rPr>
        <w:t>邮</w:t>
      </w:r>
      <w:r>
        <w:rPr>
          <w:rFonts w:ascii="宋体" w:hAnsi="宋体" w:cs="宋体"/>
          <w:color w:val="auto"/>
          <w:sz w:val="24"/>
          <w:highlight w:val="none"/>
        </w:rPr>
        <w:t xml:space="preserve">  </w:t>
      </w:r>
      <w:r>
        <w:rPr>
          <w:rFonts w:hint="eastAsia" w:ascii="宋体" w:hAnsi="宋体" w:cs="宋体"/>
          <w:color w:val="auto"/>
          <w:sz w:val="24"/>
          <w:highlight w:val="none"/>
        </w:rPr>
        <w:t>编：</w:t>
      </w:r>
      <w:r>
        <w:rPr>
          <w:rFonts w:ascii="宋体" w:hAnsi="宋体" w:cs="宋体"/>
          <w:color w:val="auto"/>
          <w:sz w:val="24"/>
          <w:highlight w:val="none"/>
        </w:rPr>
        <w:t>____________________</w:t>
      </w:r>
      <w:r>
        <w:rPr>
          <w:rFonts w:hint="eastAsia" w:ascii="宋体" w:hAnsi="宋体" w:cs="宋体"/>
          <w:color w:val="auto"/>
          <w:sz w:val="24"/>
          <w:highlight w:val="none"/>
        </w:rPr>
        <w:t>　</w:t>
      </w:r>
    </w:p>
    <w:p w14:paraId="53854C92">
      <w:pPr>
        <w:spacing w:line="450" w:lineRule="atLeast"/>
        <w:ind w:firstLine="480" w:firstLineChars="200"/>
        <w:jc w:val="left"/>
        <w:rPr>
          <w:rFonts w:asci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rPr>
        <w:t>____________________</w:t>
      </w:r>
    </w:p>
    <w:p w14:paraId="2F6585F4">
      <w:pPr>
        <w:spacing w:line="450" w:lineRule="atLeast"/>
        <w:ind w:firstLine="480" w:firstLineChars="200"/>
        <w:jc w:val="left"/>
        <w:rPr>
          <w:rFonts w:asci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rPr>
        <w:t>____________________</w:t>
      </w:r>
      <w:r>
        <w:rPr>
          <w:rFonts w:hint="eastAsia" w:ascii="宋体" w:hAnsi="宋体" w:cs="宋体"/>
          <w:color w:val="auto"/>
          <w:sz w:val="24"/>
          <w:highlight w:val="none"/>
        </w:rPr>
        <w:t>　</w:t>
      </w:r>
      <w:r>
        <w:rPr>
          <w:rFonts w:hint="eastAsia" w:ascii="宋体" w:hAnsi="宋体" w:cs="宋体"/>
          <w:i/>
          <w:iCs/>
          <w:color w:val="auto"/>
          <w:szCs w:val="21"/>
          <w:highlight w:val="none"/>
        </w:rPr>
        <w:t>（填写固定、移动电话）</w:t>
      </w:r>
      <w:r>
        <w:rPr>
          <w:rFonts w:ascii="宋体" w:hAnsi="宋体" w:cs="宋体"/>
          <w:i/>
          <w:iCs/>
          <w:color w:val="auto"/>
          <w:szCs w:val="21"/>
          <w:highlight w:val="none"/>
        </w:rPr>
        <w:t xml:space="preserve">  </w:t>
      </w:r>
      <w:r>
        <w:rPr>
          <w:rFonts w:ascii="宋体" w:hAnsi="宋体" w:cs="宋体"/>
          <w:color w:val="auto"/>
          <w:sz w:val="24"/>
          <w:highlight w:val="none"/>
        </w:rPr>
        <w:t xml:space="preserve">               </w:t>
      </w:r>
    </w:p>
    <w:p w14:paraId="776BEEE3">
      <w:pPr>
        <w:spacing w:line="450" w:lineRule="atLeast"/>
        <w:ind w:firstLine="480" w:firstLineChars="200"/>
        <w:jc w:val="left"/>
        <w:rPr>
          <w:rFonts w:ascii="宋体" w:cs="宋体"/>
          <w:color w:val="auto"/>
          <w:sz w:val="24"/>
          <w:highlight w:val="non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rPr>
        <w:t>____________________</w:t>
      </w:r>
    </w:p>
    <w:p w14:paraId="46531A53">
      <w:pPr>
        <w:spacing w:line="450" w:lineRule="atLeast"/>
        <w:ind w:firstLine="480" w:firstLineChars="200"/>
        <w:jc w:val="left"/>
        <w:rPr>
          <w:rFonts w:ascii="宋体" w:cs="宋体"/>
          <w:color w:val="auto"/>
          <w:sz w:val="24"/>
          <w:highlight w:val="none"/>
          <w:u w:val="single"/>
        </w:rPr>
      </w:pPr>
      <w:r>
        <w:rPr>
          <w:rFonts w:ascii="宋体" w:hAnsi="宋体" w:cs="宋体"/>
          <w:color w:val="auto"/>
          <w:sz w:val="24"/>
          <w:highlight w:val="none"/>
        </w:rPr>
        <w:t>E-mail</w:t>
      </w:r>
      <w:r>
        <w:rPr>
          <w:rFonts w:hint="eastAsia" w:ascii="宋体" w:hAnsi="宋体" w:cs="宋体"/>
          <w:color w:val="auto"/>
          <w:sz w:val="24"/>
          <w:highlight w:val="none"/>
        </w:rPr>
        <w:t>：</w:t>
      </w:r>
      <w:r>
        <w:rPr>
          <w:rFonts w:ascii="宋体" w:hAnsi="宋体" w:cs="宋体"/>
          <w:color w:val="auto"/>
          <w:sz w:val="24"/>
          <w:highlight w:val="none"/>
        </w:rPr>
        <w:t>____________________</w:t>
      </w:r>
    </w:p>
    <w:p w14:paraId="04A43FE5">
      <w:pPr>
        <w:spacing w:line="450" w:lineRule="atLeast"/>
        <w:jc w:val="left"/>
        <w:rPr>
          <w:rFonts w:ascii="宋体" w:cs="宋体"/>
          <w:color w:val="auto"/>
          <w:sz w:val="24"/>
          <w:highlight w:val="none"/>
        </w:rPr>
      </w:pPr>
      <w:r>
        <w:rPr>
          <w:rFonts w:ascii="宋体" w:cs="宋体"/>
          <w:color w:val="auto"/>
          <w:sz w:val="24"/>
          <w:highlight w:val="none"/>
        </w:rPr>
        <w:t> </w:t>
      </w:r>
    </w:p>
    <w:p w14:paraId="6804C767">
      <w:pPr>
        <w:spacing w:line="450" w:lineRule="atLeast"/>
        <w:jc w:val="left"/>
        <w:rPr>
          <w:rFonts w:ascii="宋体" w:cs="宋体"/>
          <w:color w:val="auto"/>
          <w:sz w:val="24"/>
          <w:highlight w:val="none"/>
        </w:rPr>
      </w:pPr>
    </w:p>
    <w:p w14:paraId="712FC961">
      <w:pPr>
        <w:spacing w:line="450" w:lineRule="atLeast"/>
        <w:jc w:val="left"/>
        <w:rPr>
          <w:rFonts w:ascii="宋体" w:cs="宋体"/>
          <w:b/>
          <w:color w:val="auto"/>
          <w:sz w:val="24"/>
          <w:highlight w:val="none"/>
        </w:rPr>
      </w:pPr>
      <w:r>
        <w:rPr>
          <w:rFonts w:ascii="宋体" w:hAnsi="宋体" w:cs="宋体"/>
          <w:b/>
          <w:color w:val="auto"/>
          <w:sz w:val="24"/>
          <w:highlight w:val="none"/>
        </w:rPr>
        <w:t xml:space="preserve">                                 </w:t>
      </w:r>
      <w:r>
        <w:rPr>
          <w:rFonts w:hint="eastAsia" w:ascii="宋体" w:hAnsi="宋体" w:cs="宋体"/>
          <w:b/>
          <w:color w:val="auto"/>
          <w:sz w:val="24"/>
          <w:highlight w:val="none"/>
        </w:rPr>
        <w:t>供应商</w:t>
      </w:r>
      <w:r>
        <w:rPr>
          <w:rFonts w:ascii="宋体" w:hAnsi="宋体" w:cs="宋体"/>
          <w:b/>
          <w:color w:val="auto"/>
          <w:sz w:val="24"/>
          <w:highlight w:val="none"/>
        </w:rPr>
        <w:t xml:space="preserve"> (</w:t>
      </w:r>
      <w:r>
        <w:rPr>
          <w:rFonts w:hint="eastAsia" w:ascii="宋体" w:hAnsi="宋体" w:cs="宋体"/>
          <w:b/>
          <w:color w:val="auto"/>
          <w:sz w:val="24"/>
          <w:highlight w:val="none"/>
        </w:rPr>
        <w:t>盖单位章</w:t>
      </w:r>
      <w:r>
        <w:rPr>
          <w:rFonts w:ascii="宋体" w:hAnsi="宋体" w:cs="宋体"/>
          <w:b/>
          <w:color w:val="auto"/>
          <w:sz w:val="24"/>
          <w:highlight w:val="none"/>
        </w:rPr>
        <w:t>)</w:t>
      </w:r>
      <w:r>
        <w:rPr>
          <w:rFonts w:hint="eastAsia" w:ascii="宋体" w:hAnsi="宋体" w:cs="宋体"/>
          <w:b/>
          <w:color w:val="auto"/>
          <w:sz w:val="24"/>
          <w:highlight w:val="none"/>
        </w:rPr>
        <w:t>：</w:t>
      </w:r>
      <w:r>
        <w:rPr>
          <w:rFonts w:ascii="宋体" w:hAnsi="宋体" w:cs="宋体"/>
          <w:b/>
          <w:color w:val="auto"/>
          <w:sz w:val="24"/>
          <w:highlight w:val="none"/>
        </w:rPr>
        <w:t xml:space="preserve">             </w:t>
      </w:r>
    </w:p>
    <w:p w14:paraId="6D07FFFA">
      <w:pPr>
        <w:spacing w:line="450" w:lineRule="atLeast"/>
        <w:jc w:val="left"/>
        <w:rPr>
          <w:rFonts w:ascii="宋体" w:cs="宋体"/>
          <w:b/>
          <w:color w:val="auto"/>
          <w:sz w:val="24"/>
          <w:highlight w:val="none"/>
        </w:rPr>
      </w:pPr>
    </w:p>
    <w:p w14:paraId="004C95B8">
      <w:pPr>
        <w:spacing w:line="450" w:lineRule="atLeast"/>
        <w:jc w:val="left"/>
        <w:rPr>
          <w:rFonts w:ascii="宋体" w:cs="宋体"/>
          <w:b/>
          <w:color w:val="auto"/>
          <w:sz w:val="24"/>
          <w:highlight w:val="none"/>
        </w:rPr>
        <w:sectPr>
          <w:pgSz w:w="11906" w:h="16838"/>
          <w:pgMar w:top="1440" w:right="1587" w:bottom="1440" w:left="1587" w:header="851" w:footer="992" w:gutter="0"/>
          <w:cols w:space="720" w:num="1"/>
          <w:docGrid w:type="lines" w:linePitch="312" w:charSpace="0"/>
        </w:sectPr>
      </w:pPr>
      <w:r>
        <w:rPr>
          <w:rFonts w:ascii="宋体" w:hAnsi="宋体" w:cs="宋体"/>
          <w:b/>
          <w:color w:val="auto"/>
          <w:sz w:val="24"/>
          <w:highlight w:val="none"/>
        </w:rPr>
        <w:t xml:space="preserve">                                            </w:t>
      </w:r>
      <w:r>
        <w:rPr>
          <w:rFonts w:hint="eastAsia" w:ascii="宋体" w:hAnsi="宋体" w:cs="宋体"/>
          <w:b/>
          <w:color w:val="auto"/>
          <w:sz w:val="24"/>
          <w:highlight w:val="none"/>
        </w:rPr>
        <w:t>日　期：</w:t>
      </w:r>
    </w:p>
    <w:p w14:paraId="4D6EB729">
      <w:pPr>
        <w:spacing w:line="360" w:lineRule="auto"/>
        <w:rPr>
          <w:rFonts w:ascii="宋体" w:cs="宋体"/>
          <w:b/>
          <w:bCs/>
          <w:color w:val="auto"/>
          <w:sz w:val="24"/>
          <w:highlight w:val="none"/>
        </w:rPr>
      </w:pPr>
      <w:r>
        <w:rPr>
          <w:rFonts w:hint="eastAsia" w:ascii="宋体" w:hAnsi="宋体" w:cs="宋体"/>
          <w:b/>
          <w:bCs/>
          <w:color w:val="auto"/>
          <w:sz w:val="24"/>
          <w:highlight w:val="none"/>
        </w:rPr>
        <w:t>附件</w:t>
      </w:r>
      <w:r>
        <w:rPr>
          <w:rFonts w:ascii="宋体" w:hAnsi="宋体" w:cs="宋体"/>
          <w:b/>
          <w:bCs/>
          <w:color w:val="auto"/>
          <w:sz w:val="24"/>
          <w:highlight w:val="none"/>
        </w:rPr>
        <w:t>8</w:t>
      </w:r>
      <w:r>
        <w:rPr>
          <w:rFonts w:hint="eastAsia" w:ascii="宋体" w:hAnsi="宋体" w:cs="宋体"/>
          <w:b/>
          <w:bCs/>
          <w:color w:val="auto"/>
          <w:sz w:val="24"/>
          <w:highlight w:val="none"/>
        </w:rPr>
        <w:t>：</w:t>
      </w:r>
      <w:r>
        <w:rPr>
          <w:rFonts w:ascii="宋体" w:hAnsi="宋体" w:cs="宋体"/>
          <w:b/>
          <w:bCs/>
          <w:color w:val="auto"/>
          <w:sz w:val="24"/>
          <w:highlight w:val="none"/>
        </w:rPr>
        <w:t xml:space="preserve"> </w:t>
      </w:r>
    </w:p>
    <w:p w14:paraId="44028349">
      <w:pPr>
        <w:tabs>
          <w:tab w:val="left" w:pos="2790"/>
          <w:tab w:val="left" w:pos="4230"/>
        </w:tabs>
        <w:autoSpaceDE w:val="0"/>
        <w:autoSpaceDN w:val="0"/>
        <w:spacing w:line="440" w:lineRule="exact"/>
        <w:jc w:val="center"/>
        <w:rPr>
          <w:rFonts w:asci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商务响应表</w:t>
      </w:r>
    </w:p>
    <w:p w14:paraId="7CBAEE2D">
      <w:pPr>
        <w:pStyle w:val="14"/>
        <w:spacing w:beforeLines="0" w:afterLines="0" w:line="320" w:lineRule="exact"/>
        <w:rPr>
          <w:rFonts w:hint="eastAsia" w:hAnsi="宋体" w:cs="宋体"/>
          <w:color w:val="auto"/>
          <w:sz w:val="21"/>
          <w:szCs w:val="21"/>
          <w:highlight w:val="none"/>
        </w:rPr>
      </w:pPr>
      <w:r>
        <w:rPr>
          <w:rFonts w:hint="eastAsia" w:hAnsi="宋体" w:cs="宋体"/>
          <w:color w:val="auto"/>
          <w:sz w:val="21"/>
          <w:szCs w:val="21"/>
          <w:highlight w:val="none"/>
        </w:rPr>
        <w:t>项目编号：</w:t>
      </w:r>
      <w:r>
        <w:rPr>
          <w:rFonts w:hint="eastAsia" w:hAnsi="宋体" w:cs="宋体"/>
          <w:color w:val="auto"/>
          <w:sz w:val="21"/>
          <w:szCs w:val="21"/>
          <w:highlight w:val="none"/>
          <w:lang w:val="zh-CN"/>
        </w:rPr>
        <w:t>ZJJX-25CG-005-01</w:t>
      </w:r>
      <w:r>
        <w:rPr>
          <w:rFonts w:hAnsi="宋体" w:cs="宋体"/>
          <w:color w:val="auto"/>
          <w:sz w:val="21"/>
          <w:szCs w:val="21"/>
          <w:highlight w:val="none"/>
          <w:lang w:val="zh-CN"/>
        </w:rPr>
        <w:t xml:space="preserve"> </w:t>
      </w:r>
    </w:p>
    <w:p w14:paraId="6ED994D6">
      <w:pPr>
        <w:autoSpaceDE w:val="0"/>
        <w:autoSpaceDN w:val="0"/>
        <w:spacing w:line="440" w:lineRule="exact"/>
        <w:rPr>
          <w:rFonts w:ascii="宋体" w:cs="宋体"/>
          <w:color w:val="auto"/>
          <w:szCs w:val="21"/>
          <w:highlight w:val="none"/>
          <w:lang w:val="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神仙居5A景区镇基础设施提升项目-游客集散中心（景区集散点）项目（重新招标）</w:t>
      </w:r>
    </w:p>
    <w:tbl>
      <w:tblPr>
        <w:tblStyle w:val="28"/>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829"/>
        <w:gridCol w:w="5901"/>
        <w:gridCol w:w="923"/>
        <w:gridCol w:w="706"/>
      </w:tblGrid>
      <w:tr w14:paraId="287B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452" w:type="dxa"/>
            <w:vAlign w:val="center"/>
          </w:tcPr>
          <w:p w14:paraId="60CD40F0">
            <w:pPr>
              <w:jc w:val="center"/>
              <w:rPr>
                <w:rFonts w:ascii="宋体" w:cs="宋体"/>
                <w:color w:val="auto"/>
                <w:szCs w:val="21"/>
                <w:highlight w:val="none"/>
              </w:rPr>
            </w:pPr>
            <w:r>
              <w:rPr>
                <w:rFonts w:hint="eastAsia" w:ascii="宋体" w:hAnsi="宋体" w:cs="宋体"/>
                <w:color w:val="auto"/>
                <w:szCs w:val="21"/>
                <w:highlight w:val="none"/>
              </w:rPr>
              <w:t>序号</w:t>
            </w:r>
          </w:p>
        </w:tc>
        <w:tc>
          <w:tcPr>
            <w:tcW w:w="1829" w:type="dxa"/>
            <w:vAlign w:val="center"/>
          </w:tcPr>
          <w:p w14:paraId="6A85EF32">
            <w:pPr>
              <w:jc w:val="center"/>
              <w:rPr>
                <w:rFonts w:ascii="宋体" w:cs="宋体"/>
                <w:color w:val="auto"/>
                <w:szCs w:val="21"/>
                <w:highlight w:val="none"/>
              </w:rPr>
            </w:pPr>
            <w:r>
              <w:rPr>
                <w:rFonts w:hint="eastAsia" w:ascii="宋体" w:hAnsi="宋体" w:cs="宋体"/>
                <w:color w:val="auto"/>
                <w:szCs w:val="21"/>
                <w:highlight w:val="none"/>
              </w:rPr>
              <w:t>内</w:t>
            </w:r>
            <w:r>
              <w:rPr>
                <w:rFonts w:ascii="宋体" w:hAnsi="宋体" w:cs="宋体"/>
                <w:color w:val="auto"/>
                <w:szCs w:val="21"/>
                <w:highlight w:val="none"/>
              </w:rPr>
              <w:t xml:space="preserve">  </w:t>
            </w:r>
            <w:r>
              <w:rPr>
                <w:rFonts w:hint="eastAsia" w:ascii="宋体" w:hAnsi="宋体" w:cs="宋体"/>
                <w:color w:val="auto"/>
                <w:szCs w:val="21"/>
                <w:highlight w:val="none"/>
              </w:rPr>
              <w:t>容</w:t>
            </w:r>
          </w:p>
        </w:tc>
        <w:tc>
          <w:tcPr>
            <w:tcW w:w="5901" w:type="dxa"/>
            <w:vAlign w:val="center"/>
          </w:tcPr>
          <w:p w14:paraId="441C8D7E">
            <w:pPr>
              <w:jc w:val="center"/>
              <w:rPr>
                <w:rFonts w:ascii="宋体" w:cs="宋体"/>
                <w:color w:val="auto"/>
                <w:szCs w:val="21"/>
                <w:highlight w:val="none"/>
              </w:rPr>
            </w:pPr>
            <w:r>
              <w:rPr>
                <w:rFonts w:hint="eastAsia" w:ascii="宋体" w:hAnsi="宋体" w:cs="宋体"/>
                <w:color w:val="auto"/>
                <w:szCs w:val="21"/>
                <w:highlight w:val="none"/>
              </w:rPr>
              <w:t>采购文件要求</w:t>
            </w:r>
          </w:p>
        </w:tc>
        <w:tc>
          <w:tcPr>
            <w:tcW w:w="923" w:type="dxa"/>
            <w:vAlign w:val="center"/>
          </w:tcPr>
          <w:p w14:paraId="1F35A095">
            <w:pPr>
              <w:jc w:val="center"/>
              <w:rPr>
                <w:rFonts w:ascii="宋体" w:cs="宋体"/>
                <w:color w:val="auto"/>
                <w:szCs w:val="21"/>
                <w:highlight w:val="none"/>
              </w:rPr>
            </w:pPr>
            <w:r>
              <w:rPr>
                <w:rFonts w:hint="eastAsia" w:ascii="宋体" w:hAnsi="宋体" w:cs="宋体"/>
                <w:color w:val="auto"/>
                <w:szCs w:val="21"/>
                <w:highlight w:val="none"/>
              </w:rPr>
              <w:t>供应商承诺</w:t>
            </w:r>
          </w:p>
        </w:tc>
        <w:tc>
          <w:tcPr>
            <w:tcW w:w="706" w:type="dxa"/>
            <w:vAlign w:val="center"/>
          </w:tcPr>
          <w:p w14:paraId="79A3D652">
            <w:pPr>
              <w:jc w:val="center"/>
              <w:rPr>
                <w:rFonts w:ascii="宋体" w:cs="宋体"/>
                <w:color w:val="auto"/>
                <w:szCs w:val="21"/>
                <w:highlight w:val="none"/>
              </w:rPr>
            </w:pPr>
            <w:r>
              <w:rPr>
                <w:rFonts w:hint="eastAsia" w:ascii="宋体" w:hAnsi="宋体"/>
                <w:color w:val="auto"/>
                <w:szCs w:val="21"/>
                <w:highlight w:val="none"/>
              </w:rPr>
              <w:t>是否响应</w:t>
            </w:r>
          </w:p>
        </w:tc>
      </w:tr>
      <w:tr w14:paraId="196A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vAlign w:val="center"/>
          </w:tcPr>
          <w:p w14:paraId="7C61CE35">
            <w:pPr>
              <w:spacing w:before="50" w:after="50" w:line="360" w:lineRule="auto"/>
              <w:jc w:val="center"/>
              <w:rPr>
                <w:rFonts w:ascii="宋体" w:cs="宋体"/>
                <w:color w:val="auto"/>
                <w:szCs w:val="21"/>
                <w:highlight w:val="none"/>
              </w:rPr>
            </w:pPr>
            <w:r>
              <w:rPr>
                <w:rFonts w:ascii="宋体" w:hAnsi="宋体" w:cs="宋体"/>
                <w:color w:val="auto"/>
                <w:szCs w:val="21"/>
                <w:highlight w:val="none"/>
              </w:rPr>
              <w:t>1</w:t>
            </w:r>
          </w:p>
        </w:tc>
        <w:tc>
          <w:tcPr>
            <w:tcW w:w="1829" w:type="dxa"/>
            <w:vAlign w:val="center"/>
          </w:tcPr>
          <w:p w14:paraId="3EB1F076">
            <w:pPr>
              <w:jc w:val="center"/>
              <w:rPr>
                <w:rFonts w:ascii="宋体" w:cs="宋体"/>
                <w:color w:val="auto"/>
                <w:szCs w:val="21"/>
                <w:highlight w:val="none"/>
              </w:rPr>
            </w:pPr>
          </w:p>
        </w:tc>
        <w:tc>
          <w:tcPr>
            <w:tcW w:w="5901" w:type="dxa"/>
            <w:vAlign w:val="center"/>
          </w:tcPr>
          <w:p w14:paraId="053B5885">
            <w:pPr>
              <w:widowControl/>
              <w:spacing w:line="360" w:lineRule="auto"/>
              <w:rPr>
                <w:rFonts w:ascii="宋体" w:cs="宋体"/>
                <w:bCs/>
                <w:color w:val="auto"/>
                <w:szCs w:val="21"/>
                <w:highlight w:val="none"/>
              </w:rPr>
            </w:pPr>
          </w:p>
        </w:tc>
        <w:tc>
          <w:tcPr>
            <w:tcW w:w="923" w:type="dxa"/>
            <w:vAlign w:val="center"/>
          </w:tcPr>
          <w:p w14:paraId="64467AF2">
            <w:pPr>
              <w:spacing w:before="50" w:after="50" w:line="360" w:lineRule="auto"/>
              <w:jc w:val="center"/>
              <w:rPr>
                <w:rFonts w:ascii="宋体" w:cs="宋体"/>
                <w:color w:val="auto"/>
                <w:szCs w:val="21"/>
                <w:highlight w:val="none"/>
              </w:rPr>
            </w:pPr>
          </w:p>
        </w:tc>
        <w:tc>
          <w:tcPr>
            <w:tcW w:w="706" w:type="dxa"/>
            <w:vAlign w:val="center"/>
          </w:tcPr>
          <w:p w14:paraId="3D692E7C">
            <w:pPr>
              <w:spacing w:before="50" w:after="50" w:line="360" w:lineRule="auto"/>
              <w:jc w:val="center"/>
              <w:rPr>
                <w:rFonts w:ascii="宋体" w:cs="宋体"/>
                <w:color w:val="auto"/>
                <w:szCs w:val="21"/>
                <w:highlight w:val="none"/>
              </w:rPr>
            </w:pPr>
          </w:p>
        </w:tc>
      </w:tr>
      <w:tr w14:paraId="7D4C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dxa"/>
            <w:vAlign w:val="center"/>
          </w:tcPr>
          <w:p w14:paraId="5E690260">
            <w:pPr>
              <w:spacing w:before="50" w:after="50" w:line="360" w:lineRule="auto"/>
              <w:jc w:val="center"/>
              <w:rPr>
                <w:rFonts w:ascii="宋体" w:cs="宋体"/>
                <w:color w:val="auto"/>
                <w:szCs w:val="21"/>
                <w:highlight w:val="none"/>
              </w:rPr>
            </w:pPr>
            <w:r>
              <w:rPr>
                <w:rFonts w:ascii="宋体" w:hAnsi="宋体" w:cs="宋体"/>
                <w:color w:val="auto"/>
                <w:szCs w:val="21"/>
                <w:highlight w:val="none"/>
              </w:rPr>
              <w:t>2</w:t>
            </w:r>
          </w:p>
        </w:tc>
        <w:tc>
          <w:tcPr>
            <w:tcW w:w="1829" w:type="dxa"/>
            <w:vAlign w:val="center"/>
          </w:tcPr>
          <w:p w14:paraId="24BBA075">
            <w:pPr>
              <w:jc w:val="center"/>
              <w:rPr>
                <w:rFonts w:ascii="宋体" w:cs="宋体"/>
                <w:color w:val="auto"/>
                <w:szCs w:val="21"/>
                <w:highlight w:val="none"/>
              </w:rPr>
            </w:pPr>
          </w:p>
        </w:tc>
        <w:tc>
          <w:tcPr>
            <w:tcW w:w="5901" w:type="dxa"/>
            <w:vAlign w:val="center"/>
          </w:tcPr>
          <w:p w14:paraId="226C3199">
            <w:pPr>
              <w:spacing w:line="360" w:lineRule="auto"/>
              <w:rPr>
                <w:rFonts w:ascii="宋体" w:cs="宋体"/>
                <w:bCs/>
                <w:color w:val="auto"/>
                <w:szCs w:val="21"/>
                <w:highlight w:val="none"/>
              </w:rPr>
            </w:pPr>
          </w:p>
        </w:tc>
        <w:tc>
          <w:tcPr>
            <w:tcW w:w="923" w:type="dxa"/>
            <w:vAlign w:val="center"/>
          </w:tcPr>
          <w:p w14:paraId="0EF84E7B">
            <w:pPr>
              <w:spacing w:before="50" w:after="50" w:line="360" w:lineRule="auto"/>
              <w:jc w:val="center"/>
              <w:rPr>
                <w:rFonts w:ascii="宋体" w:cs="宋体"/>
                <w:color w:val="auto"/>
                <w:szCs w:val="21"/>
                <w:highlight w:val="none"/>
              </w:rPr>
            </w:pPr>
          </w:p>
        </w:tc>
        <w:tc>
          <w:tcPr>
            <w:tcW w:w="706" w:type="dxa"/>
            <w:vAlign w:val="center"/>
          </w:tcPr>
          <w:p w14:paraId="10ABD912">
            <w:pPr>
              <w:spacing w:before="50" w:after="50" w:line="360" w:lineRule="auto"/>
              <w:jc w:val="center"/>
              <w:rPr>
                <w:rFonts w:ascii="宋体" w:cs="宋体"/>
                <w:color w:val="auto"/>
                <w:szCs w:val="21"/>
                <w:highlight w:val="none"/>
              </w:rPr>
            </w:pPr>
          </w:p>
        </w:tc>
      </w:tr>
      <w:tr w14:paraId="54AB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vAlign w:val="center"/>
          </w:tcPr>
          <w:p w14:paraId="2B2637E7">
            <w:pPr>
              <w:spacing w:before="50" w:after="50" w:line="360" w:lineRule="auto"/>
              <w:jc w:val="center"/>
              <w:rPr>
                <w:rFonts w:ascii="宋体" w:cs="宋体"/>
                <w:color w:val="auto"/>
                <w:szCs w:val="21"/>
                <w:highlight w:val="none"/>
              </w:rPr>
            </w:pPr>
            <w:r>
              <w:rPr>
                <w:rFonts w:ascii="宋体" w:hAnsi="宋体" w:cs="宋体"/>
                <w:color w:val="auto"/>
                <w:szCs w:val="21"/>
                <w:highlight w:val="none"/>
              </w:rPr>
              <w:t>3</w:t>
            </w:r>
          </w:p>
        </w:tc>
        <w:tc>
          <w:tcPr>
            <w:tcW w:w="1829" w:type="dxa"/>
            <w:vAlign w:val="center"/>
          </w:tcPr>
          <w:p w14:paraId="002954D6">
            <w:pPr>
              <w:jc w:val="center"/>
              <w:rPr>
                <w:rFonts w:ascii="宋体" w:cs="宋体"/>
                <w:color w:val="auto"/>
                <w:szCs w:val="21"/>
                <w:highlight w:val="none"/>
              </w:rPr>
            </w:pPr>
          </w:p>
        </w:tc>
        <w:tc>
          <w:tcPr>
            <w:tcW w:w="5901" w:type="dxa"/>
            <w:vAlign w:val="center"/>
          </w:tcPr>
          <w:p w14:paraId="4A22BB6C">
            <w:pPr>
              <w:spacing w:line="360" w:lineRule="auto"/>
              <w:rPr>
                <w:rFonts w:ascii="宋体" w:cs="宋体"/>
                <w:bCs/>
                <w:color w:val="auto"/>
                <w:szCs w:val="21"/>
                <w:highlight w:val="none"/>
              </w:rPr>
            </w:pPr>
          </w:p>
        </w:tc>
        <w:tc>
          <w:tcPr>
            <w:tcW w:w="923" w:type="dxa"/>
            <w:vAlign w:val="center"/>
          </w:tcPr>
          <w:p w14:paraId="627D2230">
            <w:pPr>
              <w:spacing w:before="50" w:after="50" w:line="360" w:lineRule="auto"/>
              <w:jc w:val="center"/>
              <w:rPr>
                <w:rFonts w:ascii="宋体" w:cs="宋体"/>
                <w:color w:val="auto"/>
                <w:szCs w:val="21"/>
                <w:highlight w:val="none"/>
              </w:rPr>
            </w:pPr>
          </w:p>
        </w:tc>
        <w:tc>
          <w:tcPr>
            <w:tcW w:w="706" w:type="dxa"/>
            <w:vAlign w:val="center"/>
          </w:tcPr>
          <w:p w14:paraId="74C4FD6B">
            <w:pPr>
              <w:spacing w:before="50" w:after="50" w:line="360" w:lineRule="auto"/>
              <w:jc w:val="center"/>
              <w:rPr>
                <w:rFonts w:ascii="宋体" w:cs="宋体"/>
                <w:color w:val="auto"/>
                <w:szCs w:val="21"/>
                <w:highlight w:val="none"/>
              </w:rPr>
            </w:pPr>
          </w:p>
        </w:tc>
      </w:tr>
      <w:tr w14:paraId="0434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vAlign w:val="center"/>
          </w:tcPr>
          <w:p w14:paraId="1F28B1B1">
            <w:pPr>
              <w:spacing w:before="50" w:after="50" w:line="360" w:lineRule="auto"/>
              <w:jc w:val="center"/>
              <w:rPr>
                <w:rFonts w:ascii="宋体" w:cs="宋体"/>
                <w:color w:val="auto"/>
                <w:szCs w:val="21"/>
                <w:highlight w:val="none"/>
              </w:rPr>
            </w:pPr>
            <w:r>
              <w:rPr>
                <w:rFonts w:ascii="宋体" w:hAnsi="宋体" w:cs="宋体"/>
                <w:color w:val="auto"/>
                <w:szCs w:val="21"/>
                <w:highlight w:val="none"/>
              </w:rPr>
              <w:t>4</w:t>
            </w:r>
          </w:p>
        </w:tc>
        <w:tc>
          <w:tcPr>
            <w:tcW w:w="1829" w:type="dxa"/>
            <w:vAlign w:val="center"/>
          </w:tcPr>
          <w:p w14:paraId="17E5E6AC">
            <w:pPr>
              <w:jc w:val="center"/>
              <w:rPr>
                <w:rFonts w:ascii="宋体" w:cs="宋体"/>
                <w:color w:val="auto"/>
                <w:szCs w:val="21"/>
                <w:highlight w:val="none"/>
              </w:rPr>
            </w:pPr>
          </w:p>
        </w:tc>
        <w:tc>
          <w:tcPr>
            <w:tcW w:w="5901" w:type="dxa"/>
            <w:vAlign w:val="center"/>
          </w:tcPr>
          <w:p w14:paraId="1D4AF536">
            <w:pPr>
              <w:spacing w:line="276" w:lineRule="auto"/>
              <w:rPr>
                <w:rFonts w:ascii="宋体"/>
                <w:color w:val="auto"/>
                <w:szCs w:val="21"/>
                <w:highlight w:val="none"/>
              </w:rPr>
            </w:pPr>
          </w:p>
        </w:tc>
        <w:tc>
          <w:tcPr>
            <w:tcW w:w="923" w:type="dxa"/>
            <w:vAlign w:val="center"/>
          </w:tcPr>
          <w:p w14:paraId="23529A48">
            <w:pPr>
              <w:spacing w:before="50" w:after="50" w:line="360" w:lineRule="auto"/>
              <w:jc w:val="center"/>
              <w:rPr>
                <w:rFonts w:ascii="宋体" w:cs="宋体"/>
                <w:color w:val="auto"/>
                <w:szCs w:val="21"/>
                <w:highlight w:val="none"/>
              </w:rPr>
            </w:pPr>
          </w:p>
        </w:tc>
        <w:tc>
          <w:tcPr>
            <w:tcW w:w="706" w:type="dxa"/>
            <w:vAlign w:val="center"/>
          </w:tcPr>
          <w:p w14:paraId="570C38DE">
            <w:pPr>
              <w:spacing w:before="50" w:after="50" w:line="360" w:lineRule="auto"/>
              <w:jc w:val="center"/>
              <w:rPr>
                <w:rFonts w:ascii="宋体" w:cs="宋体"/>
                <w:color w:val="auto"/>
                <w:szCs w:val="21"/>
                <w:highlight w:val="none"/>
              </w:rPr>
            </w:pPr>
          </w:p>
        </w:tc>
      </w:tr>
      <w:tr w14:paraId="371E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vAlign w:val="center"/>
          </w:tcPr>
          <w:p w14:paraId="34B1C476">
            <w:pPr>
              <w:spacing w:before="50" w:after="50" w:line="360" w:lineRule="auto"/>
              <w:jc w:val="center"/>
              <w:rPr>
                <w:rFonts w:ascii="宋体" w:cs="宋体"/>
                <w:color w:val="auto"/>
                <w:szCs w:val="21"/>
                <w:highlight w:val="none"/>
              </w:rPr>
            </w:pPr>
            <w:r>
              <w:rPr>
                <w:rFonts w:ascii="宋体" w:hAnsi="宋体" w:cs="宋体"/>
                <w:color w:val="auto"/>
                <w:szCs w:val="21"/>
                <w:highlight w:val="none"/>
              </w:rPr>
              <w:t>5</w:t>
            </w:r>
          </w:p>
        </w:tc>
        <w:tc>
          <w:tcPr>
            <w:tcW w:w="1829" w:type="dxa"/>
            <w:vAlign w:val="center"/>
          </w:tcPr>
          <w:p w14:paraId="3596A002">
            <w:pPr>
              <w:jc w:val="center"/>
              <w:rPr>
                <w:rFonts w:ascii="宋体" w:cs="宋体"/>
                <w:color w:val="auto"/>
                <w:szCs w:val="21"/>
                <w:highlight w:val="none"/>
              </w:rPr>
            </w:pPr>
          </w:p>
        </w:tc>
        <w:tc>
          <w:tcPr>
            <w:tcW w:w="5901" w:type="dxa"/>
            <w:vAlign w:val="center"/>
          </w:tcPr>
          <w:p w14:paraId="3FA3B113">
            <w:pPr>
              <w:spacing w:line="276" w:lineRule="auto"/>
              <w:rPr>
                <w:rFonts w:ascii="宋体"/>
                <w:color w:val="auto"/>
                <w:szCs w:val="21"/>
                <w:highlight w:val="none"/>
              </w:rPr>
            </w:pPr>
          </w:p>
        </w:tc>
        <w:tc>
          <w:tcPr>
            <w:tcW w:w="923" w:type="dxa"/>
            <w:vAlign w:val="center"/>
          </w:tcPr>
          <w:p w14:paraId="79211CA0">
            <w:pPr>
              <w:spacing w:before="50" w:after="50" w:line="360" w:lineRule="auto"/>
              <w:jc w:val="center"/>
              <w:rPr>
                <w:rFonts w:ascii="宋体" w:cs="宋体"/>
                <w:color w:val="auto"/>
                <w:szCs w:val="21"/>
                <w:highlight w:val="none"/>
              </w:rPr>
            </w:pPr>
          </w:p>
        </w:tc>
        <w:tc>
          <w:tcPr>
            <w:tcW w:w="706" w:type="dxa"/>
            <w:vAlign w:val="center"/>
          </w:tcPr>
          <w:p w14:paraId="290A04AC">
            <w:pPr>
              <w:spacing w:before="50" w:after="50" w:line="360" w:lineRule="auto"/>
              <w:jc w:val="center"/>
              <w:rPr>
                <w:rFonts w:ascii="宋体" w:cs="宋体"/>
                <w:color w:val="auto"/>
                <w:szCs w:val="21"/>
                <w:highlight w:val="none"/>
              </w:rPr>
            </w:pPr>
          </w:p>
        </w:tc>
      </w:tr>
      <w:tr w14:paraId="0298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vAlign w:val="center"/>
          </w:tcPr>
          <w:p w14:paraId="4D4EA215">
            <w:pPr>
              <w:spacing w:before="50" w:after="50" w:line="360" w:lineRule="auto"/>
              <w:jc w:val="center"/>
              <w:rPr>
                <w:rFonts w:ascii="宋体" w:cs="宋体"/>
                <w:color w:val="auto"/>
                <w:szCs w:val="21"/>
                <w:highlight w:val="none"/>
              </w:rPr>
            </w:pPr>
            <w:r>
              <w:rPr>
                <w:rFonts w:hint="eastAsia" w:ascii="宋体" w:hAnsi="宋体" w:cs="宋体"/>
                <w:color w:val="auto"/>
                <w:szCs w:val="21"/>
                <w:highlight w:val="none"/>
              </w:rPr>
              <w:t>…</w:t>
            </w:r>
          </w:p>
        </w:tc>
        <w:tc>
          <w:tcPr>
            <w:tcW w:w="1829" w:type="dxa"/>
            <w:vAlign w:val="center"/>
          </w:tcPr>
          <w:p w14:paraId="084B31F5">
            <w:pPr>
              <w:autoSpaceDE w:val="0"/>
              <w:autoSpaceDN w:val="0"/>
              <w:spacing w:line="360" w:lineRule="auto"/>
              <w:ind w:firstLine="210" w:firstLineChars="100"/>
              <w:jc w:val="center"/>
              <w:rPr>
                <w:rFonts w:ascii="宋体" w:cs="宋体"/>
                <w:color w:val="auto"/>
                <w:szCs w:val="21"/>
                <w:highlight w:val="none"/>
              </w:rPr>
            </w:pPr>
          </w:p>
        </w:tc>
        <w:tc>
          <w:tcPr>
            <w:tcW w:w="5901" w:type="dxa"/>
            <w:vAlign w:val="center"/>
          </w:tcPr>
          <w:p w14:paraId="165F8850">
            <w:pPr>
              <w:spacing w:before="50" w:after="50" w:line="360" w:lineRule="auto"/>
              <w:jc w:val="center"/>
              <w:rPr>
                <w:rFonts w:ascii="宋体" w:cs="宋体"/>
                <w:color w:val="auto"/>
                <w:szCs w:val="21"/>
                <w:highlight w:val="none"/>
              </w:rPr>
            </w:pPr>
          </w:p>
        </w:tc>
        <w:tc>
          <w:tcPr>
            <w:tcW w:w="923" w:type="dxa"/>
            <w:vAlign w:val="center"/>
          </w:tcPr>
          <w:p w14:paraId="6FFF116E">
            <w:pPr>
              <w:spacing w:before="50" w:after="50" w:line="360" w:lineRule="auto"/>
              <w:jc w:val="center"/>
              <w:rPr>
                <w:rFonts w:ascii="宋体" w:cs="宋体"/>
                <w:color w:val="auto"/>
                <w:szCs w:val="21"/>
                <w:highlight w:val="none"/>
              </w:rPr>
            </w:pPr>
          </w:p>
        </w:tc>
        <w:tc>
          <w:tcPr>
            <w:tcW w:w="706" w:type="dxa"/>
            <w:vAlign w:val="center"/>
          </w:tcPr>
          <w:p w14:paraId="35B7407F">
            <w:pPr>
              <w:spacing w:before="50" w:after="50" w:line="360" w:lineRule="auto"/>
              <w:jc w:val="center"/>
              <w:rPr>
                <w:rFonts w:ascii="宋体" w:cs="宋体"/>
                <w:color w:val="auto"/>
                <w:szCs w:val="21"/>
                <w:highlight w:val="none"/>
              </w:rPr>
            </w:pPr>
          </w:p>
        </w:tc>
      </w:tr>
      <w:tr w14:paraId="0DF2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2" w:type="dxa"/>
            <w:vAlign w:val="center"/>
          </w:tcPr>
          <w:p w14:paraId="6ACD6937">
            <w:pPr>
              <w:spacing w:before="50" w:after="50" w:line="360" w:lineRule="auto"/>
              <w:jc w:val="center"/>
              <w:rPr>
                <w:rFonts w:ascii="宋体" w:cs="宋体"/>
                <w:color w:val="auto"/>
                <w:szCs w:val="21"/>
                <w:highlight w:val="none"/>
              </w:rPr>
            </w:pPr>
          </w:p>
        </w:tc>
        <w:tc>
          <w:tcPr>
            <w:tcW w:w="1829" w:type="dxa"/>
            <w:vAlign w:val="center"/>
          </w:tcPr>
          <w:p w14:paraId="4208A5AE">
            <w:pPr>
              <w:spacing w:line="360" w:lineRule="auto"/>
              <w:jc w:val="center"/>
              <w:rPr>
                <w:rFonts w:ascii="宋体" w:cs="宋体"/>
                <w:color w:val="auto"/>
                <w:szCs w:val="21"/>
                <w:highlight w:val="none"/>
              </w:rPr>
            </w:pPr>
          </w:p>
        </w:tc>
        <w:tc>
          <w:tcPr>
            <w:tcW w:w="5901" w:type="dxa"/>
            <w:vAlign w:val="center"/>
          </w:tcPr>
          <w:p w14:paraId="5E71DC67">
            <w:pPr>
              <w:spacing w:before="50" w:after="50" w:line="360" w:lineRule="auto"/>
              <w:jc w:val="center"/>
              <w:rPr>
                <w:rFonts w:ascii="宋体" w:cs="宋体"/>
                <w:color w:val="auto"/>
                <w:szCs w:val="21"/>
                <w:highlight w:val="none"/>
              </w:rPr>
            </w:pPr>
          </w:p>
        </w:tc>
        <w:tc>
          <w:tcPr>
            <w:tcW w:w="923" w:type="dxa"/>
            <w:vAlign w:val="center"/>
          </w:tcPr>
          <w:p w14:paraId="794F61AC">
            <w:pPr>
              <w:spacing w:before="50" w:after="50" w:line="360" w:lineRule="auto"/>
              <w:jc w:val="center"/>
              <w:rPr>
                <w:rFonts w:ascii="宋体" w:cs="宋体"/>
                <w:color w:val="auto"/>
                <w:szCs w:val="21"/>
                <w:highlight w:val="none"/>
              </w:rPr>
            </w:pPr>
          </w:p>
        </w:tc>
        <w:tc>
          <w:tcPr>
            <w:tcW w:w="706" w:type="dxa"/>
            <w:vAlign w:val="center"/>
          </w:tcPr>
          <w:p w14:paraId="6894785C">
            <w:pPr>
              <w:spacing w:before="50" w:after="50" w:line="360" w:lineRule="auto"/>
              <w:jc w:val="center"/>
              <w:rPr>
                <w:rFonts w:ascii="宋体" w:cs="宋体"/>
                <w:color w:val="auto"/>
                <w:szCs w:val="21"/>
                <w:highlight w:val="none"/>
              </w:rPr>
            </w:pPr>
          </w:p>
        </w:tc>
      </w:tr>
    </w:tbl>
    <w:p w14:paraId="151DC29C">
      <w:pPr>
        <w:pStyle w:val="14"/>
        <w:spacing w:beforeLines="0" w:afterLines="0" w:line="360" w:lineRule="auto"/>
        <w:rPr>
          <w:rFonts w:hint="eastAsia" w:hAnsi="宋体" w:cs="宋体"/>
          <w:b/>
          <w:color w:val="auto"/>
          <w:kern w:val="0"/>
          <w:sz w:val="21"/>
          <w:szCs w:val="21"/>
          <w:highlight w:val="none"/>
        </w:rPr>
      </w:pPr>
      <w:r>
        <w:rPr>
          <w:rFonts w:hint="eastAsia" w:hAnsi="宋体" w:cs="宋体"/>
          <w:b/>
          <w:color w:val="auto"/>
          <w:kern w:val="0"/>
          <w:sz w:val="21"/>
          <w:szCs w:val="21"/>
          <w:highlight w:val="none"/>
        </w:rPr>
        <w:t>特别提醒：</w:t>
      </w:r>
    </w:p>
    <w:p w14:paraId="586F3861">
      <w:pPr>
        <w:pStyle w:val="14"/>
        <w:spacing w:beforeLines="0" w:afterLines="0" w:line="360" w:lineRule="auto"/>
        <w:ind w:firstLine="420" w:firstLineChars="200"/>
        <w:rPr>
          <w:rFonts w:hint="eastAsia" w:hAnsi="宋体" w:cs="宋体"/>
          <w:color w:val="auto"/>
          <w:kern w:val="0"/>
          <w:sz w:val="21"/>
          <w:szCs w:val="21"/>
          <w:highlight w:val="none"/>
          <w:u w:val="single"/>
        </w:rPr>
      </w:pPr>
      <w:r>
        <w:rPr>
          <w:rFonts w:hAnsi="宋体" w:cs="宋体"/>
          <w:color w:val="auto"/>
          <w:kern w:val="0"/>
          <w:sz w:val="21"/>
          <w:szCs w:val="21"/>
          <w:highlight w:val="none"/>
        </w:rPr>
        <w:t>1</w:t>
      </w:r>
      <w:r>
        <w:rPr>
          <w:rFonts w:hint="eastAsia" w:hAnsi="宋体" w:cs="宋体"/>
          <w:color w:val="auto"/>
          <w:kern w:val="0"/>
          <w:sz w:val="21"/>
          <w:szCs w:val="21"/>
          <w:highlight w:val="none"/>
        </w:rPr>
        <w:t>、供应商在填写其中的响应内容时，必须对照本采购文件“第二章</w:t>
      </w:r>
      <w:r>
        <w:rPr>
          <w:rFonts w:hAnsi="宋体" w:cs="宋体"/>
          <w:color w:val="auto"/>
          <w:kern w:val="0"/>
          <w:sz w:val="21"/>
          <w:szCs w:val="21"/>
          <w:highlight w:val="none"/>
        </w:rPr>
        <w:t xml:space="preserve"> </w:t>
      </w:r>
      <w:r>
        <w:rPr>
          <w:rFonts w:hint="eastAsia" w:hAnsi="宋体" w:cs="宋体"/>
          <w:color w:val="auto"/>
          <w:kern w:val="0"/>
          <w:sz w:val="21"/>
          <w:szCs w:val="21"/>
          <w:highlight w:val="none"/>
        </w:rPr>
        <w:t>采购需求”中商务要求的各指标项逐条说明，写出各自响应服务的具体参数响应内容，响应情况作为重要评审指标。</w:t>
      </w:r>
    </w:p>
    <w:p w14:paraId="79083AB5">
      <w:pPr>
        <w:pStyle w:val="14"/>
        <w:spacing w:beforeLines="0" w:afterLines="0" w:line="360" w:lineRule="auto"/>
        <w:ind w:firstLine="420" w:firstLineChars="200"/>
        <w:rPr>
          <w:rFonts w:hint="eastAsia" w:hAnsi="宋体" w:cs="宋体"/>
          <w:color w:val="auto"/>
          <w:kern w:val="0"/>
          <w:sz w:val="21"/>
          <w:szCs w:val="21"/>
          <w:highlight w:val="none"/>
          <w:u w:val="single"/>
        </w:rPr>
      </w:pPr>
      <w:r>
        <w:rPr>
          <w:rFonts w:hAnsi="宋体" w:cs="宋体"/>
          <w:color w:val="auto"/>
          <w:kern w:val="0"/>
          <w:sz w:val="21"/>
          <w:szCs w:val="21"/>
          <w:highlight w:val="none"/>
        </w:rPr>
        <w:t>2</w:t>
      </w:r>
      <w:r>
        <w:rPr>
          <w:rFonts w:hint="eastAsia" w:hAnsi="宋体" w:cs="宋体"/>
          <w:color w:val="auto"/>
          <w:kern w:val="0"/>
          <w:sz w:val="21"/>
          <w:szCs w:val="21"/>
          <w:highlight w:val="none"/>
        </w:rPr>
        <w:t>、</w:t>
      </w:r>
      <w:r>
        <w:rPr>
          <w:rFonts w:hint="eastAsia" w:hAnsi="宋体" w:cs="宋体"/>
          <w:color w:val="auto"/>
          <w:kern w:val="0"/>
          <w:sz w:val="21"/>
          <w:szCs w:val="21"/>
          <w:highlight w:val="none"/>
          <w:u w:val="single"/>
        </w:rPr>
        <w:t>如响应表格无法清晰完整描述响应内容的，可在文本另行描述，并在对应页码中标识页码，引导评标委员会审阅响应内容，因响应文件编制原因引起评审错误责任由供应商承担。</w:t>
      </w:r>
    </w:p>
    <w:p w14:paraId="7FFE1C72">
      <w:pPr>
        <w:pStyle w:val="15"/>
        <w:ind w:left="0" w:leftChars="0" w:firstLine="420" w:firstLineChars="200"/>
        <w:rPr>
          <w:color w:val="auto"/>
          <w:highlight w:val="none"/>
        </w:rPr>
      </w:pPr>
      <w:r>
        <w:rPr>
          <w:rFonts w:hAnsi="宋体" w:cs="宋体"/>
          <w:color w:val="auto"/>
          <w:kern w:val="0"/>
          <w:szCs w:val="21"/>
          <w:highlight w:val="none"/>
        </w:rPr>
        <w:t>3</w:t>
      </w:r>
      <w:r>
        <w:rPr>
          <w:rFonts w:hint="eastAsia" w:hAnsi="宋体" w:cs="宋体"/>
          <w:color w:val="auto"/>
          <w:kern w:val="0"/>
          <w:szCs w:val="21"/>
          <w:highlight w:val="none"/>
        </w:rPr>
        <w:t>、此表可延续，如不填写将视为对招标文件要求完全响应。</w:t>
      </w:r>
    </w:p>
    <w:p w14:paraId="5B6F0754">
      <w:pPr>
        <w:pStyle w:val="15"/>
        <w:ind w:left="0" w:leftChars="0" w:firstLine="420" w:firstLineChars="200"/>
        <w:rPr>
          <w:color w:val="auto"/>
          <w:highlight w:val="none"/>
        </w:rPr>
      </w:pPr>
    </w:p>
    <w:p w14:paraId="5918DCDE">
      <w:pPr>
        <w:rPr>
          <w:rFonts w:ascii="宋体" w:cs="宋体"/>
          <w:b/>
          <w:color w:val="auto"/>
          <w:sz w:val="24"/>
          <w:highlight w:val="none"/>
        </w:rPr>
      </w:pPr>
    </w:p>
    <w:p w14:paraId="6AF68A4A">
      <w:pPr>
        <w:spacing w:line="480" w:lineRule="auto"/>
        <w:ind w:right="840"/>
        <w:jc w:val="center"/>
        <w:rPr>
          <w:rFonts w:ascii="宋体" w:cs="宋体"/>
          <w:b/>
          <w:color w:val="auto"/>
          <w:szCs w:val="21"/>
          <w:highlight w:val="none"/>
          <w:lang w:val="zh-CN"/>
        </w:rPr>
      </w:pPr>
      <w:r>
        <w:rPr>
          <w:rFonts w:ascii="宋体" w:hAnsi="宋体" w:cs="宋体"/>
          <w:b/>
          <w:color w:val="auto"/>
          <w:szCs w:val="21"/>
          <w:highlight w:val="none"/>
          <w:lang w:val="zh-CN"/>
        </w:rPr>
        <w:t xml:space="preserve">                    </w:t>
      </w:r>
      <w:r>
        <w:rPr>
          <w:rFonts w:ascii="宋体" w:hAnsi="宋体" w:cs="宋体"/>
          <w:b/>
          <w:color w:val="auto"/>
          <w:szCs w:val="21"/>
          <w:highlight w:val="none"/>
        </w:rPr>
        <w:t xml:space="preserve">     </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供应商（盖单位章）：</w:t>
      </w:r>
      <w:r>
        <w:rPr>
          <w:rFonts w:ascii="宋体" w:hAnsi="宋体" w:cs="宋体"/>
          <w:b/>
          <w:color w:val="auto"/>
          <w:szCs w:val="21"/>
          <w:highlight w:val="none"/>
          <w:lang w:val="zh-CN"/>
        </w:rPr>
        <w:t xml:space="preserve"> </w:t>
      </w:r>
    </w:p>
    <w:p w14:paraId="3E54C690">
      <w:pPr>
        <w:spacing w:line="480" w:lineRule="auto"/>
        <w:ind w:right="420"/>
        <w:jc w:val="center"/>
        <w:rPr>
          <w:rFonts w:ascii="宋体" w:cs="宋体"/>
          <w:b/>
          <w:color w:val="auto"/>
          <w:szCs w:val="21"/>
          <w:highlight w:val="none"/>
          <w:lang w:val="zh-CN"/>
        </w:rPr>
      </w:pPr>
      <w:r>
        <w:rPr>
          <w:rFonts w:hint="eastAsia" w:ascii="宋体" w:hAnsi="宋体" w:cs="宋体"/>
          <w:b/>
          <w:color w:val="auto"/>
          <w:szCs w:val="21"/>
          <w:highlight w:val="none"/>
          <w:lang w:val="zh-CN"/>
        </w:rPr>
        <w:t>日</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期：</w:t>
      </w:r>
    </w:p>
    <w:p w14:paraId="3048E22C">
      <w:pPr>
        <w:rPr>
          <w:color w:val="auto"/>
          <w:highlight w:val="none"/>
        </w:rPr>
      </w:pPr>
      <w:r>
        <w:rPr>
          <w:rFonts w:ascii="宋体" w:cs="宋体"/>
          <w:b/>
          <w:bCs/>
          <w:color w:val="auto"/>
          <w:kern w:val="0"/>
          <w:sz w:val="28"/>
          <w:szCs w:val="28"/>
          <w:highlight w:val="none"/>
          <w:lang w:val="zh-CN"/>
        </w:rPr>
        <w:br w:type="page"/>
      </w:r>
    </w:p>
    <w:p w14:paraId="540EFF64">
      <w:pPr>
        <w:pStyle w:val="11"/>
        <w:ind w:left="0"/>
        <w:rPr>
          <w:color w:val="auto"/>
          <w:highlight w:val="none"/>
        </w:rPr>
      </w:pPr>
      <w:r>
        <w:rPr>
          <w:rFonts w:hint="eastAsia" w:ascii="宋体" w:hAnsi="宋体" w:cs="宋体"/>
          <w:b/>
          <w:bCs/>
          <w:color w:val="auto"/>
          <w:sz w:val="24"/>
          <w:highlight w:val="none"/>
        </w:rPr>
        <w:t>附件</w:t>
      </w:r>
      <w:r>
        <w:rPr>
          <w:rFonts w:ascii="宋体" w:hAnsi="宋体" w:cs="宋体"/>
          <w:b/>
          <w:bCs/>
          <w:color w:val="auto"/>
          <w:sz w:val="24"/>
          <w:highlight w:val="none"/>
        </w:rPr>
        <w:t>9</w:t>
      </w:r>
      <w:r>
        <w:rPr>
          <w:rFonts w:hint="eastAsia" w:ascii="宋体" w:hAnsi="宋体" w:cs="宋体"/>
          <w:b/>
          <w:bCs/>
          <w:color w:val="auto"/>
          <w:sz w:val="24"/>
          <w:highlight w:val="none"/>
        </w:rPr>
        <w:t>：</w:t>
      </w:r>
    </w:p>
    <w:p w14:paraId="5E637251">
      <w:pPr>
        <w:tabs>
          <w:tab w:val="left" w:pos="2790"/>
          <w:tab w:val="left" w:pos="4230"/>
        </w:tabs>
        <w:autoSpaceDE w:val="0"/>
        <w:autoSpaceDN w:val="0"/>
        <w:spacing w:line="440" w:lineRule="exact"/>
        <w:jc w:val="center"/>
        <w:rPr>
          <w:rFonts w:ascii="宋体" w:cs="宋体"/>
          <w:b/>
          <w:color w:val="auto"/>
          <w:sz w:val="28"/>
          <w:szCs w:val="28"/>
          <w:highlight w:val="none"/>
        </w:rPr>
      </w:pPr>
      <w:r>
        <w:rPr>
          <w:rFonts w:hint="eastAsia" w:ascii="宋体" w:hAnsi="宋体" w:cs="宋体"/>
          <w:b/>
          <w:color w:val="auto"/>
          <w:sz w:val="28"/>
          <w:szCs w:val="28"/>
          <w:highlight w:val="none"/>
        </w:rPr>
        <w:t>类似项目业绩一览表</w:t>
      </w:r>
    </w:p>
    <w:p w14:paraId="152606C4">
      <w:pPr>
        <w:pStyle w:val="14"/>
        <w:spacing w:beforeLines="0" w:afterLines="0" w:line="320" w:lineRule="exact"/>
        <w:rPr>
          <w:rFonts w:hint="eastAsia" w:hAnsi="宋体" w:cs="宋体"/>
          <w:color w:val="auto"/>
          <w:sz w:val="21"/>
          <w:szCs w:val="21"/>
          <w:highlight w:val="none"/>
        </w:rPr>
      </w:pPr>
      <w:r>
        <w:rPr>
          <w:rFonts w:hint="eastAsia" w:hAnsi="宋体" w:cs="宋体"/>
          <w:color w:val="auto"/>
          <w:sz w:val="21"/>
          <w:szCs w:val="21"/>
          <w:highlight w:val="none"/>
        </w:rPr>
        <w:t>项目编号：</w:t>
      </w:r>
      <w:r>
        <w:rPr>
          <w:rFonts w:hint="eastAsia" w:hAnsi="宋体" w:cs="宋体"/>
          <w:color w:val="auto"/>
          <w:sz w:val="21"/>
          <w:szCs w:val="21"/>
          <w:highlight w:val="none"/>
          <w:lang w:val="zh-CN"/>
        </w:rPr>
        <w:t>ZJJX-25CG-005-01</w:t>
      </w:r>
      <w:r>
        <w:rPr>
          <w:rFonts w:hAnsi="宋体" w:cs="宋体"/>
          <w:color w:val="auto"/>
          <w:sz w:val="21"/>
          <w:szCs w:val="21"/>
          <w:highlight w:val="none"/>
          <w:lang w:val="zh-CN"/>
        </w:rPr>
        <w:t xml:space="preserve"> </w:t>
      </w:r>
    </w:p>
    <w:p w14:paraId="4F1086B4">
      <w:pPr>
        <w:autoSpaceDE w:val="0"/>
        <w:autoSpaceDN w:val="0"/>
        <w:spacing w:line="440" w:lineRule="exact"/>
        <w:rPr>
          <w:rFonts w:ascii="宋体" w:cs="宋体"/>
          <w:color w:val="auto"/>
          <w:szCs w:val="21"/>
          <w:highlight w:val="none"/>
          <w:lang w:val="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神仙居5A景区镇基础设施提升项目-游客集散中心（景区集散点）项目（重新招标）</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14:paraId="2C6E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vAlign w:val="center"/>
          </w:tcPr>
          <w:p w14:paraId="6B4FE8A1">
            <w:pPr>
              <w:pStyle w:val="14"/>
              <w:spacing w:before="156" w:after="156"/>
              <w:jc w:val="center"/>
              <w:rPr>
                <w:rFonts w:hint="eastAsia" w:hAnsi="宋体" w:cs="宋体"/>
                <w:b/>
                <w:bCs/>
                <w:color w:val="auto"/>
                <w:kern w:val="0"/>
                <w:sz w:val="21"/>
                <w:szCs w:val="21"/>
                <w:highlight w:val="none"/>
              </w:rPr>
            </w:pPr>
            <w:r>
              <w:rPr>
                <w:rFonts w:hint="eastAsia" w:hAnsi="宋体" w:cs="宋体"/>
                <w:bCs/>
                <w:color w:val="auto"/>
                <w:kern w:val="0"/>
                <w:sz w:val="21"/>
                <w:szCs w:val="21"/>
                <w:highlight w:val="none"/>
              </w:rPr>
              <w:t>序号</w:t>
            </w:r>
          </w:p>
        </w:tc>
        <w:tc>
          <w:tcPr>
            <w:tcW w:w="1649" w:type="dxa"/>
            <w:vAlign w:val="center"/>
          </w:tcPr>
          <w:p w14:paraId="660AA6E8">
            <w:pPr>
              <w:pStyle w:val="14"/>
              <w:spacing w:before="156" w:after="156"/>
              <w:jc w:val="center"/>
              <w:rPr>
                <w:rFonts w:hint="eastAsia" w:hAnsi="宋体" w:cs="宋体"/>
                <w:b/>
                <w:bCs/>
                <w:color w:val="auto"/>
                <w:kern w:val="0"/>
                <w:sz w:val="21"/>
                <w:szCs w:val="21"/>
                <w:highlight w:val="none"/>
              </w:rPr>
            </w:pPr>
            <w:r>
              <w:rPr>
                <w:rFonts w:hint="eastAsia" w:hAnsi="宋体" w:cs="宋体"/>
                <w:bCs/>
                <w:color w:val="auto"/>
                <w:kern w:val="0"/>
                <w:sz w:val="21"/>
                <w:szCs w:val="21"/>
                <w:highlight w:val="none"/>
              </w:rPr>
              <w:t>项目名称</w:t>
            </w:r>
          </w:p>
        </w:tc>
        <w:tc>
          <w:tcPr>
            <w:tcW w:w="1744" w:type="dxa"/>
            <w:vAlign w:val="center"/>
          </w:tcPr>
          <w:p w14:paraId="75B99757">
            <w:pPr>
              <w:pStyle w:val="14"/>
              <w:spacing w:before="156" w:after="156"/>
              <w:jc w:val="center"/>
              <w:rPr>
                <w:rFonts w:hint="eastAsia" w:hAnsi="宋体" w:cs="宋体"/>
                <w:b/>
                <w:bCs/>
                <w:color w:val="auto"/>
                <w:kern w:val="0"/>
                <w:sz w:val="21"/>
                <w:szCs w:val="21"/>
                <w:highlight w:val="none"/>
              </w:rPr>
            </w:pPr>
            <w:r>
              <w:rPr>
                <w:rFonts w:hint="eastAsia" w:hAnsi="宋体" w:cs="宋体"/>
                <w:bCs/>
                <w:color w:val="auto"/>
                <w:kern w:val="0"/>
                <w:sz w:val="21"/>
                <w:szCs w:val="21"/>
                <w:highlight w:val="none"/>
              </w:rPr>
              <w:t>业主单位</w:t>
            </w:r>
          </w:p>
        </w:tc>
        <w:tc>
          <w:tcPr>
            <w:tcW w:w="1260" w:type="dxa"/>
            <w:vAlign w:val="center"/>
          </w:tcPr>
          <w:p w14:paraId="6ECE765F">
            <w:pPr>
              <w:pStyle w:val="14"/>
              <w:spacing w:before="156" w:after="156"/>
              <w:jc w:val="center"/>
              <w:rPr>
                <w:rFonts w:hint="eastAsia" w:hAnsi="宋体" w:cs="宋体"/>
                <w:b/>
                <w:bCs/>
                <w:color w:val="auto"/>
                <w:kern w:val="0"/>
                <w:sz w:val="21"/>
                <w:szCs w:val="21"/>
                <w:highlight w:val="none"/>
              </w:rPr>
            </w:pPr>
            <w:r>
              <w:rPr>
                <w:rFonts w:hint="eastAsia" w:hAnsi="宋体" w:cs="宋体"/>
                <w:bCs/>
                <w:color w:val="auto"/>
                <w:kern w:val="0"/>
                <w:sz w:val="21"/>
                <w:szCs w:val="21"/>
                <w:highlight w:val="none"/>
              </w:rPr>
              <w:t>合同金额</w:t>
            </w:r>
          </w:p>
        </w:tc>
        <w:tc>
          <w:tcPr>
            <w:tcW w:w="1800" w:type="dxa"/>
            <w:vAlign w:val="center"/>
          </w:tcPr>
          <w:p w14:paraId="2DCB9CFD">
            <w:pPr>
              <w:pStyle w:val="14"/>
              <w:spacing w:before="156" w:after="156"/>
              <w:jc w:val="center"/>
              <w:rPr>
                <w:rFonts w:hint="eastAsia" w:hAnsi="宋体" w:cs="宋体"/>
                <w:b/>
                <w:bCs/>
                <w:color w:val="auto"/>
                <w:kern w:val="0"/>
                <w:sz w:val="21"/>
                <w:szCs w:val="21"/>
                <w:highlight w:val="none"/>
              </w:rPr>
            </w:pPr>
            <w:r>
              <w:rPr>
                <w:rFonts w:hint="eastAsia" w:hAnsi="宋体" w:cs="宋体"/>
                <w:bCs/>
                <w:color w:val="auto"/>
                <w:kern w:val="0"/>
                <w:sz w:val="21"/>
                <w:szCs w:val="21"/>
                <w:highlight w:val="none"/>
              </w:rPr>
              <w:t>合同签订时间</w:t>
            </w:r>
          </w:p>
        </w:tc>
        <w:tc>
          <w:tcPr>
            <w:tcW w:w="2194" w:type="dxa"/>
            <w:vAlign w:val="center"/>
          </w:tcPr>
          <w:p w14:paraId="7B8C9C6A">
            <w:pPr>
              <w:pStyle w:val="14"/>
              <w:spacing w:before="156" w:after="156"/>
              <w:jc w:val="center"/>
              <w:rPr>
                <w:rFonts w:hint="eastAsia" w:hAnsi="宋体" w:cs="宋体"/>
                <w:b/>
                <w:bCs/>
                <w:color w:val="auto"/>
                <w:kern w:val="0"/>
                <w:sz w:val="21"/>
                <w:szCs w:val="21"/>
                <w:highlight w:val="none"/>
              </w:rPr>
            </w:pPr>
            <w:r>
              <w:rPr>
                <w:rFonts w:hint="eastAsia" w:hAnsi="宋体" w:cs="宋体"/>
                <w:bCs/>
                <w:color w:val="auto"/>
                <w:kern w:val="0"/>
                <w:sz w:val="21"/>
                <w:szCs w:val="21"/>
                <w:highlight w:val="none"/>
              </w:rPr>
              <w:t>联系人</w:t>
            </w:r>
            <w:r>
              <w:rPr>
                <w:rFonts w:hAnsi="宋体" w:cs="宋体"/>
                <w:bCs/>
                <w:color w:val="auto"/>
                <w:kern w:val="0"/>
                <w:sz w:val="21"/>
                <w:szCs w:val="21"/>
                <w:highlight w:val="none"/>
              </w:rPr>
              <w:t>/</w:t>
            </w:r>
            <w:r>
              <w:rPr>
                <w:rFonts w:hint="eastAsia" w:hAnsi="宋体" w:cs="宋体"/>
                <w:bCs/>
                <w:color w:val="auto"/>
                <w:kern w:val="0"/>
                <w:sz w:val="21"/>
                <w:szCs w:val="21"/>
                <w:highlight w:val="none"/>
              </w:rPr>
              <w:t>电话</w:t>
            </w:r>
          </w:p>
        </w:tc>
      </w:tr>
      <w:tr w14:paraId="2694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1ED95D15">
            <w:pPr>
              <w:pStyle w:val="14"/>
              <w:spacing w:before="156" w:after="156"/>
              <w:rPr>
                <w:rFonts w:hint="eastAsia" w:hAnsi="宋体" w:cs="宋体"/>
                <w:b/>
                <w:color w:val="auto"/>
                <w:kern w:val="0"/>
                <w:sz w:val="21"/>
                <w:szCs w:val="21"/>
                <w:highlight w:val="none"/>
              </w:rPr>
            </w:pPr>
          </w:p>
        </w:tc>
        <w:tc>
          <w:tcPr>
            <w:tcW w:w="1649" w:type="dxa"/>
            <w:vAlign w:val="center"/>
          </w:tcPr>
          <w:p w14:paraId="2A7CA930">
            <w:pPr>
              <w:pStyle w:val="14"/>
              <w:spacing w:before="156" w:after="156"/>
              <w:rPr>
                <w:rFonts w:hint="eastAsia" w:hAnsi="宋体" w:cs="宋体"/>
                <w:b/>
                <w:color w:val="auto"/>
                <w:kern w:val="0"/>
                <w:sz w:val="21"/>
                <w:szCs w:val="21"/>
                <w:highlight w:val="none"/>
              </w:rPr>
            </w:pPr>
          </w:p>
        </w:tc>
        <w:tc>
          <w:tcPr>
            <w:tcW w:w="1744" w:type="dxa"/>
            <w:vAlign w:val="center"/>
          </w:tcPr>
          <w:p w14:paraId="681AE1EB">
            <w:pPr>
              <w:pStyle w:val="14"/>
              <w:spacing w:before="156" w:after="156"/>
              <w:rPr>
                <w:rFonts w:hint="eastAsia" w:hAnsi="宋体" w:cs="宋体"/>
                <w:b/>
                <w:color w:val="auto"/>
                <w:kern w:val="0"/>
                <w:sz w:val="21"/>
                <w:szCs w:val="21"/>
                <w:highlight w:val="none"/>
              </w:rPr>
            </w:pPr>
          </w:p>
        </w:tc>
        <w:tc>
          <w:tcPr>
            <w:tcW w:w="1260" w:type="dxa"/>
            <w:vAlign w:val="center"/>
          </w:tcPr>
          <w:p w14:paraId="3D24480A">
            <w:pPr>
              <w:pStyle w:val="14"/>
              <w:spacing w:before="156" w:after="156"/>
              <w:rPr>
                <w:rFonts w:hint="eastAsia" w:hAnsi="宋体" w:cs="宋体"/>
                <w:b/>
                <w:color w:val="auto"/>
                <w:kern w:val="0"/>
                <w:sz w:val="21"/>
                <w:szCs w:val="21"/>
                <w:highlight w:val="none"/>
              </w:rPr>
            </w:pPr>
          </w:p>
        </w:tc>
        <w:tc>
          <w:tcPr>
            <w:tcW w:w="1800" w:type="dxa"/>
            <w:vAlign w:val="center"/>
          </w:tcPr>
          <w:p w14:paraId="37729B12">
            <w:pPr>
              <w:pStyle w:val="14"/>
              <w:spacing w:before="156" w:after="156"/>
              <w:rPr>
                <w:rFonts w:hint="eastAsia" w:hAnsi="宋体" w:cs="宋体"/>
                <w:b/>
                <w:color w:val="auto"/>
                <w:kern w:val="0"/>
                <w:sz w:val="21"/>
                <w:szCs w:val="21"/>
                <w:highlight w:val="none"/>
              </w:rPr>
            </w:pPr>
          </w:p>
        </w:tc>
        <w:tc>
          <w:tcPr>
            <w:tcW w:w="2194" w:type="dxa"/>
            <w:vAlign w:val="center"/>
          </w:tcPr>
          <w:p w14:paraId="3CF005AA">
            <w:pPr>
              <w:pStyle w:val="14"/>
              <w:spacing w:before="156" w:after="156"/>
              <w:rPr>
                <w:rFonts w:hint="eastAsia" w:hAnsi="宋体" w:cs="宋体"/>
                <w:b/>
                <w:color w:val="auto"/>
                <w:kern w:val="0"/>
                <w:sz w:val="21"/>
                <w:szCs w:val="21"/>
                <w:highlight w:val="none"/>
              </w:rPr>
            </w:pPr>
          </w:p>
        </w:tc>
      </w:tr>
      <w:tr w14:paraId="1363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2736BF41">
            <w:pPr>
              <w:pStyle w:val="14"/>
              <w:spacing w:before="156" w:after="156"/>
              <w:rPr>
                <w:rFonts w:hint="eastAsia" w:hAnsi="宋体" w:cs="宋体"/>
                <w:b/>
                <w:color w:val="auto"/>
                <w:kern w:val="0"/>
                <w:sz w:val="21"/>
                <w:szCs w:val="21"/>
                <w:highlight w:val="none"/>
              </w:rPr>
            </w:pPr>
          </w:p>
        </w:tc>
        <w:tc>
          <w:tcPr>
            <w:tcW w:w="1649" w:type="dxa"/>
            <w:vAlign w:val="center"/>
          </w:tcPr>
          <w:p w14:paraId="4E0D1BB8">
            <w:pPr>
              <w:pStyle w:val="14"/>
              <w:spacing w:before="156" w:after="156"/>
              <w:rPr>
                <w:rFonts w:hint="eastAsia" w:hAnsi="宋体" w:cs="宋体"/>
                <w:b/>
                <w:color w:val="auto"/>
                <w:kern w:val="0"/>
                <w:sz w:val="21"/>
                <w:szCs w:val="21"/>
                <w:highlight w:val="none"/>
              </w:rPr>
            </w:pPr>
          </w:p>
        </w:tc>
        <w:tc>
          <w:tcPr>
            <w:tcW w:w="1744" w:type="dxa"/>
            <w:vAlign w:val="center"/>
          </w:tcPr>
          <w:p w14:paraId="4DB5E1B6">
            <w:pPr>
              <w:pStyle w:val="14"/>
              <w:spacing w:before="156" w:after="156"/>
              <w:rPr>
                <w:rFonts w:hint="eastAsia" w:hAnsi="宋体" w:cs="宋体"/>
                <w:b/>
                <w:color w:val="auto"/>
                <w:kern w:val="0"/>
                <w:sz w:val="21"/>
                <w:szCs w:val="21"/>
                <w:highlight w:val="none"/>
              </w:rPr>
            </w:pPr>
          </w:p>
        </w:tc>
        <w:tc>
          <w:tcPr>
            <w:tcW w:w="1260" w:type="dxa"/>
            <w:vAlign w:val="center"/>
          </w:tcPr>
          <w:p w14:paraId="2B1BDBC8">
            <w:pPr>
              <w:pStyle w:val="14"/>
              <w:spacing w:before="156" w:after="156"/>
              <w:rPr>
                <w:rFonts w:hint="eastAsia" w:hAnsi="宋体" w:cs="宋体"/>
                <w:b/>
                <w:color w:val="auto"/>
                <w:kern w:val="0"/>
                <w:sz w:val="21"/>
                <w:szCs w:val="21"/>
                <w:highlight w:val="none"/>
              </w:rPr>
            </w:pPr>
          </w:p>
        </w:tc>
        <w:tc>
          <w:tcPr>
            <w:tcW w:w="1800" w:type="dxa"/>
            <w:vAlign w:val="center"/>
          </w:tcPr>
          <w:p w14:paraId="09DE76EA">
            <w:pPr>
              <w:pStyle w:val="14"/>
              <w:spacing w:before="156" w:after="156"/>
              <w:rPr>
                <w:rFonts w:hint="eastAsia" w:hAnsi="宋体" w:cs="宋体"/>
                <w:b/>
                <w:color w:val="auto"/>
                <w:kern w:val="0"/>
                <w:sz w:val="21"/>
                <w:szCs w:val="21"/>
                <w:highlight w:val="none"/>
              </w:rPr>
            </w:pPr>
          </w:p>
        </w:tc>
        <w:tc>
          <w:tcPr>
            <w:tcW w:w="2194" w:type="dxa"/>
            <w:vAlign w:val="center"/>
          </w:tcPr>
          <w:p w14:paraId="7B4969DD">
            <w:pPr>
              <w:pStyle w:val="14"/>
              <w:spacing w:before="156" w:after="156"/>
              <w:rPr>
                <w:rFonts w:hint="eastAsia" w:hAnsi="宋体" w:cs="宋体"/>
                <w:b/>
                <w:color w:val="auto"/>
                <w:kern w:val="0"/>
                <w:sz w:val="21"/>
                <w:szCs w:val="21"/>
                <w:highlight w:val="none"/>
              </w:rPr>
            </w:pPr>
          </w:p>
        </w:tc>
      </w:tr>
      <w:tr w14:paraId="068E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76623535">
            <w:pPr>
              <w:pStyle w:val="14"/>
              <w:spacing w:before="156" w:after="156"/>
              <w:rPr>
                <w:rFonts w:hint="eastAsia" w:hAnsi="宋体" w:cs="宋体"/>
                <w:b/>
                <w:color w:val="auto"/>
                <w:kern w:val="0"/>
                <w:sz w:val="21"/>
                <w:szCs w:val="21"/>
                <w:highlight w:val="none"/>
              </w:rPr>
            </w:pPr>
          </w:p>
        </w:tc>
        <w:tc>
          <w:tcPr>
            <w:tcW w:w="1649" w:type="dxa"/>
            <w:vAlign w:val="center"/>
          </w:tcPr>
          <w:p w14:paraId="0090573C">
            <w:pPr>
              <w:pStyle w:val="14"/>
              <w:spacing w:before="156" w:after="156"/>
              <w:rPr>
                <w:rFonts w:hint="eastAsia" w:hAnsi="宋体" w:cs="宋体"/>
                <w:b/>
                <w:color w:val="auto"/>
                <w:kern w:val="0"/>
                <w:sz w:val="21"/>
                <w:szCs w:val="21"/>
                <w:highlight w:val="none"/>
              </w:rPr>
            </w:pPr>
          </w:p>
        </w:tc>
        <w:tc>
          <w:tcPr>
            <w:tcW w:w="1744" w:type="dxa"/>
            <w:vAlign w:val="center"/>
          </w:tcPr>
          <w:p w14:paraId="062F86FA">
            <w:pPr>
              <w:pStyle w:val="14"/>
              <w:spacing w:before="156" w:after="156"/>
              <w:rPr>
                <w:rFonts w:hint="eastAsia" w:hAnsi="宋体" w:cs="宋体"/>
                <w:b/>
                <w:color w:val="auto"/>
                <w:kern w:val="0"/>
                <w:sz w:val="21"/>
                <w:szCs w:val="21"/>
                <w:highlight w:val="none"/>
              </w:rPr>
            </w:pPr>
          </w:p>
        </w:tc>
        <w:tc>
          <w:tcPr>
            <w:tcW w:w="1260" w:type="dxa"/>
            <w:vAlign w:val="center"/>
          </w:tcPr>
          <w:p w14:paraId="1CE08EBE">
            <w:pPr>
              <w:pStyle w:val="14"/>
              <w:spacing w:before="156" w:after="156"/>
              <w:rPr>
                <w:rFonts w:hint="eastAsia" w:hAnsi="宋体" w:cs="宋体"/>
                <w:b/>
                <w:color w:val="auto"/>
                <w:kern w:val="0"/>
                <w:sz w:val="21"/>
                <w:szCs w:val="21"/>
                <w:highlight w:val="none"/>
              </w:rPr>
            </w:pPr>
          </w:p>
        </w:tc>
        <w:tc>
          <w:tcPr>
            <w:tcW w:w="1800" w:type="dxa"/>
            <w:vAlign w:val="center"/>
          </w:tcPr>
          <w:p w14:paraId="52354BBC">
            <w:pPr>
              <w:pStyle w:val="14"/>
              <w:spacing w:before="156" w:after="156"/>
              <w:rPr>
                <w:rFonts w:hint="eastAsia" w:hAnsi="宋体" w:cs="宋体"/>
                <w:b/>
                <w:color w:val="auto"/>
                <w:kern w:val="0"/>
                <w:sz w:val="21"/>
                <w:szCs w:val="21"/>
                <w:highlight w:val="none"/>
              </w:rPr>
            </w:pPr>
          </w:p>
        </w:tc>
        <w:tc>
          <w:tcPr>
            <w:tcW w:w="2194" w:type="dxa"/>
            <w:vAlign w:val="center"/>
          </w:tcPr>
          <w:p w14:paraId="035A4F52">
            <w:pPr>
              <w:pStyle w:val="14"/>
              <w:spacing w:before="156" w:after="156"/>
              <w:rPr>
                <w:rFonts w:hint="eastAsia" w:hAnsi="宋体" w:cs="宋体"/>
                <w:b/>
                <w:color w:val="auto"/>
                <w:kern w:val="0"/>
                <w:sz w:val="21"/>
                <w:szCs w:val="21"/>
                <w:highlight w:val="none"/>
              </w:rPr>
            </w:pPr>
          </w:p>
        </w:tc>
      </w:tr>
      <w:tr w14:paraId="2A97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7EE5E845">
            <w:pPr>
              <w:pStyle w:val="14"/>
              <w:spacing w:before="156" w:after="156"/>
              <w:rPr>
                <w:rFonts w:hint="eastAsia" w:hAnsi="宋体" w:cs="宋体"/>
                <w:b/>
                <w:color w:val="auto"/>
                <w:kern w:val="0"/>
                <w:sz w:val="21"/>
                <w:szCs w:val="21"/>
                <w:highlight w:val="none"/>
              </w:rPr>
            </w:pPr>
          </w:p>
        </w:tc>
        <w:tc>
          <w:tcPr>
            <w:tcW w:w="1649" w:type="dxa"/>
            <w:vAlign w:val="center"/>
          </w:tcPr>
          <w:p w14:paraId="7395C42F">
            <w:pPr>
              <w:pStyle w:val="14"/>
              <w:spacing w:before="156" w:after="156"/>
              <w:rPr>
                <w:rFonts w:hint="eastAsia" w:hAnsi="宋体" w:cs="宋体"/>
                <w:b/>
                <w:color w:val="auto"/>
                <w:kern w:val="0"/>
                <w:sz w:val="21"/>
                <w:szCs w:val="21"/>
                <w:highlight w:val="none"/>
              </w:rPr>
            </w:pPr>
          </w:p>
        </w:tc>
        <w:tc>
          <w:tcPr>
            <w:tcW w:w="1744" w:type="dxa"/>
            <w:vAlign w:val="center"/>
          </w:tcPr>
          <w:p w14:paraId="10C48171">
            <w:pPr>
              <w:pStyle w:val="14"/>
              <w:spacing w:before="156" w:after="156"/>
              <w:rPr>
                <w:rFonts w:hint="eastAsia" w:hAnsi="宋体" w:cs="宋体"/>
                <w:b/>
                <w:color w:val="auto"/>
                <w:kern w:val="0"/>
                <w:sz w:val="21"/>
                <w:szCs w:val="21"/>
                <w:highlight w:val="none"/>
              </w:rPr>
            </w:pPr>
          </w:p>
        </w:tc>
        <w:tc>
          <w:tcPr>
            <w:tcW w:w="1260" w:type="dxa"/>
            <w:vAlign w:val="center"/>
          </w:tcPr>
          <w:p w14:paraId="3E049F05">
            <w:pPr>
              <w:pStyle w:val="14"/>
              <w:spacing w:before="156" w:after="156"/>
              <w:rPr>
                <w:rFonts w:hint="eastAsia" w:hAnsi="宋体" w:cs="宋体"/>
                <w:b/>
                <w:color w:val="auto"/>
                <w:kern w:val="0"/>
                <w:sz w:val="21"/>
                <w:szCs w:val="21"/>
                <w:highlight w:val="none"/>
              </w:rPr>
            </w:pPr>
          </w:p>
        </w:tc>
        <w:tc>
          <w:tcPr>
            <w:tcW w:w="1800" w:type="dxa"/>
            <w:vAlign w:val="center"/>
          </w:tcPr>
          <w:p w14:paraId="1E86CFD1">
            <w:pPr>
              <w:pStyle w:val="14"/>
              <w:spacing w:before="156" w:after="156"/>
              <w:rPr>
                <w:rFonts w:hint="eastAsia" w:hAnsi="宋体" w:cs="宋体"/>
                <w:b/>
                <w:color w:val="auto"/>
                <w:kern w:val="0"/>
                <w:sz w:val="21"/>
                <w:szCs w:val="21"/>
                <w:highlight w:val="none"/>
              </w:rPr>
            </w:pPr>
          </w:p>
        </w:tc>
        <w:tc>
          <w:tcPr>
            <w:tcW w:w="2194" w:type="dxa"/>
            <w:vAlign w:val="center"/>
          </w:tcPr>
          <w:p w14:paraId="658FA11D">
            <w:pPr>
              <w:pStyle w:val="14"/>
              <w:spacing w:before="156" w:after="156"/>
              <w:rPr>
                <w:rFonts w:hint="eastAsia" w:hAnsi="宋体" w:cs="宋体"/>
                <w:b/>
                <w:color w:val="auto"/>
                <w:kern w:val="0"/>
                <w:sz w:val="21"/>
                <w:szCs w:val="21"/>
                <w:highlight w:val="none"/>
              </w:rPr>
            </w:pPr>
          </w:p>
        </w:tc>
      </w:tr>
      <w:tr w14:paraId="1941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4F7DDCB3">
            <w:pPr>
              <w:pStyle w:val="14"/>
              <w:spacing w:before="156" w:after="156"/>
              <w:rPr>
                <w:rFonts w:hint="eastAsia" w:hAnsi="宋体" w:cs="宋体"/>
                <w:b/>
                <w:color w:val="auto"/>
                <w:kern w:val="0"/>
                <w:sz w:val="21"/>
                <w:szCs w:val="21"/>
                <w:highlight w:val="none"/>
              </w:rPr>
            </w:pPr>
          </w:p>
        </w:tc>
        <w:tc>
          <w:tcPr>
            <w:tcW w:w="1649" w:type="dxa"/>
            <w:vAlign w:val="center"/>
          </w:tcPr>
          <w:p w14:paraId="4381FAF3">
            <w:pPr>
              <w:pStyle w:val="14"/>
              <w:spacing w:before="156" w:after="156"/>
              <w:rPr>
                <w:rFonts w:hint="eastAsia" w:hAnsi="宋体" w:cs="宋体"/>
                <w:b/>
                <w:color w:val="auto"/>
                <w:kern w:val="0"/>
                <w:sz w:val="21"/>
                <w:szCs w:val="21"/>
                <w:highlight w:val="none"/>
              </w:rPr>
            </w:pPr>
          </w:p>
        </w:tc>
        <w:tc>
          <w:tcPr>
            <w:tcW w:w="1744" w:type="dxa"/>
            <w:vAlign w:val="center"/>
          </w:tcPr>
          <w:p w14:paraId="61F84C74">
            <w:pPr>
              <w:pStyle w:val="14"/>
              <w:spacing w:before="156" w:after="156"/>
              <w:rPr>
                <w:rFonts w:hint="eastAsia" w:hAnsi="宋体" w:cs="宋体"/>
                <w:b/>
                <w:color w:val="auto"/>
                <w:kern w:val="0"/>
                <w:sz w:val="21"/>
                <w:szCs w:val="21"/>
                <w:highlight w:val="none"/>
              </w:rPr>
            </w:pPr>
          </w:p>
        </w:tc>
        <w:tc>
          <w:tcPr>
            <w:tcW w:w="1260" w:type="dxa"/>
            <w:vAlign w:val="center"/>
          </w:tcPr>
          <w:p w14:paraId="107413CE">
            <w:pPr>
              <w:pStyle w:val="14"/>
              <w:spacing w:before="156" w:after="156"/>
              <w:rPr>
                <w:rFonts w:hint="eastAsia" w:hAnsi="宋体" w:cs="宋体"/>
                <w:b/>
                <w:color w:val="auto"/>
                <w:kern w:val="0"/>
                <w:sz w:val="21"/>
                <w:szCs w:val="21"/>
                <w:highlight w:val="none"/>
              </w:rPr>
            </w:pPr>
          </w:p>
        </w:tc>
        <w:tc>
          <w:tcPr>
            <w:tcW w:w="1800" w:type="dxa"/>
            <w:vAlign w:val="center"/>
          </w:tcPr>
          <w:p w14:paraId="39F85413">
            <w:pPr>
              <w:pStyle w:val="14"/>
              <w:spacing w:before="156" w:after="156"/>
              <w:rPr>
                <w:rFonts w:hint="eastAsia" w:hAnsi="宋体" w:cs="宋体"/>
                <w:b/>
                <w:color w:val="auto"/>
                <w:kern w:val="0"/>
                <w:sz w:val="21"/>
                <w:szCs w:val="21"/>
                <w:highlight w:val="none"/>
              </w:rPr>
            </w:pPr>
          </w:p>
        </w:tc>
        <w:tc>
          <w:tcPr>
            <w:tcW w:w="2194" w:type="dxa"/>
            <w:vAlign w:val="center"/>
          </w:tcPr>
          <w:p w14:paraId="5ACA8CA8">
            <w:pPr>
              <w:pStyle w:val="14"/>
              <w:spacing w:before="156" w:after="156"/>
              <w:rPr>
                <w:rFonts w:hint="eastAsia" w:hAnsi="宋体" w:cs="宋体"/>
                <w:b/>
                <w:color w:val="auto"/>
                <w:kern w:val="0"/>
                <w:sz w:val="21"/>
                <w:szCs w:val="21"/>
                <w:highlight w:val="none"/>
              </w:rPr>
            </w:pPr>
          </w:p>
        </w:tc>
      </w:tr>
      <w:tr w14:paraId="1533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5A5FA0CA">
            <w:pPr>
              <w:pStyle w:val="14"/>
              <w:spacing w:before="156" w:after="156"/>
              <w:rPr>
                <w:rFonts w:hint="eastAsia" w:hAnsi="宋体" w:cs="宋体"/>
                <w:b/>
                <w:color w:val="auto"/>
                <w:kern w:val="0"/>
                <w:sz w:val="21"/>
                <w:szCs w:val="21"/>
                <w:highlight w:val="none"/>
              </w:rPr>
            </w:pPr>
          </w:p>
        </w:tc>
        <w:tc>
          <w:tcPr>
            <w:tcW w:w="1649" w:type="dxa"/>
            <w:vAlign w:val="center"/>
          </w:tcPr>
          <w:p w14:paraId="6EA57A9B">
            <w:pPr>
              <w:pStyle w:val="14"/>
              <w:spacing w:before="156" w:after="156"/>
              <w:rPr>
                <w:rFonts w:hint="eastAsia" w:hAnsi="宋体" w:cs="宋体"/>
                <w:b/>
                <w:color w:val="auto"/>
                <w:kern w:val="0"/>
                <w:sz w:val="21"/>
                <w:szCs w:val="21"/>
                <w:highlight w:val="none"/>
              </w:rPr>
            </w:pPr>
          </w:p>
        </w:tc>
        <w:tc>
          <w:tcPr>
            <w:tcW w:w="1744" w:type="dxa"/>
            <w:vAlign w:val="center"/>
          </w:tcPr>
          <w:p w14:paraId="658F10F3">
            <w:pPr>
              <w:pStyle w:val="14"/>
              <w:spacing w:before="156" w:after="156"/>
              <w:rPr>
                <w:rFonts w:hint="eastAsia" w:hAnsi="宋体" w:cs="宋体"/>
                <w:b/>
                <w:color w:val="auto"/>
                <w:kern w:val="0"/>
                <w:sz w:val="21"/>
                <w:szCs w:val="21"/>
                <w:highlight w:val="none"/>
              </w:rPr>
            </w:pPr>
          </w:p>
        </w:tc>
        <w:tc>
          <w:tcPr>
            <w:tcW w:w="1260" w:type="dxa"/>
            <w:vAlign w:val="center"/>
          </w:tcPr>
          <w:p w14:paraId="5EF4BEF0">
            <w:pPr>
              <w:pStyle w:val="14"/>
              <w:spacing w:before="156" w:after="156"/>
              <w:rPr>
                <w:rFonts w:hint="eastAsia" w:hAnsi="宋体" w:cs="宋体"/>
                <w:b/>
                <w:color w:val="auto"/>
                <w:kern w:val="0"/>
                <w:sz w:val="21"/>
                <w:szCs w:val="21"/>
                <w:highlight w:val="none"/>
              </w:rPr>
            </w:pPr>
          </w:p>
        </w:tc>
        <w:tc>
          <w:tcPr>
            <w:tcW w:w="1800" w:type="dxa"/>
            <w:vAlign w:val="center"/>
          </w:tcPr>
          <w:p w14:paraId="47937EFA">
            <w:pPr>
              <w:pStyle w:val="14"/>
              <w:spacing w:before="156" w:after="156"/>
              <w:rPr>
                <w:rFonts w:hint="eastAsia" w:hAnsi="宋体" w:cs="宋体"/>
                <w:b/>
                <w:color w:val="auto"/>
                <w:kern w:val="0"/>
                <w:sz w:val="21"/>
                <w:szCs w:val="21"/>
                <w:highlight w:val="none"/>
              </w:rPr>
            </w:pPr>
          </w:p>
        </w:tc>
        <w:tc>
          <w:tcPr>
            <w:tcW w:w="2194" w:type="dxa"/>
            <w:vAlign w:val="center"/>
          </w:tcPr>
          <w:p w14:paraId="16BD8419">
            <w:pPr>
              <w:pStyle w:val="14"/>
              <w:spacing w:before="156" w:after="156"/>
              <w:rPr>
                <w:rFonts w:hint="eastAsia" w:hAnsi="宋体" w:cs="宋体"/>
                <w:b/>
                <w:color w:val="auto"/>
                <w:kern w:val="0"/>
                <w:sz w:val="21"/>
                <w:szCs w:val="21"/>
                <w:highlight w:val="none"/>
              </w:rPr>
            </w:pPr>
          </w:p>
        </w:tc>
      </w:tr>
      <w:tr w14:paraId="0F5F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2AABF89C">
            <w:pPr>
              <w:pStyle w:val="14"/>
              <w:spacing w:before="156" w:after="156"/>
              <w:rPr>
                <w:rFonts w:hint="eastAsia" w:hAnsi="宋体" w:cs="宋体"/>
                <w:b/>
                <w:color w:val="auto"/>
                <w:kern w:val="0"/>
                <w:sz w:val="21"/>
                <w:szCs w:val="21"/>
                <w:highlight w:val="none"/>
              </w:rPr>
            </w:pPr>
          </w:p>
        </w:tc>
        <w:tc>
          <w:tcPr>
            <w:tcW w:w="1649" w:type="dxa"/>
            <w:vAlign w:val="center"/>
          </w:tcPr>
          <w:p w14:paraId="1504D0C8">
            <w:pPr>
              <w:pStyle w:val="14"/>
              <w:spacing w:before="156" w:after="156"/>
              <w:rPr>
                <w:rFonts w:hint="eastAsia" w:hAnsi="宋体" w:cs="宋体"/>
                <w:b/>
                <w:color w:val="auto"/>
                <w:kern w:val="0"/>
                <w:sz w:val="21"/>
                <w:szCs w:val="21"/>
                <w:highlight w:val="none"/>
              </w:rPr>
            </w:pPr>
          </w:p>
        </w:tc>
        <w:tc>
          <w:tcPr>
            <w:tcW w:w="1744" w:type="dxa"/>
            <w:vAlign w:val="center"/>
          </w:tcPr>
          <w:p w14:paraId="28868A65">
            <w:pPr>
              <w:pStyle w:val="14"/>
              <w:spacing w:before="156" w:after="156"/>
              <w:rPr>
                <w:rFonts w:hint="eastAsia" w:hAnsi="宋体" w:cs="宋体"/>
                <w:b/>
                <w:color w:val="auto"/>
                <w:kern w:val="0"/>
                <w:sz w:val="21"/>
                <w:szCs w:val="21"/>
                <w:highlight w:val="none"/>
              </w:rPr>
            </w:pPr>
          </w:p>
        </w:tc>
        <w:tc>
          <w:tcPr>
            <w:tcW w:w="1260" w:type="dxa"/>
            <w:vAlign w:val="center"/>
          </w:tcPr>
          <w:p w14:paraId="5BBE0405">
            <w:pPr>
              <w:pStyle w:val="14"/>
              <w:spacing w:before="156" w:after="156"/>
              <w:rPr>
                <w:rFonts w:hint="eastAsia" w:hAnsi="宋体" w:cs="宋体"/>
                <w:b/>
                <w:color w:val="auto"/>
                <w:kern w:val="0"/>
                <w:sz w:val="21"/>
                <w:szCs w:val="21"/>
                <w:highlight w:val="none"/>
              </w:rPr>
            </w:pPr>
          </w:p>
        </w:tc>
        <w:tc>
          <w:tcPr>
            <w:tcW w:w="1800" w:type="dxa"/>
            <w:vAlign w:val="center"/>
          </w:tcPr>
          <w:p w14:paraId="13FB8B10">
            <w:pPr>
              <w:pStyle w:val="14"/>
              <w:spacing w:before="156" w:after="156"/>
              <w:rPr>
                <w:rFonts w:hint="eastAsia" w:hAnsi="宋体" w:cs="宋体"/>
                <w:b/>
                <w:color w:val="auto"/>
                <w:kern w:val="0"/>
                <w:sz w:val="21"/>
                <w:szCs w:val="21"/>
                <w:highlight w:val="none"/>
              </w:rPr>
            </w:pPr>
          </w:p>
        </w:tc>
        <w:tc>
          <w:tcPr>
            <w:tcW w:w="2194" w:type="dxa"/>
            <w:vAlign w:val="center"/>
          </w:tcPr>
          <w:p w14:paraId="23E46FAA">
            <w:pPr>
              <w:pStyle w:val="14"/>
              <w:spacing w:before="156" w:after="156"/>
              <w:rPr>
                <w:rFonts w:hint="eastAsia" w:hAnsi="宋体" w:cs="宋体"/>
                <w:b/>
                <w:color w:val="auto"/>
                <w:kern w:val="0"/>
                <w:sz w:val="21"/>
                <w:szCs w:val="21"/>
                <w:highlight w:val="none"/>
              </w:rPr>
            </w:pPr>
          </w:p>
        </w:tc>
      </w:tr>
      <w:tr w14:paraId="76D4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vAlign w:val="center"/>
          </w:tcPr>
          <w:p w14:paraId="165C9D8E">
            <w:pPr>
              <w:pStyle w:val="14"/>
              <w:spacing w:before="156" w:after="156"/>
              <w:rPr>
                <w:rFonts w:hint="eastAsia" w:hAnsi="宋体" w:cs="宋体"/>
                <w:b/>
                <w:color w:val="auto"/>
                <w:kern w:val="0"/>
                <w:sz w:val="21"/>
                <w:szCs w:val="21"/>
                <w:highlight w:val="none"/>
              </w:rPr>
            </w:pPr>
          </w:p>
        </w:tc>
        <w:tc>
          <w:tcPr>
            <w:tcW w:w="1649" w:type="dxa"/>
            <w:vAlign w:val="center"/>
          </w:tcPr>
          <w:p w14:paraId="717C5848">
            <w:pPr>
              <w:pStyle w:val="14"/>
              <w:spacing w:before="156" w:after="156"/>
              <w:rPr>
                <w:rFonts w:hint="eastAsia" w:hAnsi="宋体" w:cs="宋体"/>
                <w:b/>
                <w:color w:val="auto"/>
                <w:kern w:val="0"/>
                <w:sz w:val="21"/>
                <w:szCs w:val="21"/>
                <w:highlight w:val="none"/>
              </w:rPr>
            </w:pPr>
          </w:p>
        </w:tc>
        <w:tc>
          <w:tcPr>
            <w:tcW w:w="1744" w:type="dxa"/>
            <w:vAlign w:val="center"/>
          </w:tcPr>
          <w:p w14:paraId="522C5A61">
            <w:pPr>
              <w:pStyle w:val="14"/>
              <w:spacing w:before="156" w:after="156"/>
              <w:rPr>
                <w:rFonts w:hint="eastAsia" w:hAnsi="宋体" w:cs="宋体"/>
                <w:b/>
                <w:color w:val="auto"/>
                <w:kern w:val="0"/>
                <w:sz w:val="21"/>
                <w:szCs w:val="21"/>
                <w:highlight w:val="none"/>
              </w:rPr>
            </w:pPr>
          </w:p>
        </w:tc>
        <w:tc>
          <w:tcPr>
            <w:tcW w:w="1260" w:type="dxa"/>
            <w:vAlign w:val="center"/>
          </w:tcPr>
          <w:p w14:paraId="58AB52DD">
            <w:pPr>
              <w:pStyle w:val="14"/>
              <w:spacing w:before="156" w:after="156"/>
              <w:rPr>
                <w:rFonts w:hint="eastAsia" w:hAnsi="宋体" w:cs="宋体"/>
                <w:b/>
                <w:color w:val="auto"/>
                <w:kern w:val="0"/>
                <w:sz w:val="21"/>
                <w:szCs w:val="21"/>
                <w:highlight w:val="none"/>
              </w:rPr>
            </w:pPr>
          </w:p>
        </w:tc>
        <w:tc>
          <w:tcPr>
            <w:tcW w:w="1800" w:type="dxa"/>
            <w:vAlign w:val="center"/>
          </w:tcPr>
          <w:p w14:paraId="689623DF">
            <w:pPr>
              <w:pStyle w:val="14"/>
              <w:spacing w:before="156" w:after="156"/>
              <w:rPr>
                <w:rFonts w:hint="eastAsia" w:hAnsi="宋体" w:cs="宋体"/>
                <w:b/>
                <w:color w:val="auto"/>
                <w:kern w:val="0"/>
                <w:sz w:val="21"/>
                <w:szCs w:val="21"/>
                <w:highlight w:val="none"/>
              </w:rPr>
            </w:pPr>
          </w:p>
        </w:tc>
        <w:tc>
          <w:tcPr>
            <w:tcW w:w="2194" w:type="dxa"/>
            <w:vAlign w:val="center"/>
          </w:tcPr>
          <w:p w14:paraId="07D62C99">
            <w:pPr>
              <w:pStyle w:val="14"/>
              <w:spacing w:before="156" w:after="156"/>
              <w:rPr>
                <w:rFonts w:hint="eastAsia" w:hAnsi="宋体" w:cs="宋体"/>
                <w:b/>
                <w:color w:val="auto"/>
                <w:kern w:val="0"/>
                <w:sz w:val="21"/>
                <w:szCs w:val="21"/>
                <w:highlight w:val="none"/>
              </w:rPr>
            </w:pPr>
          </w:p>
        </w:tc>
      </w:tr>
    </w:tbl>
    <w:p w14:paraId="65E0EE69">
      <w:pPr>
        <w:pStyle w:val="14"/>
        <w:spacing w:beforeLines="0" w:afterLines="0" w:line="360" w:lineRule="auto"/>
        <w:rPr>
          <w:rFonts w:hint="eastAsia" w:hAnsi="宋体" w:cs="宋体"/>
          <w:b/>
          <w:bCs/>
          <w:color w:val="auto"/>
          <w:kern w:val="0"/>
          <w:sz w:val="21"/>
          <w:szCs w:val="21"/>
          <w:highlight w:val="none"/>
        </w:rPr>
      </w:pPr>
      <w:r>
        <w:rPr>
          <w:rFonts w:hint="eastAsia" w:hAnsi="宋体" w:cs="宋体"/>
          <w:bCs/>
          <w:color w:val="auto"/>
          <w:kern w:val="0"/>
          <w:sz w:val="21"/>
          <w:szCs w:val="21"/>
          <w:highlight w:val="none"/>
        </w:rPr>
        <w:t>注：</w:t>
      </w:r>
      <w:r>
        <w:rPr>
          <w:rFonts w:hAnsi="宋体" w:cs="宋体"/>
          <w:bCs/>
          <w:color w:val="auto"/>
          <w:kern w:val="0"/>
          <w:sz w:val="21"/>
          <w:szCs w:val="21"/>
          <w:highlight w:val="none"/>
        </w:rPr>
        <w:t>1.</w:t>
      </w:r>
      <w:r>
        <w:rPr>
          <w:rFonts w:hint="eastAsia" w:hAnsi="宋体" w:cs="宋体"/>
          <w:bCs/>
          <w:color w:val="auto"/>
          <w:kern w:val="0"/>
          <w:sz w:val="21"/>
          <w:szCs w:val="21"/>
          <w:highlight w:val="none"/>
        </w:rPr>
        <w:t>表中业绩参照“第四章</w:t>
      </w:r>
      <w:r>
        <w:rPr>
          <w:rFonts w:hAnsi="宋体" w:cs="宋体"/>
          <w:bCs/>
          <w:color w:val="auto"/>
          <w:kern w:val="0"/>
          <w:sz w:val="21"/>
          <w:szCs w:val="21"/>
          <w:highlight w:val="none"/>
        </w:rPr>
        <w:t xml:space="preserve"> </w:t>
      </w:r>
      <w:r>
        <w:rPr>
          <w:rFonts w:hint="eastAsia" w:hAnsi="宋体" w:cs="宋体"/>
          <w:bCs/>
          <w:color w:val="auto"/>
          <w:kern w:val="0"/>
          <w:sz w:val="21"/>
          <w:szCs w:val="21"/>
          <w:highlight w:val="none"/>
        </w:rPr>
        <w:t>磋商评审办法”中要求提供，并附上每个业绩相关材料。</w:t>
      </w:r>
    </w:p>
    <w:p w14:paraId="0CA1C843">
      <w:pPr>
        <w:pStyle w:val="14"/>
        <w:spacing w:beforeLines="0" w:afterLines="0" w:line="360" w:lineRule="auto"/>
        <w:ind w:firstLine="420" w:firstLineChars="200"/>
        <w:rPr>
          <w:rFonts w:hint="eastAsia" w:hAnsi="宋体" w:cs="宋体"/>
          <w:b/>
          <w:bCs/>
          <w:color w:val="auto"/>
          <w:kern w:val="0"/>
          <w:sz w:val="21"/>
          <w:szCs w:val="21"/>
          <w:highlight w:val="none"/>
        </w:rPr>
      </w:pPr>
      <w:r>
        <w:rPr>
          <w:rFonts w:hAnsi="宋体" w:cs="宋体"/>
          <w:bCs/>
          <w:color w:val="auto"/>
          <w:kern w:val="0"/>
          <w:sz w:val="21"/>
          <w:szCs w:val="21"/>
          <w:highlight w:val="none"/>
        </w:rPr>
        <w:t>2.</w:t>
      </w:r>
      <w:r>
        <w:rPr>
          <w:rFonts w:hint="eastAsia" w:hAnsi="宋体" w:cs="宋体"/>
          <w:bCs/>
          <w:color w:val="auto"/>
          <w:kern w:val="0"/>
          <w:sz w:val="21"/>
          <w:szCs w:val="21"/>
          <w:highlight w:val="none"/>
        </w:rPr>
        <w:t>供应商承诺提供的上述业绩相关材料真实不假，否则作为磋商响应文件提供虚假材料，按照采购文件相关条款处理，承担一切责任。</w:t>
      </w:r>
    </w:p>
    <w:p w14:paraId="721781D8">
      <w:pPr>
        <w:spacing w:line="480" w:lineRule="auto"/>
        <w:ind w:right="840"/>
        <w:jc w:val="center"/>
        <w:rPr>
          <w:rFonts w:ascii="宋体" w:cs="宋体"/>
          <w:b/>
          <w:color w:val="auto"/>
          <w:szCs w:val="21"/>
          <w:highlight w:val="none"/>
          <w:lang w:val="zh-CN"/>
        </w:rPr>
      </w:pPr>
      <w:r>
        <w:rPr>
          <w:rFonts w:ascii="宋体" w:hAnsi="宋体" w:cs="宋体"/>
          <w:b/>
          <w:color w:val="auto"/>
          <w:szCs w:val="21"/>
          <w:highlight w:val="none"/>
          <w:lang w:val="zh-CN"/>
        </w:rPr>
        <w:t xml:space="preserve">                   </w:t>
      </w:r>
    </w:p>
    <w:p w14:paraId="4F02D12C">
      <w:pPr>
        <w:spacing w:line="480" w:lineRule="auto"/>
        <w:ind w:right="840"/>
        <w:jc w:val="center"/>
        <w:rPr>
          <w:rFonts w:ascii="宋体" w:cs="宋体"/>
          <w:b/>
          <w:color w:val="auto"/>
          <w:szCs w:val="21"/>
          <w:highlight w:val="none"/>
          <w:lang w:val="zh-CN"/>
        </w:rPr>
      </w:pPr>
      <w:r>
        <w:rPr>
          <w:rFonts w:ascii="宋体" w:hAnsi="宋体" w:cs="宋体"/>
          <w:b/>
          <w:color w:val="auto"/>
          <w:szCs w:val="21"/>
          <w:highlight w:val="none"/>
          <w:lang w:val="zh-CN"/>
        </w:rPr>
        <w:t xml:space="preserve">                    </w:t>
      </w:r>
      <w:r>
        <w:rPr>
          <w:rFonts w:ascii="宋体" w:hAnsi="宋体" w:cs="宋体"/>
          <w:b/>
          <w:color w:val="auto"/>
          <w:szCs w:val="21"/>
          <w:highlight w:val="none"/>
        </w:rPr>
        <w:t xml:space="preserve">     </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供应商（盖单位章）：</w:t>
      </w:r>
      <w:r>
        <w:rPr>
          <w:rFonts w:ascii="宋体" w:hAnsi="宋体" w:cs="宋体"/>
          <w:b/>
          <w:color w:val="auto"/>
          <w:szCs w:val="21"/>
          <w:highlight w:val="none"/>
          <w:lang w:val="zh-CN"/>
        </w:rPr>
        <w:t xml:space="preserve"> </w:t>
      </w:r>
    </w:p>
    <w:p w14:paraId="6F473EB7">
      <w:pPr>
        <w:spacing w:line="480" w:lineRule="auto"/>
        <w:ind w:right="420" w:firstLine="5692" w:firstLineChars="2700"/>
        <w:rPr>
          <w:rFonts w:ascii="宋体" w:cs="宋体"/>
          <w:b/>
          <w:color w:val="auto"/>
          <w:szCs w:val="21"/>
          <w:highlight w:val="none"/>
          <w:lang w:val="zh-CN"/>
        </w:rPr>
      </w:pPr>
      <w:r>
        <w:rPr>
          <w:rFonts w:hint="eastAsia" w:ascii="宋体" w:hAnsi="宋体" w:cs="宋体"/>
          <w:b/>
          <w:color w:val="auto"/>
          <w:szCs w:val="21"/>
          <w:highlight w:val="none"/>
          <w:lang w:val="zh-CN"/>
        </w:rPr>
        <w:t>日</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期：</w:t>
      </w:r>
    </w:p>
    <w:p w14:paraId="3F63C102">
      <w:pPr>
        <w:rPr>
          <w:rFonts w:ascii="宋体" w:cs="宋体"/>
          <w:b/>
          <w:color w:val="auto"/>
          <w:szCs w:val="21"/>
          <w:highlight w:val="none"/>
          <w:lang w:val="zh-CN"/>
        </w:rPr>
      </w:pPr>
      <w:r>
        <w:rPr>
          <w:rFonts w:ascii="宋体" w:cs="宋体"/>
          <w:b/>
          <w:color w:val="auto"/>
          <w:szCs w:val="21"/>
          <w:highlight w:val="none"/>
          <w:lang w:val="zh-CN"/>
        </w:rPr>
        <w:br w:type="page"/>
      </w:r>
    </w:p>
    <w:p w14:paraId="17446C47">
      <w:pPr>
        <w:pStyle w:val="11"/>
        <w:ind w:left="0"/>
        <w:rPr>
          <w:color w:val="auto"/>
          <w:highlight w:val="none"/>
        </w:rPr>
      </w:pPr>
      <w:r>
        <w:rPr>
          <w:rFonts w:hint="eastAsia" w:ascii="宋体" w:hAnsi="宋体" w:cs="宋体"/>
          <w:b/>
          <w:bCs/>
          <w:color w:val="auto"/>
          <w:sz w:val="24"/>
          <w:highlight w:val="none"/>
        </w:rPr>
        <w:t>附件</w:t>
      </w:r>
      <w:r>
        <w:rPr>
          <w:rFonts w:ascii="宋体" w:hAnsi="宋体" w:cs="宋体"/>
          <w:b/>
          <w:bCs/>
          <w:color w:val="auto"/>
          <w:sz w:val="24"/>
          <w:highlight w:val="none"/>
        </w:rPr>
        <w:t>10</w:t>
      </w:r>
      <w:r>
        <w:rPr>
          <w:rFonts w:hint="eastAsia" w:ascii="宋体" w:hAnsi="宋体" w:cs="宋体"/>
          <w:b/>
          <w:bCs/>
          <w:color w:val="auto"/>
          <w:sz w:val="24"/>
          <w:highlight w:val="none"/>
        </w:rPr>
        <w:t>：</w:t>
      </w:r>
    </w:p>
    <w:p w14:paraId="7E4A2605">
      <w:pPr>
        <w:pStyle w:val="36"/>
        <w:rPr>
          <w:color w:val="auto"/>
          <w:highlight w:val="none"/>
        </w:rPr>
      </w:pPr>
    </w:p>
    <w:p w14:paraId="1E66CD0C">
      <w:pPr>
        <w:pStyle w:val="14"/>
        <w:adjustRightInd w:val="0"/>
        <w:snapToGrid w:val="0"/>
        <w:spacing w:before="156" w:after="156"/>
        <w:jc w:val="center"/>
        <w:rPr>
          <w:rFonts w:hint="eastAsia" w:hAnsi="宋体"/>
          <w:b/>
          <w:color w:val="auto"/>
          <w:sz w:val="28"/>
          <w:szCs w:val="28"/>
          <w:highlight w:val="none"/>
        </w:rPr>
      </w:pPr>
      <w:r>
        <w:rPr>
          <w:rFonts w:hint="eastAsia" w:hAnsi="宋体"/>
          <w:b/>
          <w:color w:val="auto"/>
          <w:sz w:val="28"/>
          <w:szCs w:val="28"/>
          <w:highlight w:val="none"/>
        </w:rPr>
        <w:t>项目负责人简历表</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0F3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06AE1770">
            <w:pPr>
              <w:autoSpaceDE w:val="0"/>
              <w:autoSpaceDN w:val="0"/>
              <w:adjustRightInd w:val="0"/>
              <w:snapToGrid w:val="0"/>
              <w:spacing w:line="360" w:lineRule="auto"/>
              <w:jc w:val="center"/>
              <w:rPr>
                <w:rFonts w:ascii="宋体" w:cs="宋体"/>
                <w:b/>
                <w:bCs/>
                <w:color w:val="auto"/>
                <w:szCs w:val="21"/>
                <w:highlight w:val="none"/>
                <w:lang w:val="zh-CN"/>
              </w:rPr>
            </w:pPr>
            <w:r>
              <w:rPr>
                <w:rFonts w:hint="eastAsia" w:ascii="宋体" w:hAnsi="宋体" w:cs="宋体"/>
                <w:b/>
                <w:bCs/>
                <w:color w:val="auto"/>
                <w:szCs w:val="21"/>
                <w:highlight w:val="none"/>
                <w:lang w:val="zh-CN"/>
              </w:rPr>
              <w:t>姓名</w:t>
            </w:r>
          </w:p>
        </w:tc>
        <w:tc>
          <w:tcPr>
            <w:tcW w:w="2967" w:type="dxa"/>
            <w:tcBorders>
              <w:top w:val="single" w:color="auto" w:sz="12" w:space="0"/>
            </w:tcBorders>
            <w:vAlign w:val="center"/>
          </w:tcPr>
          <w:p w14:paraId="3A404CD9">
            <w:pPr>
              <w:autoSpaceDE w:val="0"/>
              <w:autoSpaceDN w:val="0"/>
              <w:adjustRightInd w:val="0"/>
              <w:snapToGrid w:val="0"/>
              <w:spacing w:line="360" w:lineRule="auto"/>
              <w:jc w:val="center"/>
              <w:rPr>
                <w:rFonts w:ascii="宋体" w:cs="宋体"/>
                <w:color w:val="auto"/>
                <w:szCs w:val="21"/>
                <w:highlight w:val="none"/>
                <w:lang w:val="zh-CN"/>
              </w:rPr>
            </w:pPr>
          </w:p>
        </w:tc>
        <w:tc>
          <w:tcPr>
            <w:tcW w:w="3685" w:type="dxa"/>
            <w:tcBorders>
              <w:top w:val="single" w:color="auto" w:sz="12" w:space="0"/>
              <w:right w:val="single" w:color="auto" w:sz="12" w:space="0"/>
            </w:tcBorders>
            <w:vAlign w:val="center"/>
          </w:tcPr>
          <w:p w14:paraId="66EC6F8F">
            <w:pPr>
              <w:autoSpaceDE w:val="0"/>
              <w:autoSpaceDN w:val="0"/>
              <w:adjustRightInd w:val="0"/>
              <w:snapToGrid w:val="0"/>
              <w:spacing w:line="360" w:lineRule="auto"/>
              <w:jc w:val="center"/>
              <w:rPr>
                <w:rFonts w:ascii="宋体" w:cs="宋体"/>
                <w:b/>
                <w:bCs/>
                <w:color w:val="auto"/>
                <w:szCs w:val="21"/>
                <w:highlight w:val="none"/>
                <w:lang w:val="zh-CN"/>
              </w:rPr>
            </w:pPr>
            <w:r>
              <w:rPr>
                <w:rFonts w:hint="eastAsia" w:ascii="宋体" w:hAnsi="宋体" w:cs="宋体"/>
                <w:b/>
                <w:bCs/>
                <w:color w:val="auto"/>
                <w:szCs w:val="21"/>
                <w:highlight w:val="none"/>
                <w:lang w:val="zh-CN"/>
              </w:rPr>
              <w:t>近年来主要工作业绩</w:t>
            </w:r>
          </w:p>
        </w:tc>
      </w:tr>
      <w:tr w14:paraId="400B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DDE3BB0">
            <w:pPr>
              <w:autoSpaceDE w:val="0"/>
              <w:autoSpaceDN w:val="0"/>
              <w:adjustRightInd w:val="0"/>
              <w:snapToGrid w:val="0"/>
              <w:spacing w:line="360" w:lineRule="auto"/>
              <w:jc w:val="center"/>
              <w:rPr>
                <w:rFonts w:ascii="宋体" w:cs="宋体"/>
                <w:b/>
                <w:bCs/>
                <w:color w:val="auto"/>
                <w:szCs w:val="21"/>
                <w:highlight w:val="none"/>
                <w:lang w:val="zh-CN"/>
              </w:rPr>
            </w:pPr>
            <w:r>
              <w:rPr>
                <w:rFonts w:hint="eastAsia" w:ascii="宋体" w:hAnsi="宋体" w:cs="宋体"/>
                <w:b/>
                <w:bCs/>
                <w:color w:val="auto"/>
                <w:szCs w:val="21"/>
                <w:highlight w:val="none"/>
                <w:lang w:val="zh-CN"/>
              </w:rPr>
              <w:t>性别</w:t>
            </w:r>
          </w:p>
        </w:tc>
        <w:tc>
          <w:tcPr>
            <w:tcW w:w="2967" w:type="dxa"/>
            <w:vAlign w:val="center"/>
          </w:tcPr>
          <w:p w14:paraId="477CEBAA">
            <w:pPr>
              <w:autoSpaceDE w:val="0"/>
              <w:autoSpaceDN w:val="0"/>
              <w:adjustRightInd w:val="0"/>
              <w:snapToGrid w:val="0"/>
              <w:spacing w:line="360" w:lineRule="auto"/>
              <w:jc w:val="center"/>
              <w:rPr>
                <w:rFonts w:ascii="宋体" w:cs="宋体"/>
                <w:color w:val="auto"/>
                <w:szCs w:val="21"/>
                <w:highlight w:val="none"/>
                <w:lang w:val="zh-CN"/>
              </w:rPr>
            </w:pPr>
          </w:p>
        </w:tc>
        <w:tc>
          <w:tcPr>
            <w:tcW w:w="3685" w:type="dxa"/>
            <w:vMerge w:val="restart"/>
            <w:tcBorders>
              <w:right w:val="single" w:color="auto" w:sz="12" w:space="0"/>
            </w:tcBorders>
            <w:vAlign w:val="center"/>
          </w:tcPr>
          <w:p w14:paraId="16705113">
            <w:pPr>
              <w:autoSpaceDE w:val="0"/>
              <w:autoSpaceDN w:val="0"/>
              <w:adjustRightInd w:val="0"/>
              <w:snapToGrid w:val="0"/>
              <w:spacing w:line="360" w:lineRule="auto"/>
              <w:jc w:val="center"/>
              <w:rPr>
                <w:rFonts w:ascii="宋体" w:cs="宋体"/>
                <w:color w:val="auto"/>
                <w:szCs w:val="21"/>
                <w:highlight w:val="none"/>
                <w:lang w:val="zh-CN"/>
              </w:rPr>
            </w:pPr>
            <w:r>
              <w:rPr>
                <w:rFonts w:hint="eastAsia" w:ascii="宋体" w:hAnsi="宋体" w:cs="宋体"/>
                <w:color w:val="auto"/>
                <w:szCs w:val="21"/>
                <w:highlight w:val="none"/>
              </w:rPr>
              <w:t>注：按评标办法提供。</w:t>
            </w:r>
          </w:p>
        </w:tc>
      </w:tr>
      <w:tr w14:paraId="1046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0EF9921">
            <w:pPr>
              <w:autoSpaceDE w:val="0"/>
              <w:autoSpaceDN w:val="0"/>
              <w:adjustRightInd w:val="0"/>
              <w:snapToGrid w:val="0"/>
              <w:spacing w:line="360" w:lineRule="auto"/>
              <w:jc w:val="center"/>
              <w:rPr>
                <w:rFonts w:ascii="宋体" w:cs="宋体"/>
                <w:b/>
                <w:bCs/>
                <w:color w:val="auto"/>
                <w:szCs w:val="21"/>
                <w:highlight w:val="none"/>
                <w:lang w:val="zh-CN"/>
              </w:rPr>
            </w:pPr>
            <w:r>
              <w:rPr>
                <w:rFonts w:hint="eastAsia" w:ascii="宋体" w:hAnsi="宋体" w:cs="宋体"/>
                <w:b/>
                <w:bCs/>
                <w:color w:val="auto"/>
                <w:szCs w:val="21"/>
                <w:highlight w:val="none"/>
                <w:lang w:val="zh-CN"/>
              </w:rPr>
              <w:t>年龄</w:t>
            </w:r>
          </w:p>
        </w:tc>
        <w:tc>
          <w:tcPr>
            <w:tcW w:w="2967" w:type="dxa"/>
            <w:vAlign w:val="center"/>
          </w:tcPr>
          <w:p w14:paraId="6067339B">
            <w:pPr>
              <w:autoSpaceDE w:val="0"/>
              <w:autoSpaceDN w:val="0"/>
              <w:adjustRightInd w:val="0"/>
              <w:snapToGrid w:val="0"/>
              <w:spacing w:line="360" w:lineRule="auto"/>
              <w:jc w:val="center"/>
              <w:rPr>
                <w:rFonts w:ascii="宋体" w:cs="宋体"/>
                <w:color w:val="auto"/>
                <w:szCs w:val="21"/>
                <w:highlight w:val="none"/>
                <w:lang w:val="zh-CN"/>
              </w:rPr>
            </w:pPr>
          </w:p>
        </w:tc>
        <w:tc>
          <w:tcPr>
            <w:tcW w:w="3685" w:type="dxa"/>
            <w:vMerge w:val="continue"/>
            <w:tcBorders>
              <w:right w:val="single" w:color="auto" w:sz="12" w:space="0"/>
            </w:tcBorders>
            <w:vAlign w:val="center"/>
          </w:tcPr>
          <w:p w14:paraId="3920DFDA">
            <w:pPr>
              <w:autoSpaceDE w:val="0"/>
              <w:autoSpaceDN w:val="0"/>
              <w:adjustRightInd w:val="0"/>
              <w:snapToGrid w:val="0"/>
              <w:spacing w:line="360" w:lineRule="auto"/>
              <w:jc w:val="center"/>
              <w:rPr>
                <w:rFonts w:ascii="宋体" w:cs="宋体"/>
                <w:color w:val="auto"/>
                <w:szCs w:val="21"/>
                <w:highlight w:val="none"/>
                <w:lang w:val="zh-CN"/>
              </w:rPr>
            </w:pPr>
          </w:p>
        </w:tc>
      </w:tr>
      <w:tr w14:paraId="4A11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58A7DCCB">
            <w:pPr>
              <w:autoSpaceDE w:val="0"/>
              <w:autoSpaceDN w:val="0"/>
              <w:adjustRightInd w:val="0"/>
              <w:snapToGrid w:val="0"/>
              <w:spacing w:line="360" w:lineRule="auto"/>
              <w:jc w:val="center"/>
              <w:rPr>
                <w:rFonts w:ascii="宋体" w:cs="宋体"/>
                <w:b/>
                <w:bCs/>
                <w:color w:val="auto"/>
                <w:szCs w:val="21"/>
                <w:highlight w:val="none"/>
                <w:lang w:val="zh-CN"/>
              </w:rPr>
            </w:pPr>
            <w:r>
              <w:rPr>
                <w:rFonts w:hint="eastAsia" w:ascii="宋体" w:hAnsi="宋体" w:cs="宋体"/>
                <w:b/>
                <w:bCs/>
                <w:color w:val="auto"/>
                <w:szCs w:val="21"/>
                <w:highlight w:val="none"/>
                <w:lang w:val="zh-CN"/>
              </w:rPr>
              <w:t>职称</w:t>
            </w:r>
          </w:p>
        </w:tc>
        <w:tc>
          <w:tcPr>
            <w:tcW w:w="2967" w:type="dxa"/>
            <w:vAlign w:val="center"/>
          </w:tcPr>
          <w:p w14:paraId="636BAB53">
            <w:pPr>
              <w:autoSpaceDE w:val="0"/>
              <w:autoSpaceDN w:val="0"/>
              <w:adjustRightInd w:val="0"/>
              <w:snapToGrid w:val="0"/>
              <w:spacing w:line="360" w:lineRule="auto"/>
              <w:jc w:val="center"/>
              <w:rPr>
                <w:rFonts w:ascii="宋体" w:cs="宋体"/>
                <w:color w:val="auto"/>
                <w:szCs w:val="21"/>
                <w:highlight w:val="none"/>
                <w:lang w:val="zh-CN"/>
              </w:rPr>
            </w:pPr>
          </w:p>
        </w:tc>
        <w:tc>
          <w:tcPr>
            <w:tcW w:w="3685" w:type="dxa"/>
            <w:vMerge w:val="continue"/>
            <w:tcBorders>
              <w:right w:val="single" w:color="auto" w:sz="12" w:space="0"/>
            </w:tcBorders>
            <w:vAlign w:val="center"/>
          </w:tcPr>
          <w:p w14:paraId="1896643E">
            <w:pPr>
              <w:autoSpaceDE w:val="0"/>
              <w:autoSpaceDN w:val="0"/>
              <w:adjustRightInd w:val="0"/>
              <w:snapToGrid w:val="0"/>
              <w:spacing w:line="360" w:lineRule="auto"/>
              <w:jc w:val="center"/>
              <w:rPr>
                <w:rFonts w:ascii="宋体" w:cs="宋体"/>
                <w:color w:val="auto"/>
                <w:szCs w:val="21"/>
                <w:highlight w:val="none"/>
                <w:lang w:val="zh-CN"/>
              </w:rPr>
            </w:pPr>
          </w:p>
        </w:tc>
      </w:tr>
      <w:tr w14:paraId="2BAE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F74DFDE">
            <w:pPr>
              <w:autoSpaceDE w:val="0"/>
              <w:autoSpaceDN w:val="0"/>
              <w:adjustRightInd w:val="0"/>
              <w:snapToGrid w:val="0"/>
              <w:spacing w:line="360" w:lineRule="auto"/>
              <w:jc w:val="center"/>
              <w:rPr>
                <w:rFonts w:ascii="宋体" w:cs="宋体"/>
                <w:b/>
                <w:bCs/>
                <w:color w:val="auto"/>
                <w:szCs w:val="21"/>
                <w:highlight w:val="none"/>
                <w:lang w:val="zh-CN"/>
              </w:rPr>
            </w:pPr>
            <w:r>
              <w:rPr>
                <w:rFonts w:hint="eastAsia" w:ascii="宋体" w:hAnsi="宋体" w:cs="宋体"/>
                <w:b/>
                <w:bCs/>
                <w:color w:val="auto"/>
                <w:szCs w:val="21"/>
                <w:highlight w:val="none"/>
                <w:lang w:val="zh-CN"/>
              </w:rPr>
              <w:t>毕业时间</w:t>
            </w:r>
          </w:p>
        </w:tc>
        <w:tc>
          <w:tcPr>
            <w:tcW w:w="2967" w:type="dxa"/>
            <w:vAlign w:val="center"/>
          </w:tcPr>
          <w:p w14:paraId="4F3FD208">
            <w:pPr>
              <w:autoSpaceDE w:val="0"/>
              <w:autoSpaceDN w:val="0"/>
              <w:adjustRightInd w:val="0"/>
              <w:snapToGrid w:val="0"/>
              <w:spacing w:line="360" w:lineRule="auto"/>
              <w:jc w:val="center"/>
              <w:rPr>
                <w:rFonts w:ascii="宋体" w:cs="宋体"/>
                <w:color w:val="auto"/>
                <w:szCs w:val="21"/>
                <w:highlight w:val="none"/>
                <w:lang w:val="zh-CN"/>
              </w:rPr>
            </w:pPr>
          </w:p>
        </w:tc>
        <w:tc>
          <w:tcPr>
            <w:tcW w:w="3685" w:type="dxa"/>
            <w:vMerge w:val="continue"/>
            <w:tcBorders>
              <w:right w:val="single" w:color="auto" w:sz="12" w:space="0"/>
            </w:tcBorders>
            <w:vAlign w:val="center"/>
          </w:tcPr>
          <w:p w14:paraId="7CF5A40E">
            <w:pPr>
              <w:autoSpaceDE w:val="0"/>
              <w:autoSpaceDN w:val="0"/>
              <w:adjustRightInd w:val="0"/>
              <w:snapToGrid w:val="0"/>
              <w:spacing w:line="360" w:lineRule="auto"/>
              <w:jc w:val="center"/>
              <w:rPr>
                <w:rFonts w:ascii="宋体" w:cs="宋体"/>
                <w:color w:val="auto"/>
                <w:szCs w:val="21"/>
                <w:highlight w:val="none"/>
                <w:lang w:val="zh-CN"/>
              </w:rPr>
            </w:pPr>
          </w:p>
        </w:tc>
      </w:tr>
      <w:tr w14:paraId="2390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3782A1E">
            <w:pPr>
              <w:autoSpaceDE w:val="0"/>
              <w:autoSpaceDN w:val="0"/>
              <w:adjustRightInd w:val="0"/>
              <w:snapToGrid w:val="0"/>
              <w:spacing w:line="360" w:lineRule="auto"/>
              <w:jc w:val="center"/>
              <w:rPr>
                <w:rFonts w:ascii="宋体" w:cs="宋体"/>
                <w:b/>
                <w:bCs/>
                <w:color w:val="auto"/>
                <w:szCs w:val="21"/>
                <w:highlight w:val="none"/>
                <w:lang w:val="zh-CN"/>
              </w:rPr>
            </w:pPr>
            <w:r>
              <w:rPr>
                <w:rFonts w:hint="eastAsia" w:ascii="宋体" w:hAnsi="宋体" w:cs="宋体"/>
                <w:b/>
                <w:bCs/>
                <w:color w:val="auto"/>
                <w:szCs w:val="21"/>
                <w:highlight w:val="none"/>
                <w:lang w:val="zh-CN"/>
              </w:rPr>
              <w:t>学校专业</w:t>
            </w:r>
          </w:p>
        </w:tc>
        <w:tc>
          <w:tcPr>
            <w:tcW w:w="2967" w:type="dxa"/>
            <w:vAlign w:val="center"/>
          </w:tcPr>
          <w:p w14:paraId="2D911AB5">
            <w:pPr>
              <w:autoSpaceDE w:val="0"/>
              <w:autoSpaceDN w:val="0"/>
              <w:adjustRightInd w:val="0"/>
              <w:snapToGrid w:val="0"/>
              <w:spacing w:line="360" w:lineRule="auto"/>
              <w:jc w:val="center"/>
              <w:rPr>
                <w:rFonts w:ascii="宋体" w:cs="宋体"/>
                <w:color w:val="auto"/>
                <w:szCs w:val="21"/>
                <w:highlight w:val="none"/>
                <w:lang w:val="zh-CN"/>
              </w:rPr>
            </w:pPr>
          </w:p>
        </w:tc>
        <w:tc>
          <w:tcPr>
            <w:tcW w:w="3685" w:type="dxa"/>
            <w:vMerge w:val="continue"/>
            <w:tcBorders>
              <w:right w:val="single" w:color="auto" w:sz="12" w:space="0"/>
            </w:tcBorders>
            <w:vAlign w:val="center"/>
          </w:tcPr>
          <w:p w14:paraId="17CE6D45">
            <w:pPr>
              <w:autoSpaceDE w:val="0"/>
              <w:autoSpaceDN w:val="0"/>
              <w:adjustRightInd w:val="0"/>
              <w:snapToGrid w:val="0"/>
              <w:spacing w:line="360" w:lineRule="auto"/>
              <w:jc w:val="center"/>
              <w:rPr>
                <w:rFonts w:ascii="宋体" w:cs="宋体"/>
                <w:color w:val="auto"/>
                <w:szCs w:val="21"/>
                <w:highlight w:val="none"/>
                <w:lang w:val="zh-CN"/>
              </w:rPr>
            </w:pPr>
          </w:p>
        </w:tc>
      </w:tr>
      <w:tr w14:paraId="2DA9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AE8BCAB">
            <w:pPr>
              <w:autoSpaceDE w:val="0"/>
              <w:autoSpaceDN w:val="0"/>
              <w:adjustRightInd w:val="0"/>
              <w:snapToGrid w:val="0"/>
              <w:spacing w:line="360" w:lineRule="auto"/>
              <w:jc w:val="center"/>
              <w:rPr>
                <w:rFonts w:ascii="宋体" w:cs="宋体"/>
                <w:b/>
                <w:bCs/>
                <w:color w:val="auto"/>
                <w:szCs w:val="21"/>
                <w:highlight w:val="none"/>
                <w:lang w:val="zh-CN"/>
              </w:rPr>
            </w:pPr>
            <w:r>
              <w:rPr>
                <w:rFonts w:hint="eastAsia" w:ascii="宋体" w:hAnsi="宋体" w:cs="宋体"/>
                <w:b/>
                <w:bCs/>
                <w:color w:val="auto"/>
                <w:szCs w:val="21"/>
                <w:highlight w:val="none"/>
                <w:lang w:val="zh-CN"/>
              </w:rPr>
              <w:t>联系电话</w:t>
            </w:r>
          </w:p>
        </w:tc>
        <w:tc>
          <w:tcPr>
            <w:tcW w:w="2967" w:type="dxa"/>
            <w:vAlign w:val="center"/>
          </w:tcPr>
          <w:p w14:paraId="431C6FD6">
            <w:pPr>
              <w:autoSpaceDE w:val="0"/>
              <w:autoSpaceDN w:val="0"/>
              <w:adjustRightInd w:val="0"/>
              <w:snapToGrid w:val="0"/>
              <w:spacing w:line="360" w:lineRule="auto"/>
              <w:jc w:val="center"/>
              <w:rPr>
                <w:rFonts w:ascii="宋体" w:cs="宋体"/>
                <w:color w:val="auto"/>
                <w:szCs w:val="21"/>
                <w:highlight w:val="none"/>
                <w:lang w:val="zh-CN"/>
              </w:rPr>
            </w:pPr>
          </w:p>
        </w:tc>
        <w:tc>
          <w:tcPr>
            <w:tcW w:w="3685" w:type="dxa"/>
            <w:vMerge w:val="continue"/>
            <w:tcBorders>
              <w:right w:val="single" w:color="auto" w:sz="12" w:space="0"/>
            </w:tcBorders>
            <w:vAlign w:val="center"/>
          </w:tcPr>
          <w:p w14:paraId="2780D5CF">
            <w:pPr>
              <w:autoSpaceDE w:val="0"/>
              <w:autoSpaceDN w:val="0"/>
              <w:adjustRightInd w:val="0"/>
              <w:snapToGrid w:val="0"/>
              <w:spacing w:line="360" w:lineRule="auto"/>
              <w:jc w:val="center"/>
              <w:rPr>
                <w:rFonts w:ascii="宋体" w:cs="宋体"/>
                <w:color w:val="auto"/>
                <w:szCs w:val="21"/>
                <w:highlight w:val="none"/>
                <w:lang w:val="zh-CN"/>
              </w:rPr>
            </w:pPr>
          </w:p>
        </w:tc>
      </w:tr>
      <w:tr w14:paraId="350D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5504F76">
            <w:pPr>
              <w:autoSpaceDE w:val="0"/>
              <w:autoSpaceDN w:val="0"/>
              <w:adjustRightInd w:val="0"/>
              <w:snapToGrid w:val="0"/>
              <w:spacing w:line="360" w:lineRule="auto"/>
              <w:jc w:val="center"/>
              <w:rPr>
                <w:rFonts w:ascii="宋体" w:cs="宋体"/>
                <w:b/>
                <w:bCs/>
                <w:color w:val="auto"/>
                <w:szCs w:val="21"/>
                <w:highlight w:val="none"/>
                <w:lang w:val="zh-CN"/>
              </w:rPr>
            </w:pPr>
            <w:r>
              <w:rPr>
                <w:rFonts w:hint="eastAsia" w:ascii="宋体" w:hAnsi="宋体" w:cs="宋体"/>
                <w:b/>
                <w:bCs/>
                <w:color w:val="auto"/>
                <w:szCs w:val="21"/>
                <w:highlight w:val="none"/>
              </w:rPr>
              <w:t>最近一年工作状况</w:t>
            </w:r>
          </w:p>
        </w:tc>
        <w:tc>
          <w:tcPr>
            <w:tcW w:w="2967" w:type="dxa"/>
            <w:vAlign w:val="center"/>
          </w:tcPr>
          <w:p w14:paraId="424E8A8A">
            <w:pPr>
              <w:autoSpaceDE w:val="0"/>
              <w:autoSpaceDN w:val="0"/>
              <w:adjustRightInd w:val="0"/>
              <w:snapToGrid w:val="0"/>
              <w:spacing w:line="360" w:lineRule="auto"/>
              <w:jc w:val="center"/>
              <w:rPr>
                <w:rFonts w:ascii="宋体" w:cs="宋体"/>
                <w:color w:val="auto"/>
                <w:szCs w:val="21"/>
                <w:highlight w:val="none"/>
                <w:lang w:val="zh-CN"/>
              </w:rPr>
            </w:pPr>
          </w:p>
        </w:tc>
        <w:tc>
          <w:tcPr>
            <w:tcW w:w="3685" w:type="dxa"/>
            <w:vMerge w:val="continue"/>
            <w:tcBorders>
              <w:right w:val="single" w:color="auto" w:sz="12" w:space="0"/>
            </w:tcBorders>
            <w:vAlign w:val="center"/>
          </w:tcPr>
          <w:p w14:paraId="20210EC4">
            <w:pPr>
              <w:autoSpaceDE w:val="0"/>
              <w:autoSpaceDN w:val="0"/>
              <w:adjustRightInd w:val="0"/>
              <w:snapToGrid w:val="0"/>
              <w:spacing w:line="360" w:lineRule="auto"/>
              <w:jc w:val="center"/>
              <w:rPr>
                <w:rFonts w:ascii="宋体" w:cs="宋体"/>
                <w:color w:val="auto"/>
                <w:szCs w:val="21"/>
                <w:highlight w:val="none"/>
                <w:lang w:val="zh-CN"/>
              </w:rPr>
            </w:pPr>
          </w:p>
        </w:tc>
      </w:tr>
      <w:tr w14:paraId="03C0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2353A42B">
            <w:pPr>
              <w:autoSpaceDE w:val="0"/>
              <w:autoSpaceDN w:val="0"/>
              <w:adjustRightInd w:val="0"/>
              <w:snapToGrid w:val="0"/>
              <w:spacing w:line="360" w:lineRule="auto"/>
              <w:jc w:val="center"/>
              <w:rPr>
                <w:rFonts w:ascii="宋体" w:cs="宋体"/>
                <w:b/>
                <w:bCs/>
                <w:color w:val="auto"/>
                <w:szCs w:val="21"/>
                <w:highlight w:val="none"/>
                <w:lang w:val="zh-CN"/>
              </w:rPr>
            </w:pPr>
            <w:r>
              <w:rPr>
                <w:rFonts w:hint="eastAsia" w:ascii="宋体" w:hAnsi="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7286D4E5">
            <w:pPr>
              <w:autoSpaceDE w:val="0"/>
              <w:autoSpaceDN w:val="0"/>
              <w:adjustRightInd w:val="0"/>
              <w:snapToGrid w:val="0"/>
              <w:spacing w:line="360" w:lineRule="auto"/>
              <w:jc w:val="center"/>
              <w:rPr>
                <w:rFonts w:ascii="宋体" w:cs="宋体"/>
                <w:color w:val="auto"/>
                <w:szCs w:val="21"/>
                <w:highlight w:val="none"/>
                <w:lang w:val="zh-CN"/>
              </w:rPr>
            </w:pPr>
          </w:p>
        </w:tc>
      </w:tr>
    </w:tbl>
    <w:p w14:paraId="35D12130">
      <w:pPr>
        <w:spacing w:line="360" w:lineRule="auto"/>
        <w:rPr>
          <w:rFonts w:ascii="宋体" w:cs="宋体"/>
          <w:bCs/>
          <w:color w:val="auto"/>
          <w:kern w:val="0"/>
          <w:szCs w:val="21"/>
          <w:highlight w:val="none"/>
        </w:rPr>
      </w:pPr>
      <w:r>
        <w:rPr>
          <w:rFonts w:hint="eastAsia" w:ascii="宋体" w:hAnsi="宋体" w:cs="宋体"/>
          <w:color w:val="auto"/>
          <w:szCs w:val="21"/>
          <w:highlight w:val="none"/>
        </w:rPr>
        <w:t>备注：</w:t>
      </w:r>
      <w:r>
        <w:rPr>
          <w:rFonts w:hint="eastAsia" w:ascii="宋体" w:hAnsi="宋体" w:cs="宋体"/>
          <w:bCs/>
          <w:color w:val="auto"/>
          <w:kern w:val="0"/>
          <w:szCs w:val="21"/>
          <w:highlight w:val="none"/>
        </w:rPr>
        <w:t>表中参照“第四部分</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评标办法及评分标准”中要求提供；</w:t>
      </w:r>
    </w:p>
    <w:p w14:paraId="760E64E4">
      <w:pPr>
        <w:pStyle w:val="21"/>
        <w:ind w:left="0"/>
        <w:rPr>
          <w:color w:val="auto"/>
          <w:highlight w:val="none"/>
        </w:rPr>
      </w:pPr>
    </w:p>
    <w:p w14:paraId="4A3F91B0">
      <w:pPr>
        <w:pStyle w:val="10"/>
        <w:ind w:firstLine="0" w:firstLineChars="0"/>
        <w:rPr>
          <w:color w:val="auto"/>
          <w:highlight w:val="none"/>
        </w:rPr>
      </w:pPr>
    </w:p>
    <w:p w14:paraId="7D48451B">
      <w:pPr>
        <w:spacing w:line="360" w:lineRule="auto"/>
        <w:rPr>
          <w:rFonts w:ascii="宋体" w:cs="宋体"/>
          <w:color w:val="auto"/>
          <w:szCs w:val="21"/>
          <w:highlight w:val="none"/>
        </w:rPr>
      </w:pPr>
    </w:p>
    <w:p w14:paraId="7D8DCA5C">
      <w:pPr>
        <w:spacing w:line="360" w:lineRule="auto"/>
        <w:ind w:firstLine="4320" w:firstLineChars="1800"/>
        <w:jc w:val="right"/>
        <w:rPr>
          <w:rFonts w:ascii="宋体" w:cs="宋体"/>
          <w:color w:val="auto"/>
          <w:szCs w:val="21"/>
          <w:highlight w:val="none"/>
          <w:lang w:val="zh-CN"/>
        </w:rPr>
      </w:pPr>
      <w:r>
        <w:rPr>
          <w:rFonts w:ascii="宋体" w:hAnsi="宋体" w:cs="宋体"/>
          <w:color w:val="auto"/>
          <w:sz w:val="24"/>
          <w:highlight w:val="none"/>
        </w:rPr>
        <w:t xml:space="preserve"> </w:t>
      </w:r>
      <w:r>
        <w:rPr>
          <w:rFonts w:hint="eastAsia" w:ascii="宋体" w:hAnsi="宋体" w:cs="宋体"/>
          <w:color w:val="auto"/>
          <w:szCs w:val="21"/>
          <w:highlight w:val="none"/>
        </w:rPr>
        <w:t>磋商人名称</w:t>
      </w:r>
      <w:r>
        <w:rPr>
          <w:rFonts w:hint="eastAsia" w:ascii="宋体" w:hAnsi="宋体" w:cs="宋体"/>
          <w:color w:val="auto"/>
          <w:szCs w:val="21"/>
          <w:highlight w:val="none"/>
          <w:lang w:val="zh-CN"/>
        </w:rPr>
        <w:t>（盖单位章）：</w:t>
      </w:r>
    </w:p>
    <w:p w14:paraId="0E5998AD">
      <w:pPr>
        <w:pStyle w:val="36"/>
        <w:rPr>
          <w:rFonts w:ascii="宋体"/>
          <w:color w:val="auto"/>
          <w:highlight w:val="none"/>
        </w:rPr>
      </w:pPr>
      <w:r>
        <w:rPr>
          <w:rFonts w:ascii="宋体" w:hAnsi="宋体"/>
          <w:color w:val="auto"/>
          <w:highlight w:val="none"/>
          <w:lang w:val="zh-CN"/>
        </w:rPr>
        <w:t xml:space="preserve">                                                 </w:t>
      </w:r>
      <w:r>
        <w:rPr>
          <w:rFonts w:ascii="宋体" w:hAnsi="宋体"/>
          <w:color w:val="auto"/>
          <w:highlight w:val="none"/>
        </w:rPr>
        <w:t xml:space="preserve">   </w:t>
      </w: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rPr>
        <w:t>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p>
    <w:p w14:paraId="4DE533C8">
      <w:pPr>
        <w:rPr>
          <w:rFonts w:ascii="宋体" w:cs="宋体"/>
          <w:color w:val="auto"/>
          <w:szCs w:val="21"/>
          <w:highlight w:val="none"/>
        </w:rPr>
      </w:pPr>
      <w:r>
        <w:rPr>
          <w:rFonts w:ascii="宋体" w:cs="宋体"/>
          <w:color w:val="auto"/>
          <w:szCs w:val="21"/>
          <w:highlight w:val="none"/>
        </w:rPr>
        <w:br w:type="page"/>
      </w:r>
    </w:p>
    <w:p w14:paraId="5A64BD2E">
      <w:pPr>
        <w:adjustRightInd w:val="0"/>
        <w:snapToGrid w:val="0"/>
        <w:rPr>
          <w:rFonts w:ascii="宋体" w:cs="宋体"/>
          <w:b/>
          <w:color w:val="auto"/>
          <w:sz w:val="24"/>
          <w:highlight w:val="none"/>
        </w:rPr>
      </w:pPr>
      <w:r>
        <w:rPr>
          <w:rFonts w:hint="eastAsia" w:ascii="宋体" w:hAnsi="宋体" w:cs="宋体"/>
          <w:b/>
          <w:color w:val="auto"/>
          <w:sz w:val="24"/>
          <w:highlight w:val="none"/>
        </w:rPr>
        <w:t>附件</w:t>
      </w:r>
      <w:r>
        <w:rPr>
          <w:rFonts w:ascii="宋体" w:hAnsi="宋体" w:cs="宋体"/>
          <w:b/>
          <w:color w:val="auto"/>
          <w:sz w:val="24"/>
          <w:highlight w:val="none"/>
        </w:rPr>
        <w:t>11</w:t>
      </w:r>
      <w:r>
        <w:rPr>
          <w:rFonts w:hint="eastAsia" w:ascii="宋体" w:hAnsi="宋体" w:cs="宋体"/>
          <w:b/>
          <w:color w:val="auto"/>
          <w:sz w:val="24"/>
          <w:highlight w:val="none"/>
        </w:rPr>
        <w:t>：</w:t>
      </w:r>
    </w:p>
    <w:p w14:paraId="4CC7732F">
      <w:pPr>
        <w:snapToGrid w:val="0"/>
        <w:spacing w:before="156" w:beforeLines="50" w:after="50" w:line="360" w:lineRule="auto"/>
        <w:jc w:val="center"/>
        <w:rPr>
          <w:rFonts w:hint="eastAsia" w:ascii="宋体" w:eastAsia="宋体"/>
          <w:b/>
          <w:color w:val="auto"/>
          <w:sz w:val="36"/>
          <w:szCs w:val="36"/>
          <w:highlight w:val="none"/>
          <w:lang w:eastAsia="zh-CN"/>
        </w:rPr>
      </w:pPr>
      <w:r>
        <w:rPr>
          <w:rFonts w:hint="eastAsia" w:ascii="宋体" w:hAnsi="宋体"/>
          <w:b/>
          <w:color w:val="auto"/>
          <w:sz w:val="32"/>
          <w:szCs w:val="32"/>
          <w:highlight w:val="none"/>
          <w:lang w:eastAsia="zh-CN"/>
        </w:rPr>
        <w:t>项目管理班子配备情况表</w:t>
      </w:r>
    </w:p>
    <w:tbl>
      <w:tblPr>
        <w:tblStyle w:val="2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525"/>
        <w:gridCol w:w="523"/>
        <w:gridCol w:w="928"/>
        <w:gridCol w:w="929"/>
        <w:gridCol w:w="928"/>
        <w:gridCol w:w="930"/>
        <w:gridCol w:w="1555"/>
        <w:gridCol w:w="930"/>
        <w:gridCol w:w="1216"/>
      </w:tblGrid>
      <w:tr w14:paraId="2583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136" w:type="dxa"/>
            <w:vMerge w:val="restart"/>
            <w:noWrap w:val="0"/>
            <w:vAlign w:val="center"/>
          </w:tcPr>
          <w:p w14:paraId="3819F9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525" w:type="dxa"/>
            <w:vMerge w:val="restart"/>
            <w:noWrap w:val="0"/>
            <w:vAlign w:val="center"/>
          </w:tcPr>
          <w:p w14:paraId="2ADC2CA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523" w:type="dxa"/>
            <w:vMerge w:val="restart"/>
            <w:noWrap w:val="0"/>
            <w:vAlign w:val="center"/>
          </w:tcPr>
          <w:p w14:paraId="15038FB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5270" w:type="dxa"/>
            <w:gridSpan w:val="5"/>
            <w:noWrap w:val="0"/>
            <w:vAlign w:val="center"/>
          </w:tcPr>
          <w:p w14:paraId="4924A24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上岗资格证明</w:t>
            </w:r>
          </w:p>
        </w:tc>
        <w:tc>
          <w:tcPr>
            <w:tcW w:w="2146" w:type="dxa"/>
            <w:gridSpan w:val="2"/>
            <w:noWrap w:val="0"/>
            <w:vAlign w:val="center"/>
          </w:tcPr>
          <w:p w14:paraId="6C59923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已承担在建工程情况</w:t>
            </w:r>
          </w:p>
        </w:tc>
      </w:tr>
      <w:tr w14:paraId="6463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136" w:type="dxa"/>
            <w:vMerge w:val="continue"/>
            <w:noWrap w:val="0"/>
            <w:vAlign w:val="top"/>
          </w:tcPr>
          <w:p w14:paraId="1990E31A">
            <w:pPr>
              <w:spacing w:line="360" w:lineRule="auto"/>
              <w:rPr>
                <w:rFonts w:hint="eastAsia" w:ascii="宋体" w:hAnsi="宋体" w:eastAsia="宋体" w:cs="宋体"/>
                <w:color w:val="auto"/>
                <w:sz w:val="21"/>
                <w:szCs w:val="21"/>
              </w:rPr>
            </w:pPr>
          </w:p>
        </w:tc>
        <w:tc>
          <w:tcPr>
            <w:tcW w:w="525" w:type="dxa"/>
            <w:vMerge w:val="continue"/>
            <w:noWrap w:val="0"/>
            <w:vAlign w:val="top"/>
          </w:tcPr>
          <w:p w14:paraId="2C1E37E5">
            <w:pPr>
              <w:spacing w:line="360" w:lineRule="auto"/>
              <w:rPr>
                <w:rFonts w:hint="eastAsia" w:ascii="宋体" w:hAnsi="宋体" w:eastAsia="宋体" w:cs="宋体"/>
                <w:color w:val="auto"/>
                <w:sz w:val="21"/>
                <w:szCs w:val="21"/>
              </w:rPr>
            </w:pPr>
          </w:p>
        </w:tc>
        <w:tc>
          <w:tcPr>
            <w:tcW w:w="523" w:type="dxa"/>
            <w:vMerge w:val="continue"/>
            <w:noWrap w:val="0"/>
            <w:vAlign w:val="top"/>
          </w:tcPr>
          <w:p w14:paraId="0025C429">
            <w:pPr>
              <w:spacing w:line="360" w:lineRule="auto"/>
              <w:rPr>
                <w:rFonts w:hint="eastAsia" w:ascii="宋体" w:hAnsi="宋体" w:eastAsia="宋体" w:cs="宋体"/>
                <w:color w:val="auto"/>
                <w:sz w:val="21"/>
                <w:szCs w:val="21"/>
              </w:rPr>
            </w:pPr>
          </w:p>
        </w:tc>
        <w:tc>
          <w:tcPr>
            <w:tcW w:w="928" w:type="dxa"/>
            <w:noWrap w:val="0"/>
            <w:vAlign w:val="center"/>
          </w:tcPr>
          <w:p w14:paraId="73064DD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证书</w:t>
            </w:r>
          </w:p>
          <w:p w14:paraId="51599C5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929" w:type="dxa"/>
            <w:noWrap w:val="0"/>
            <w:vAlign w:val="center"/>
          </w:tcPr>
          <w:p w14:paraId="55CB5A8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级别</w:t>
            </w:r>
          </w:p>
        </w:tc>
        <w:tc>
          <w:tcPr>
            <w:tcW w:w="928" w:type="dxa"/>
            <w:noWrap w:val="0"/>
            <w:vAlign w:val="center"/>
          </w:tcPr>
          <w:p w14:paraId="6767239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证号</w:t>
            </w:r>
          </w:p>
        </w:tc>
        <w:tc>
          <w:tcPr>
            <w:tcW w:w="930" w:type="dxa"/>
            <w:noWrap w:val="0"/>
            <w:vAlign w:val="center"/>
          </w:tcPr>
          <w:p w14:paraId="44230A1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专业</w:t>
            </w:r>
          </w:p>
        </w:tc>
        <w:tc>
          <w:tcPr>
            <w:tcW w:w="1555" w:type="dxa"/>
            <w:noWrap w:val="0"/>
            <w:vAlign w:val="center"/>
          </w:tcPr>
          <w:p w14:paraId="50F2ED42">
            <w:pPr>
              <w:jc w:val="center"/>
              <w:rPr>
                <w:rFonts w:hint="eastAsia" w:ascii="宋体" w:hAnsi="宋体" w:eastAsia="宋体" w:cs="宋体"/>
                <w:color w:val="auto"/>
                <w:sz w:val="21"/>
                <w:szCs w:val="21"/>
              </w:rPr>
            </w:pPr>
            <w:r>
              <w:rPr>
                <w:rFonts w:hint="eastAsia" w:ascii="宋体" w:hAnsi="宋体" w:eastAsia="宋体" w:cs="宋体"/>
                <w:sz w:val="21"/>
                <w:szCs w:val="21"/>
              </w:rPr>
              <w:t>联系电话</w:t>
            </w:r>
          </w:p>
        </w:tc>
        <w:tc>
          <w:tcPr>
            <w:tcW w:w="930" w:type="dxa"/>
            <w:noWrap w:val="0"/>
            <w:vAlign w:val="center"/>
          </w:tcPr>
          <w:p w14:paraId="1683D49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项目数</w:t>
            </w:r>
          </w:p>
        </w:tc>
        <w:tc>
          <w:tcPr>
            <w:tcW w:w="1216" w:type="dxa"/>
            <w:noWrap w:val="0"/>
            <w:vAlign w:val="center"/>
          </w:tcPr>
          <w:p w14:paraId="151F4C3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主要项目名称</w:t>
            </w:r>
          </w:p>
        </w:tc>
      </w:tr>
      <w:tr w14:paraId="33B0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136" w:type="dxa"/>
            <w:noWrap w:val="0"/>
            <w:vAlign w:val="top"/>
          </w:tcPr>
          <w:p w14:paraId="4DBA3626">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项目负责人</w:t>
            </w:r>
          </w:p>
        </w:tc>
        <w:tc>
          <w:tcPr>
            <w:tcW w:w="525" w:type="dxa"/>
            <w:noWrap w:val="0"/>
            <w:vAlign w:val="top"/>
          </w:tcPr>
          <w:p w14:paraId="66637505">
            <w:pPr>
              <w:spacing w:line="360" w:lineRule="auto"/>
              <w:rPr>
                <w:rFonts w:hint="eastAsia" w:ascii="宋体" w:hAnsi="宋体" w:eastAsia="宋体" w:cs="宋体"/>
                <w:color w:val="auto"/>
                <w:sz w:val="21"/>
                <w:szCs w:val="21"/>
              </w:rPr>
            </w:pPr>
          </w:p>
        </w:tc>
        <w:tc>
          <w:tcPr>
            <w:tcW w:w="523" w:type="dxa"/>
            <w:noWrap w:val="0"/>
            <w:vAlign w:val="top"/>
          </w:tcPr>
          <w:p w14:paraId="56352E94">
            <w:pPr>
              <w:spacing w:line="360" w:lineRule="auto"/>
              <w:rPr>
                <w:rFonts w:hint="eastAsia" w:ascii="宋体" w:hAnsi="宋体" w:eastAsia="宋体" w:cs="宋体"/>
                <w:color w:val="auto"/>
                <w:sz w:val="21"/>
                <w:szCs w:val="21"/>
              </w:rPr>
            </w:pPr>
          </w:p>
        </w:tc>
        <w:tc>
          <w:tcPr>
            <w:tcW w:w="928" w:type="dxa"/>
            <w:noWrap w:val="0"/>
            <w:vAlign w:val="top"/>
          </w:tcPr>
          <w:p w14:paraId="31BC1073">
            <w:pPr>
              <w:spacing w:line="360" w:lineRule="auto"/>
              <w:rPr>
                <w:rFonts w:hint="eastAsia" w:ascii="宋体" w:hAnsi="宋体" w:eastAsia="宋体" w:cs="宋体"/>
                <w:color w:val="auto"/>
                <w:sz w:val="21"/>
                <w:szCs w:val="21"/>
              </w:rPr>
            </w:pPr>
          </w:p>
        </w:tc>
        <w:tc>
          <w:tcPr>
            <w:tcW w:w="929" w:type="dxa"/>
            <w:noWrap w:val="0"/>
            <w:vAlign w:val="top"/>
          </w:tcPr>
          <w:p w14:paraId="362F76F0">
            <w:pPr>
              <w:spacing w:line="360" w:lineRule="auto"/>
              <w:rPr>
                <w:rFonts w:hint="eastAsia" w:ascii="宋体" w:hAnsi="宋体" w:eastAsia="宋体" w:cs="宋体"/>
                <w:color w:val="auto"/>
                <w:sz w:val="21"/>
                <w:szCs w:val="21"/>
              </w:rPr>
            </w:pPr>
          </w:p>
        </w:tc>
        <w:tc>
          <w:tcPr>
            <w:tcW w:w="928" w:type="dxa"/>
            <w:noWrap w:val="0"/>
            <w:vAlign w:val="top"/>
          </w:tcPr>
          <w:p w14:paraId="3B64FC5E">
            <w:pPr>
              <w:spacing w:line="360" w:lineRule="auto"/>
              <w:rPr>
                <w:rFonts w:hint="eastAsia" w:ascii="宋体" w:hAnsi="宋体" w:eastAsia="宋体" w:cs="宋体"/>
                <w:color w:val="auto"/>
                <w:sz w:val="21"/>
                <w:szCs w:val="21"/>
              </w:rPr>
            </w:pPr>
          </w:p>
        </w:tc>
        <w:tc>
          <w:tcPr>
            <w:tcW w:w="930" w:type="dxa"/>
            <w:noWrap w:val="0"/>
            <w:vAlign w:val="top"/>
          </w:tcPr>
          <w:p w14:paraId="021FD8AC">
            <w:pPr>
              <w:spacing w:line="360" w:lineRule="auto"/>
              <w:rPr>
                <w:rFonts w:hint="eastAsia" w:ascii="宋体" w:hAnsi="宋体" w:eastAsia="宋体" w:cs="宋体"/>
                <w:color w:val="auto"/>
                <w:sz w:val="21"/>
                <w:szCs w:val="21"/>
              </w:rPr>
            </w:pPr>
          </w:p>
        </w:tc>
        <w:tc>
          <w:tcPr>
            <w:tcW w:w="1555" w:type="dxa"/>
            <w:noWrap w:val="0"/>
            <w:vAlign w:val="top"/>
          </w:tcPr>
          <w:p w14:paraId="18D0A61C">
            <w:pPr>
              <w:spacing w:line="360" w:lineRule="auto"/>
              <w:rPr>
                <w:rFonts w:hint="eastAsia" w:ascii="宋体" w:hAnsi="宋体" w:eastAsia="宋体" w:cs="宋体"/>
                <w:color w:val="auto"/>
                <w:sz w:val="21"/>
                <w:szCs w:val="21"/>
              </w:rPr>
            </w:pPr>
          </w:p>
        </w:tc>
        <w:tc>
          <w:tcPr>
            <w:tcW w:w="930" w:type="dxa"/>
            <w:noWrap w:val="0"/>
            <w:vAlign w:val="top"/>
          </w:tcPr>
          <w:p w14:paraId="01EFBE15">
            <w:pPr>
              <w:spacing w:line="360" w:lineRule="auto"/>
              <w:rPr>
                <w:rFonts w:hint="eastAsia" w:ascii="宋体" w:hAnsi="宋体" w:eastAsia="宋体" w:cs="宋体"/>
                <w:color w:val="auto"/>
                <w:sz w:val="21"/>
                <w:szCs w:val="21"/>
              </w:rPr>
            </w:pPr>
          </w:p>
        </w:tc>
        <w:tc>
          <w:tcPr>
            <w:tcW w:w="1216" w:type="dxa"/>
            <w:noWrap w:val="0"/>
            <w:vAlign w:val="top"/>
          </w:tcPr>
          <w:p w14:paraId="3245DB6B">
            <w:pPr>
              <w:spacing w:line="360" w:lineRule="auto"/>
              <w:rPr>
                <w:rFonts w:hint="eastAsia" w:ascii="宋体" w:hAnsi="宋体" w:eastAsia="宋体" w:cs="宋体"/>
                <w:color w:val="auto"/>
                <w:sz w:val="21"/>
                <w:szCs w:val="21"/>
              </w:rPr>
            </w:pPr>
          </w:p>
        </w:tc>
      </w:tr>
      <w:tr w14:paraId="531E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exact"/>
          <w:jc w:val="center"/>
        </w:trPr>
        <w:tc>
          <w:tcPr>
            <w:tcW w:w="1136" w:type="dxa"/>
            <w:noWrap w:val="0"/>
            <w:vAlign w:val="top"/>
          </w:tcPr>
          <w:p w14:paraId="1EF9B51A">
            <w:pPr>
              <w:spacing w:line="360" w:lineRule="auto"/>
              <w:rPr>
                <w:rFonts w:hint="eastAsia" w:ascii="宋体" w:hAnsi="宋体" w:eastAsia="宋体" w:cs="宋体"/>
                <w:color w:val="auto"/>
                <w:sz w:val="21"/>
                <w:szCs w:val="21"/>
                <w:lang w:val="en-US" w:eastAsia="zh-CN"/>
              </w:rPr>
            </w:pPr>
          </w:p>
        </w:tc>
        <w:tc>
          <w:tcPr>
            <w:tcW w:w="525" w:type="dxa"/>
            <w:noWrap w:val="0"/>
            <w:vAlign w:val="top"/>
          </w:tcPr>
          <w:p w14:paraId="2CC2487E">
            <w:pPr>
              <w:spacing w:line="360" w:lineRule="auto"/>
              <w:rPr>
                <w:rFonts w:hint="eastAsia" w:ascii="宋体" w:hAnsi="宋体" w:eastAsia="宋体" w:cs="宋体"/>
                <w:color w:val="auto"/>
                <w:sz w:val="21"/>
                <w:szCs w:val="21"/>
              </w:rPr>
            </w:pPr>
          </w:p>
        </w:tc>
        <w:tc>
          <w:tcPr>
            <w:tcW w:w="523" w:type="dxa"/>
            <w:noWrap w:val="0"/>
            <w:vAlign w:val="top"/>
          </w:tcPr>
          <w:p w14:paraId="378245C9">
            <w:pPr>
              <w:spacing w:line="360" w:lineRule="auto"/>
              <w:rPr>
                <w:rFonts w:hint="eastAsia" w:ascii="宋体" w:hAnsi="宋体" w:eastAsia="宋体" w:cs="宋体"/>
                <w:color w:val="auto"/>
                <w:sz w:val="21"/>
                <w:szCs w:val="21"/>
              </w:rPr>
            </w:pPr>
          </w:p>
        </w:tc>
        <w:tc>
          <w:tcPr>
            <w:tcW w:w="928" w:type="dxa"/>
            <w:noWrap w:val="0"/>
            <w:vAlign w:val="top"/>
          </w:tcPr>
          <w:p w14:paraId="6AC6544F">
            <w:pPr>
              <w:spacing w:line="360" w:lineRule="auto"/>
              <w:rPr>
                <w:rFonts w:hint="eastAsia" w:ascii="宋体" w:hAnsi="宋体" w:eastAsia="宋体" w:cs="宋体"/>
                <w:color w:val="auto"/>
                <w:sz w:val="21"/>
                <w:szCs w:val="21"/>
              </w:rPr>
            </w:pPr>
          </w:p>
        </w:tc>
        <w:tc>
          <w:tcPr>
            <w:tcW w:w="929" w:type="dxa"/>
            <w:noWrap w:val="0"/>
            <w:vAlign w:val="top"/>
          </w:tcPr>
          <w:p w14:paraId="586B7F07">
            <w:pPr>
              <w:spacing w:line="360" w:lineRule="auto"/>
              <w:rPr>
                <w:rFonts w:hint="eastAsia" w:ascii="宋体" w:hAnsi="宋体" w:eastAsia="宋体" w:cs="宋体"/>
                <w:color w:val="auto"/>
                <w:sz w:val="21"/>
                <w:szCs w:val="21"/>
              </w:rPr>
            </w:pPr>
          </w:p>
        </w:tc>
        <w:tc>
          <w:tcPr>
            <w:tcW w:w="928" w:type="dxa"/>
            <w:noWrap w:val="0"/>
            <w:vAlign w:val="top"/>
          </w:tcPr>
          <w:p w14:paraId="3A419086">
            <w:pPr>
              <w:spacing w:line="360" w:lineRule="auto"/>
              <w:rPr>
                <w:rFonts w:hint="eastAsia" w:ascii="宋体" w:hAnsi="宋体" w:eastAsia="宋体" w:cs="宋体"/>
                <w:color w:val="auto"/>
                <w:sz w:val="21"/>
                <w:szCs w:val="21"/>
              </w:rPr>
            </w:pPr>
          </w:p>
        </w:tc>
        <w:tc>
          <w:tcPr>
            <w:tcW w:w="930" w:type="dxa"/>
            <w:noWrap w:val="0"/>
            <w:vAlign w:val="top"/>
          </w:tcPr>
          <w:p w14:paraId="6F4EC023">
            <w:pPr>
              <w:spacing w:line="360" w:lineRule="auto"/>
              <w:rPr>
                <w:rFonts w:hint="eastAsia" w:ascii="宋体" w:hAnsi="宋体" w:eastAsia="宋体" w:cs="宋体"/>
                <w:color w:val="auto"/>
                <w:sz w:val="21"/>
                <w:szCs w:val="21"/>
              </w:rPr>
            </w:pPr>
          </w:p>
        </w:tc>
        <w:tc>
          <w:tcPr>
            <w:tcW w:w="1555" w:type="dxa"/>
            <w:noWrap w:val="0"/>
            <w:vAlign w:val="top"/>
          </w:tcPr>
          <w:p w14:paraId="1A81E349">
            <w:pPr>
              <w:spacing w:line="360" w:lineRule="auto"/>
              <w:rPr>
                <w:rFonts w:hint="eastAsia" w:ascii="宋体" w:hAnsi="宋体" w:eastAsia="宋体" w:cs="宋体"/>
                <w:color w:val="auto"/>
                <w:sz w:val="21"/>
                <w:szCs w:val="21"/>
              </w:rPr>
            </w:pPr>
          </w:p>
        </w:tc>
        <w:tc>
          <w:tcPr>
            <w:tcW w:w="930" w:type="dxa"/>
            <w:noWrap w:val="0"/>
            <w:vAlign w:val="top"/>
          </w:tcPr>
          <w:p w14:paraId="0D905B24">
            <w:pPr>
              <w:spacing w:line="360" w:lineRule="auto"/>
              <w:rPr>
                <w:rFonts w:hint="eastAsia" w:ascii="宋体" w:hAnsi="宋体" w:eastAsia="宋体" w:cs="宋体"/>
                <w:color w:val="auto"/>
                <w:sz w:val="21"/>
                <w:szCs w:val="21"/>
              </w:rPr>
            </w:pPr>
          </w:p>
        </w:tc>
        <w:tc>
          <w:tcPr>
            <w:tcW w:w="1216" w:type="dxa"/>
            <w:noWrap w:val="0"/>
            <w:vAlign w:val="top"/>
          </w:tcPr>
          <w:p w14:paraId="357BDC48">
            <w:pPr>
              <w:spacing w:line="360" w:lineRule="auto"/>
              <w:rPr>
                <w:rFonts w:hint="eastAsia" w:ascii="宋体" w:hAnsi="宋体" w:eastAsia="宋体" w:cs="宋体"/>
                <w:color w:val="auto"/>
                <w:sz w:val="21"/>
                <w:szCs w:val="21"/>
              </w:rPr>
            </w:pPr>
          </w:p>
        </w:tc>
      </w:tr>
      <w:tr w14:paraId="7D1F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136" w:type="dxa"/>
            <w:noWrap w:val="0"/>
            <w:vAlign w:val="top"/>
          </w:tcPr>
          <w:p w14:paraId="71842951">
            <w:pPr>
              <w:spacing w:line="360" w:lineRule="auto"/>
              <w:rPr>
                <w:rFonts w:hint="eastAsia" w:ascii="宋体" w:hAnsi="宋体" w:eastAsia="宋体" w:cs="宋体"/>
                <w:color w:val="auto"/>
                <w:sz w:val="21"/>
                <w:szCs w:val="21"/>
              </w:rPr>
            </w:pPr>
          </w:p>
        </w:tc>
        <w:tc>
          <w:tcPr>
            <w:tcW w:w="525" w:type="dxa"/>
            <w:noWrap w:val="0"/>
            <w:vAlign w:val="top"/>
          </w:tcPr>
          <w:p w14:paraId="1044224E">
            <w:pPr>
              <w:spacing w:line="360" w:lineRule="auto"/>
              <w:rPr>
                <w:rFonts w:hint="eastAsia" w:ascii="宋体" w:hAnsi="宋体" w:eastAsia="宋体" w:cs="宋体"/>
                <w:color w:val="auto"/>
                <w:sz w:val="21"/>
                <w:szCs w:val="21"/>
              </w:rPr>
            </w:pPr>
          </w:p>
        </w:tc>
        <w:tc>
          <w:tcPr>
            <w:tcW w:w="523" w:type="dxa"/>
            <w:noWrap w:val="0"/>
            <w:vAlign w:val="top"/>
          </w:tcPr>
          <w:p w14:paraId="163D3A05">
            <w:pPr>
              <w:spacing w:line="360" w:lineRule="auto"/>
              <w:rPr>
                <w:rFonts w:hint="eastAsia" w:ascii="宋体" w:hAnsi="宋体" w:eastAsia="宋体" w:cs="宋体"/>
                <w:color w:val="auto"/>
                <w:sz w:val="21"/>
                <w:szCs w:val="21"/>
              </w:rPr>
            </w:pPr>
          </w:p>
        </w:tc>
        <w:tc>
          <w:tcPr>
            <w:tcW w:w="928" w:type="dxa"/>
            <w:noWrap w:val="0"/>
            <w:vAlign w:val="top"/>
          </w:tcPr>
          <w:p w14:paraId="1CA22307">
            <w:pPr>
              <w:spacing w:line="360" w:lineRule="auto"/>
              <w:rPr>
                <w:rFonts w:hint="eastAsia" w:ascii="宋体" w:hAnsi="宋体" w:eastAsia="宋体" w:cs="宋体"/>
                <w:color w:val="auto"/>
                <w:sz w:val="21"/>
                <w:szCs w:val="21"/>
              </w:rPr>
            </w:pPr>
          </w:p>
        </w:tc>
        <w:tc>
          <w:tcPr>
            <w:tcW w:w="929" w:type="dxa"/>
            <w:noWrap w:val="0"/>
            <w:vAlign w:val="top"/>
          </w:tcPr>
          <w:p w14:paraId="0AF284AA">
            <w:pPr>
              <w:spacing w:line="360" w:lineRule="auto"/>
              <w:rPr>
                <w:rFonts w:hint="eastAsia" w:ascii="宋体" w:hAnsi="宋体" w:eastAsia="宋体" w:cs="宋体"/>
                <w:color w:val="auto"/>
                <w:sz w:val="21"/>
                <w:szCs w:val="21"/>
              </w:rPr>
            </w:pPr>
          </w:p>
        </w:tc>
        <w:tc>
          <w:tcPr>
            <w:tcW w:w="928" w:type="dxa"/>
            <w:noWrap w:val="0"/>
            <w:vAlign w:val="top"/>
          </w:tcPr>
          <w:p w14:paraId="5E26B873">
            <w:pPr>
              <w:spacing w:line="360" w:lineRule="auto"/>
              <w:rPr>
                <w:rFonts w:hint="eastAsia" w:ascii="宋体" w:hAnsi="宋体" w:eastAsia="宋体" w:cs="宋体"/>
                <w:color w:val="auto"/>
                <w:sz w:val="21"/>
                <w:szCs w:val="21"/>
              </w:rPr>
            </w:pPr>
          </w:p>
        </w:tc>
        <w:tc>
          <w:tcPr>
            <w:tcW w:w="930" w:type="dxa"/>
            <w:noWrap w:val="0"/>
            <w:vAlign w:val="top"/>
          </w:tcPr>
          <w:p w14:paraId="7BB31D34">
            <w:pPr>
              <w:spacing w:line="360" w:lineRule="auto"/>
              <w:rPr>
                <w:rFonts w:hint="eastAsia" w:ascii="宋体" w:hAnsi="宋体" w:eastAsia="宋体" w:cs="宋体"/>
                <w:color w:val="auto"/>
                <w:sz w:val="21"/>
                <w:szCs w:val="21"/>
              </w:rPr>
            </w:pPr>
          </w:p>
        </w:tc>
        <w:tc>
          <w:tcPr>
            <w:tcW w:w="1555" w:type="dxa"/>
            <w:noWrap w:val="0"/>
            <w:vAlign w:val="top"/>
          </w:tcPr>
          <w:p w14:paraId="376AC579">
            <w:pPr>
              <w:spacing w:line="360" w:lineRule="auto"/>
              <w:rPr>
                <w:rFonts w:hint="eastAsia" w:ascii="宋体" w:hAnsi="宋体" w:eastAsia="宋体" w:cs="宋体"/>
                <w:color w:val="auto"/>
                <w:sz w:val="21"/>
                <w:szCs w:val="21"/>
              </w:rPr>
            </w:pPr>
          </w:p>
        </w:tc>
        <w:tc>
          <w:tcPr>
            <w:tcW w:w="930" w:type="dxa"/>
            <w:noWrap w:val="0"/>
            <w:vAlign w:val="top"/>
          </w:tcPr>
          <w:p w14:paraId="798B4E6A">
            <w:pPr>
              <w:spacing w:line="360" w:lineRule="auto"/>
              <w:rPr>
                <w:rFonts w:hint="eastAsia" w:ascii="宋体" w:hAnsi="宋体" w:eastAsia="宋体" w:cs="宋体"/>
                <w:color w:val="auto"/>
                <w:sz w:val="21"/>
                <w:szCs w:val="21"/>
              </w:rPr>
            </w:pPr>
          </w:p>
        </w:tc>
        <w:tc>
          <w:tcPr>
            <w:tcW w:w="1216" w:type="dxa"/>
            <w:noWrap w:val="0"/>
            <w:vAlign w:val="top"/>
          </w:tcPr>
          <w:p w14:paraId="0462D580">
            <w:pPr>
              <w:spacing w:line="360" w:lineRule="auto"/>
              <w:rPr>
                <w:rFonts w:hint="eastAsia" w:ascii="宋体" w:hAnsi="宋体" w:eastAsia="宋体" w:cs="宋体"/>
                <w:color w:val="auto"/>
                <w:sz w:val="21"/>
                <w:szCs w:val="21"/>
              </w:rPr>
            </w:pPr>
          </w:p>
        </w:tc>
      </w:tr>
      <w:tr w14:paraId="0916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136" w:type="dxa"/>
            <w:noWrap w:val="0"/>
            <w:vAlign w:val="top"/>
          </w:tcPr>
          <w:p w14:paraId="7C0911F9">
            <w:pPr>
              <w:spacing w:line="360" w:lineRule="auto"/>
              <w:rPr>
                <w:rFonts w:hint="eastAsia" w:ascii="宋体" w:hAnsi="宋体" w:eastAsia="宋体" w:cs="宋体"/>
                <w:color w:val="auto"/>
                <w:sz w:val="21"/>
                <w:szCs w:val="21"/>
              </w:rPr>
            </w:pPr>
          </w:p>
        </w:tc>
        <w:tc>
          <w:tcPr>
            <w:tcW w:w="525" w:type="dxa"/>
            <w:noWrap w:val="0"/>
            <w:vAlign w:val="top"/>
          </w:tcPr>
          <w:p w14:paraId="59879290">
            <w:pPr>
              <w:spacing w:line="360" w:lineRule="auto"/>
              <w:rPr>
                <w:rFonts w:hint="eastAsia" w:ascii="宋体" w:hAnsi="宋体" w:eastAsia="宋体" w:cs="宋体"/>
                <w:color w:val="auto"/>
                <w:sz w:val="21"/>
                <w:szCs w:val="21"/>
              </w:rPr>
            </w:pPr>
          </w:p>
        </w:tc>
        <w:tc>
          <w:tcPr>
            <w:tcW w:w="523" w:type="dxa"/>
            <w:noWrap w:val="0"/>
            <w:vAlign w:val="top"/>
          </w:tcPr>
          <w:p w14:paraId="454798A6">
            <w:pPr>
              <w:spacing w:line="360" w:lineRule="auto"/>
              <w:rPr>
                <w:rFonts w:hint="eastAsia" w:ascii="宋体" w:hAnsi="宋体" w:eastAsia="宋体" w:cs="宋体"/>
                <w:color w:val="auto"/>
                <w:sz w:val="21"/>
                <w:szCs w:val="21"/>
              </w:rPr>
            </w:pPr>
          </w:p>
        </w:tc>
        <w:tc>
          <w:tcPr>
            <w:tcW w:w="928" w:type="dxa"/>
            <w:noWrap w:val="0"/>
            <w:vAlign w:val="top"/>
          </w:tcPr>
          <w:p w14:paraId="19E966FF">
            <w:pPr>
              <w:spacing w:line="360" w:lineRule="auto"/>
              <w:rPr>
                <w:rFonts w:hint="eastAsia" w:ascii="宋体" w:hAnsi="宋体" w:eastAsia="宋体" w:cs="宋体"/>
                <w:color w:val="auto"/>
                <w:sz w:val="21"/>
                <w:szCs w:val="21"/>
              </w:rPr>
            </w:pPr>
          </w:p>
        </w:tc>
        <w:tc>
          <w:tcPr>
            <w:tcW w:w="929" w:type="dxa"/>
            <w:noWrap w:val="0"/>
            <w:vAlign w:val="top"/>
          </w:tcPr>
          <w:p w14:paraId="611304FF">
            <w:pPr>
              <w:spacing w:line="360" w:lineRule="auto"/>
              <w:rPr>
                <w:rFonts w:hint="eastAsia" w:ascii="宋体" w:hAnsi="宋体" w:eastAsia="宋体" w:cs="宋体"/>
                <w:color w:val="auto"/>
                <w:sz w:val="21"/>
                <w:szCs w:val="21"/>
              </w:rPr>
            </w:pPr>
          </w:p>
        </w:tc>
        <w:tc>
          <w:tcPr>
            <w:tcW w:w="928" w:type="dxa"/>
            <w:noWrap w:val="0"/>
            <w:vAlign w:val="top"/>
          </w:tcPr>
          <w:p w14:paraId="70F77645">
            <w:pPr>
              <w:spacing w:line="360" w:lineRule="auto"/>
              <w:rPr>
                <w:rFonts w:hint="eastAsia" w:ascii="宋体" w:hAnsi="宋体" w:eastAsia="宋体" w:cs="宋体"/>
                <w:color w:val="auto"/>
                <w:sz w:val="21"/>
                <w:szCs w:val="21"/>
              </w:rPr>
            </w:pPr>
          </w:p>
        </w:tc>
        <w:tc>
          <w:tcPr>
            <w:tcW w:w="930" w:type="dxa"/>
            <w:noWrap w:val="0"/>
            <w:vAlign w:val="top"/>
          </w:tcPr>
          <w:p w14:paraId="10A45C42">
            <w:pPr>
              <w:spacing w:line="360" w:lineRule="auto"/>
              <w:rPr>
                <w:rFonts w:hint="eastAsia" w:ascii="宋体" w:hAnsi="宋体" w:eastAsia="宋体" w:cs="宋体"/>
                <w:color w:val="auto"/>
                <w:sz w:val="21"/>
                <w:szCs w:val="21"/>
              </w:rPr>
            </w:pPr>
          </w:p>
        </w:tc>
        <w:tc>
          <w:tcPr>
            <w:tcW w:w="1555" w:type="dxa"/>
            <w:noWrap w:val="0"/>
            <w:vAlign w:val="top"/>
          </w:tcPr>
          <w:p w14:paraId="64639BB2">
            <w:pPr>
              <w:spacing w:line="360" w:lineRule="auto"/>
              <w:rPr>
                <w:rFonts w:hint="eastAsia" w:ascii="宋体" w:hAnsi="宋体" w:eastAsia="宋体" w:cs="宋体"/>
                <w:color w:val="auto"/>
                <w:sz w:val="21"/>
                <w:szCs w:val="21"/>
              </w:rPr>
            </w:pPr>
          </w:p>
        </w:tc>
        <w:tc>
          <w:tcPr>
            <w:tcW w:w="930" w:type="dxa"/>
            <w:noWrap w:val="0"/>
            <w:vAlign w:val="top"/>
          </w:tcPr>
          <w:p w14:paraId="362A2D22">
            <w:pPr>
              <w:spacing w:line="360" w:lineRule="auto"/>
              <w:rPr>
                <w:rFonts w:hint="eastAsia" w:ascii="宋体" w:hAnsi="宋体" w:eastAsia="宋体" w:cs="宋体"/>
                <w:color w:val="auto"/>
                <w:sz w:val="21"/>
                <w:szCs w:val="21"/>
              </w:rPr>
            </w:pPr>
          </w:p>
        </w:tc>
        <w:tc>
          <w:tcPr>
            <w:tcW w:w="1216" w:type="dxa"/>
            <w:noWrap w:val="0"/>
            <w:vAlign w:val="top"/>
          </w:tcPr>
          <w:p w14:paraId="4DA9C8F7">
            <w:pPr>
              <w:spacing w:line="360" w:lineRule="auto"/>
              <w:rPr>
                <w:rFonts w:hint="eastAsia" w:ascii="宋体" w:hAnsi="宋体" w:eastAsia="宋体" w:cs="宋体"/>
                <w:color w:val="auto"/>
                <w:sz w:val="21"/>
                <w:szCs w:val="21"/>
              </w:rPr>
            </w:pPr>
          </w:p>
        </w:tc>
      </w:tr>
      <w:tr w14:paraId="0FE6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exact"/>
          <w:jc w:val="center"/>
        </w:trPr>
        <w:tc>
          <w:tcPr>
            <w:tcW w:w="9600" w:type="dxa"/>
            <w:gridSpan w:val="10"/>
            <w:noWrap w:val="0"/>
            <w:vAlign w:val="top"/>
          </w:tcPr>
          <w:p w14:paraId="532B39F6">
            <w:pPr>
              <w:spacing w:line="360" w:lineRule="auto"/>
              <w:ind w:firstLine="472" w:firstLineChars="225"/>
              <w:rPr>
                <w:rFonts w:hint="eastAsia" w:ascii="宋体" w:hAnsi="宋体" w:eastAsia="宋体" w:cs="宋体"/>
                <w:color w:val="auto"/>
                <w:sz w:val="21"/>
                <w:szCs w:val="21"/>
              </w:rPr>
            </w:pPr>
            <w:r>
              <w:rPr>
                <w:rFonts w:hint="eastAsia" w:ascii="宋体" w:hAnsi="宋体" w:eastAsia="宋体" w:cs="宋体"/>
                <w:color w:val="auto"/>
                <w:sz w:val="21"/>
                <w:szCs w:val="21"/>
              </w:rPr>
              <w:t>本工程一旦我单位中标，将实行项目经理负责制，并配备上述项目管理班子。上述填报内容真实，若不真实，愿按有关规定接受处理。项目管理班子机构设置、职责分工等情况另附资料说明。</w:t>
            </w:r>
          </w:p>
        </w:tc>
      </w:tr>
    </w:tbl>
    <w:p w14:paraId="25C252A7">
      <w:pPr>
        <w:spacing w:line="360" w:lineRule="auto"/>
        <w:rPr>
          <w:rFonts w:hint="eastAsia" w:ascii="宋体" w:hAnsi="宋体" w:eastAsia="宋体" w:cs="宋体"/>
          <w:b/>
          <w:bCs/>
          <w:color w:val="auto"/>
          <w:kern w:val="0"/>
          <w:sz w:val="21"/>
          <w:szCs w:val="21"/>
        </w:rPr>
      </w:pPr>
      <w:r>
        <w:rPr>
          <w:rFonts w:hint="eastAsia" w:ascii="宋体" w:hAnsi="宋体" w:cs="宋体"/>
          <w:b/>
          <w:color w:val="auto"/>
          <w:szCs w:val="21"/>
          <w:highlight w:val="none"/>
        </w:rPr>
        <w:t>要求：</w:t>
      </w:r>
      <w:r>
        <w:rPr>
          <w:rFonts w:hint="eastAsia" w:ascii="宋体" w:hAnsi="宋体" w:cs="宋体"/>
          <w:bCs/>
          <w:color w:val="auto"/>
          <w:kern w:val="0"/>
          <w:szCs w:val="21"/>
          <w:highlight w:val="none"/>
        </w:rPr>
        <w:t>表中参照“第四部分</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评标办法及评分标准”中要求提供；</w:t>
      </w:r>
      <w:r>
        <w:rPr>
          <w:rFonts w:hint="eastAsia" w:ascii="宋体" w:hAnsi="宋体" w:eastAsia="宋体" w:cs="宋体"/>
          <w:bCs/>
          <w:color w:val="auto"/>
          <w:kern w:val="0"/>
          <w:sz w:val="21"/>
          <w:szCs w:val="21"/>
        </w:rPr>
        <w:t>中拟派人员要求填写，并附上相关人员的</w:t>
      </w:r>
      <w:r>
        <w:rPr>
          <w:rFonts w:hint="eastAsia" w:ascii="宋体" w:hAnsi="宋体" w:eastAsia="宋体" w:cs="宋体"/>
          <w:bCs/>
          <w:color w:val="auto"/>
          <w:kern w:val="0"/>
          <w:sz w:val="21"/>
          <w:szCs w:val="21"/>
          <w:lang w:val="en-US" w:eastAsia="zh-CN"/>
        </w:rPr>
        <w:t>资格证书、社保证明</w:t>
      </w:r>
      <w:r>
        <w:rPr>
          <w:rFonts w:hint="eastAsia" w:ascii="宋体" w:hAnsi="宋体" w:eastAsia="宋体" w:cs="宋体"/>
          <w:bCs/>
          <w:color w:val="auto"/>
          <w:kern w:val="0"/>
          <w:sz w:val="21"/>
          <w:szCs w:val="21"/>
          <w:highlight w:val="none"/>
        </w:rPr>
        <w:t>等</w:t>
      </w:r>
      <w:r>
        <w:rPr>
          <w:rFonts w:hint="eastAsia" w:ascii="宋体" w:hAnsi="宋体" w:eastAsia="宋体" w:cs="宋体"/>
          <w:bCs/>
          <w:color w:val="auto"/>
          <w:kern w:val="0"/>
          <w:sz w:val="21"/>
          <w:szCs w:val="21"/>
        </w:rPr>
        <w:t>影响资格评审或评分的材料。</w:t>
      </w:r>
      <w:r>
        <w:rPr>
          <w:rFonts w:hint="eastAsia" w:ascii="宋体" w:hAnsi="宋体" w:eastAsia="宋体" w:cs="宋体"/>
          <w:bCs/>
          <w:color w:val="auto"/>
          <w:kern w:val="0"/>
          <w:sz w:val="21"/>
          <w:szCs w:val="21"/>
          <w:lang w:eastAsia="zh-CN"/>
        </w:rPr>
        <w:t>供应商</w:t>
      </w:r>
      <w:r>
        <w:rPr>
          <w:rFonts w:hint="eastAsia" w:ascii="宋体" w:hAnsi="宋体" w:eastAsia="宋体" w:cs="宋体"/>
          <w:bCs/>
          <w:color w:val="auto"/>
          <w:kern w:val="0"/>
          <w:sz w:val="21"/>
          <w:szCs w:val="21"/>
        </w:rPr>
        <w:t>可根据自身情况调整表格。</w:t>
      </w:r>
    </w:p>
    <w:p w14:paraId="5757A2C6">
      <w:pPr>
        <w:spacing w:line="360" w:lineRule="auto"/>
        <w:rPr>
          <w:rFonts w:ascii="宋体" w:cs="宋体"/>
          <w:bCs/>
          <w:color w:val="auto"/>
          <w:kern w:val="0"/>
          <w:szCs w:val="21"/>
          <w:highlight w:val="none"/>
        </w:rPr>
      </w:pPr>
    </w:p>
    <w:p w14:paraId="0CD59CC8">
      <w:pPr>
        <w:spacing w:line="360" w:lineRule="auto"/>
        <w:rPr>
          <w:rFonts w:ascii="宋体" w:cs="宋体"/>
          <w:color w:val="auto"/>
          <w:szCs w:val="21"/>
          <w:highlight w:val="none"/>
        </w:rPr>
      </w:pPr>
    </w:p>
    <w:p w14:paraId="1F0133C6">
      <w:pPr>
        <w:pStyle w:val="2"/>
        <w:rPr>
          <w:color w:val="auto"/>
          <w:highlight w:val="none"/>
          <w:lang w:val="en-US"/>
        </w:rPr>
      </w:pPr>
    </w:p>
    <w:p w14:paraId="1607FAF3">
      <w:pPr>
        <w:pStyle w:val="10"/>
        <w:ind w:firstLine="0" w:firstLineChars="0"/>
        <w:rPr>
          <w:color w:val="auto"/>
          <w:highlight w:val="none"/>
        </w:rPr>
      </w:pPr>
    </w:p>
    <w:p w14:paraId="201081D0">
      <w:pPr>
        <w:spacing w:line="360" w:lineRule="auto"/>
        <w:rPr>
          <w:rFonts w:ascii="宋体" w:cs="宋体"/>
          <w:color w:val="auto"/>
          <w:szCs w:val="21"/>
          <w:highlight w:val="none"/>
        </w:rPr>
      </w:pPr>
    </w:p>
    <w:p w14:paraId="01032F4F">
      <w:pPr>
        <w:spacing w:line="360" w:lineRule="auto"/>
        <w:ind w:firstLine="4320" w:firstLineChars="1800"/>
        <w:jc w:val="right"/>
        <w:rPr>
          <w:rFonts w:ascii="宋体" w:cs="宋体"/>
          <w:color w:val="auto"/>
          <w:szCs w:val="21"/>
          <w:highlight w:val="none"/>
          <w:lang w:val="zh-CN"/>
        </w:rPr>
      </w:pPr>
      <w:r>
        <w:rPr>
          <w:rFonts w:ascii="宋体" w:hAnsi="宋体" w:cs="宋体"/>
          <w:color w:val="auto"/>
          <w:sz w:val="24"/>
          <w:highlight w:val="none"/>
        </w:rPr>
        <w:t xml:space="preserve"> </w:t>
      </w:r>
      <w:r>
        <w:rPr>
          <w:rFonts w:hint="eastAsia" w:ascii="宋体" w:hAnsi="宋体" w:cs="宋体"/>
          <w:color w:val="auto"/>
          <w:szCs w:val="21"/>
          <w:highlight w:val="none"/>
        </w:rPr>
        <w:t>磋商人名称</w:t>
      </w:r>
      <w:r>
        <w:rPr>
          <w:rFonts w:hint="eastAsia" w:ascii="宋体" w:hAnsi="宋体" w:cs="宋体"/>
          <w:color w:val="auto"/>
          <w:szCs w:val="21"/>
          <w:highlight w:val="none"/>
          <w:lang w:val="zh-CN"/>
        </w:rPr>
        <w:t>（盖单位章）：</w:t>
      </w:r>
    </w:p>
    <w:p w14:paraId="04CAC559">
      <w:pPr>
        <w:pStyle w:val="36"/>
        <w:rPr>
          <w:rFonts w:ascii="宋体"/>
          <w:color w:val="auto"/>
          <w:highlight w:val="none"/>
        </w:rPr>
      </w:pPr>
      <w:r>
        <w:rPr>
          <w:rFonts w:ascii="宋体" w:hAnsi="宋体"/>
          <w:color w:val="auto"/>
          <w:highlight w:val="none"/>
          <w:lang w:val="zh-CN"/>
        </w:rPr>
        <w:t xml:space="preserve">                                                 </w:t>
      </w:r>
      <w:r>
        <w:rPr>
          <w:rFonts w:ascii="宋体" w:hAnsi="宋体"/>
          <w:color w:val="auto"/>
          <w:highlight w:val="none"/>
        </w:rPr>
        <w:t xml:space="preserve">   </w:t>
      </w: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rPr>
        <w:t>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3D415F75">
      <w:pPr>
        <w:rPr>
          <w:rFonts w:ascii="宋体" w:cs="宋体"/>
          <w:color w:val="auto"/>
          <w:szCs w:val="21"/>
          <w:highlight w:val="none"/>
        </w:rPr>
      </w:pPr>
      <w:r>
        <w:rPr>
          <w:rFonts w:ascii="宋体" w:cs="宋体"/>
          <w:color w:val="auto"/>
          <w:szCs w:val="21"/>
          <w:highlight w:val="none"/>
        </w:rPr>
        <w:br w:type="page"/>
      </w:r>
    </w:p>
    <w:p w14:paraId="162718D1">
      <w:pPr>
        <w:pStyle w:val="36"/>
        <w:rPr>
          <w:rFonts w:ascii="宋体"/>
          <w:color w:val="auto"/>
          <w:highlight w:val="none"/>
        </w:rPr>
        <w:sectPr>
          <w:pgSz w:w="11906" w:h="16838"/>
          <w:pgMar w:top="1440" w:right="1587" w:bottom="1440" w:left="1587" w:header="851" w:footer="992" w:gutter="0"/>
          <w:cols w:space="720" w:num="1"/>
          <w:docGrid w:type="lines" w:linePitch="312" w:charSpace="0"/>
        </w:sectPr>
      </w:pPr>
    </w:p>
    <w:p w14:paraId="126DB591">
      <w:pPr>
        <w:pStyle w:val="4"/>
        <w:spacing w:before="312" w:beforeLines="100" w:after="0"/>
        <w:jc w:val="center"/>
        <w:rPr>
          <w:rFonts w:hint="eastAsia" w:ascii="宋体" w:hAnsi="宋体" w:eastAsia="宋体" w:cs="宋体"/>
          <w:bCs w:val="0"/>
          <w:color w:val="auto"/>
          <w:highlight w:val="none"/>
          <w:lang w:val="zh-CN"/>
        </w:rPr>
      </w:pPr>
      <w:bookmarkStart w:id="137" w:name="_Toc29702"/>
      <w:bookmarkStart w:id="138" w:name="_Toc528927457"/>
      <w:bookmarkStart w:id="139" w:name="_Toc528578415"/>
      <w:r>
        <w:rPr>
          <w:rFonts w:ascii="宋体" w:hAnsi="宋体" w:eastAsia="宋体" w:cs="宋体"/>
          <w:bCs w:val="0"/>
          <w:color w:val="auto"/>
          <w:highlight w:val="none"/>
          <w:lang w:val="zh-CN"/>
        </w:rPr>
        <w:t>3</w:t>
      </w:r>
      <w:r>
        <w:rPr>
          <w:rFonts w:hint="eastAsia" w:ascii="宋体" w:hAnsi="宋体" w:eastAsia="宋体" w:cs="宋体"/>
          <w:bCs w:val="0"/>
          <w:color w:val="auto"/>
          <w:highlight w:val="none"/>
          <w:lang w:val="zh-CN"/>
        </w:rPr>
        <w:t>、报价文件格式</w:t>
      </w:r>
      <w:bookmarkEnd w:id="137"/>
      <w:bookmarkEnd w:id="138"/>
      <w:bookmarkEnd w:id="139"/>
    </w:p>
    <w:p w14:paraId="59BE9427">
      <w:pPr>
        <w:spacing w:before="100" w:beforeAutospacing="1" w:line="360" w:lineRule="auto"/>
        <w:jc w:val="center"/>
        <w:rPr>
          <w:rFonts w:ascii="宋体" w:cs="宋体"/>
          <w:b/>
          <w:bCs/>
          <w:color w:val="auto"/>
          <w:sz w:val="28"/>
          <w:szCs w:val="28"/>
          <w:highlight w:val="none"/>
        </w:rPr>
      </w:pPr>
      <w:r>
        <w:rPr>
          <w:rFonts w:hint="eastAsia" w:ascii="宋体" w:hAnsi="宋体" w:cs="宋体"/>
          <w:b/>
          <w:bCs/>
          <w:color w:val="auto"/>
          <w:sz w:val="28"/>
          <w:szCs w:val="28"/>
          <w:highlight w:val="none"/>
        </w:rPr>
        <w:t>目</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录</w:t>
      </w:r>
    </w:p>
    <w:p w14:paraId="0C2A3C3F">
      <w:pPr>
        <w:spacing w:line="480" w:lineRule="auto"/>
        <w:jc w:val="center"/>
        <w:rPr>
          <w:rFonts w:ascii="宋体" w:cs="宋体"/>
          <w:color w:val="auto"/>
          <w:sz w:val="24"/>
          <w:highlight w:val="none"/>
        </w:rPr>
      </w:pPr>
      <w:r>
        <w:rPr>
          <w:rFonts w:hint="eastAsia" w:ascii="宋体" w:hAnsi="宋体" w:cs="宋体"/>
          <w:color w:val="auto"/>
          <w:sz w:val="24"/>
          <w:highlight w:val="none"/>
        </w:rPr>
        <w:t>（供应商可参考采购文件“第三章</w:t>
      </w:r>
      <w:r>
        <w:rPr>
          <w:rFonts w:ascii="宋体" w:hAnsi="宋体" w:cs="宋体"/>
          <w:color w:val="auto"/>
          <w:sz w:val="24"/>
          <w:highlight w:val="none"/>
        </w:rPr>
        <w:t xml:space="preserve"> </w:t>
      </w:r>
      <w:r>
        <w:rPr>
          <w:rFonts w:hint="eastAsia" w:ascii="宋体" w:hAnsi="宋体" w:cs="宋体"/>
          <w:color w:val="auto"/>
          <w:sz w:val="24"/>
          <w:highlight w:val="none"/>
        </w:rPr>
        <w:t>磋商须知”报价文件组成要求编排）</w:t>
      </w:r>
    </w:p>
    <w:p w14:paraId="1FFC9772">
      <w:pPr>
        <w:spacing w:before="100" w:beforeAutospacing="1" w:line="360" w:lineRule="auto"/>
        <w:rPr>
          <w:rFonts w:ascii="宋体" w:cs="宋体"/>
          <w:b/>
          <w:bCs/>
          <w:color w:val="auto"/>
          <w:sz w:val="24"/>
          <w:highlight w:val="none"/>
        </w:rPr>
        <w:sectPr>
          <w:pgSz w:w="11906" w:h="16838"/>
          <w:pgMar w:top="1440" w:right="1587" w:bottom="1440" w:left="1587" w:header="851" w:footer="992" w:gutter="0"/>
          <w:cols w:space="720" w:num="1"/>
          <w:docGrid w:type="lines" w:linePitch="312" w:charSpace="0"/>
        </w:sectPr>
      </w:pPr>
    </w:p>
    <w:p w14:paraId="4464F15B">
      <w:pPr>
        <w:spacing w:line="360" w:lineRule="auto"/>
        <w:rPr>
          <w:rFonts w:ascii="宋体" w:cs="宋体"/>
          <w:b/>
          <w:bCs/>
          <w:color w:val="auto"/>
          <w:sz w:val="24"/>
          <w:highlight w:val="none"/>
        </w:rPr>
      </w:pPr>
      <w:r>
        <w:rPr>
          <w:rFonts w:hint="eastAsia" w:ascii="宋体" w:hAnsi="宋体" w:cs="宋体"/>
          <w:b/>
          <w:bCs/>
          <w:color w:val="auto"/>
          <w:sz w:val="24"/>
          <w:highlight w:val="none"/>
        </w:rPr>
        <w:t>附件</w:t>
      </w:r>
      <w:r>
        <w:rPr>
          <w:rFonts w:ascii="宋体" w:hAnsi="宋体" w:cs="宋体"/>
          <w:b/>
          <w:bCs/>
          <w:color w:val="auto"/>
          <w:sz w:val="24"/>
          <w:highlight w:val="none"/>
        </w:rPr>
        <w:t>12</w:t>
      </w:r>
      <w:r>
        <w:rPr>
          <w:rFonts w:hint="eastAsia" w:ascii="宋体" w:hAnsi="宋体" w:cs="宋体"/>
          <w:b/>
          <w:bCs/>
          <w:color w:val="auto"/>
          <w:sz w:val="24"/>
          <w:highlight w:val="none"/>
        </w:rPr>
        <w:t>：</w:t>
      </w:r>
      <w:r>
        <w:rPr>
          <w:rFonts w:ascii="宋体" w:hAnsi="宋体" w:cs="宋体"/>
          <w:b/>
          <w:bCs/>
          <w:color w:val="auto"/>
          <w:sz w:val="24"/>
          <w:highlight w:val="none"/>
        </w:rPr>
        <w:t xml:space="preserve"> </w:t>
      </w:r>
    </w:p>
    <w:p w14:paraId="6CD4FE52">
      <w:pPr>
        <w:spacing w:line="480" w:lineRule="auto"/>
        <w:jc w:val="center"/>
        <w:rPr>
          <w:rFonts w:ascii="宋体" w:cs="宋体"/>
          <w:b/>
          <w:color w:val="auto"/>
          <w:sz w:val="28"/>
          <w:szCs w:val="28"/>
          <w:highlight w:val="none"/>
        </w:rPr>
      </w:pPr>
      <w:r>
        <w:rPr>
          <w:rFonts w:hint="eastAsia" w:ascii="宋体" w:hAnsi="宋体" w:cs="宋体"/>
          <w:b/>
          <w:color w:val="auto"/>
          <w:sz w:val="28"/>
          <w:szCs w:val="28"/>
          <w:highlight w:val="none"/>
        </w:rPr>
        <w:t>报价一览表（首次报价）</w:t>
      </w:r>
      <w:r>
        <w:rPr>
          <w:rFonts w:ascii="宋体" w:hAnsi="宋体" w:cs="宋体"/>
          <w:b/>
          <w:color w:val="auto"/>
          <w:sz w:val="28"/>
          <w:szCs w:val="28"/>
          <w:highlight w:val="none"/>
        </w:rPr>
        <w:t xml:space="preserve"> </w:t>
      </w:r>
    </w:p>
    <w:p w14:paraId="0E4BB16A">
      <w:pPr>
        <w:pStyle w:val="14"/>
        <w:spacing w:beforeLines="0" w:afterLines="0" w:line="276" w:lineRule="auto"/>
        <w:rPr>
          <w:rFonts w:hint="eastAsia" w:hAnsi="宋体" w:cs="宋体"/>
          <w:color w:val="auto"/>
          <w:sz w:val="21"/>
          <w:szCs w:val="21"/>
          <w:highlight w:val="none"/>
        </w:rPr>
      </w:pPr>
      <w:r>
        <w:rPr>
          <w:rFonts w:hint="eastAsia" w:hAnsi="宋体" w:cs="宋体"/>
          <w:color w:val="auto"/>
          <w:sz w:val="21"/>
          <w:szCs w:val="21"/>
          <w:highlight w:val="none"/>
        </w:rPr>
        <w:t>项目编号：</w:t>
      </w:r>
      <w:r>
        <w:rPr>
          <w:rFonts w:hint="eastAsia" w:hAnsi="宋体" w:cs="宋体"/>
          <w:color w:val="auto"/>
          <w:sz w:val="21"/>
          <w:szCs w:val="21"/>
          <w:highlight w:val="none"/>
          <w:lang w:eastAsia="zh-CN"/>
        </w:rPr>
        <w:t>ZJJX-25CG-005-01</w:t>
      </w:r>
      <w:r>
        <w:rPr>
          <w:rFonts w:hAnsi="宋体" w:cs="宋体"/>
          <w:color w:val="auto"/>
          <w:sz w:val="21"/>
          <w:szCs w:val="21"/>
          <w:highlight w:val="none"/>
        </w:rPr>
        <w:t xml:space="preserve"> </w:t>
      </w:r>
    </w:p>
    <w:p w14:paraId="134772E1">
      <w:pPr>
        <w:spacing w:line="276" w:lineRule="auto"/>
        <w:jc w:val="left"/>
        <w:rPr>
          <w:rFonts w:asci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神仙居5A景区镇基础设施提升项目-游客集散中心（景区集散点）项目（重新招标）</w:t>
      </w:r>
    </w:p>
    <w:p w14:paraId="248CC951">
      <w:pPr>
        <w:spacing w:line="276" w:lineRule="auto"/>
        <w:jc w:val="left"/>
        <w:rPr>
          <w:rFonts w:ascii="宋体" w:cs="宋体"/>
          <w:color w:val="auto"/>
          <w:szCs w:val="21"/>
          <w:highlight w:val="none"/>
        </w:rPr>
      </w:pPr>
      <w:r>
        <w:rPr>
          <w:rFonts w:ascii="宋体" w:hAnsi="宋体" w:cs="宋体"/>
          <w:color w:val="auto"/>
          <w:szCs w:val="21"/>
          <w:highlight w:val="none"/>
        </w:rPr>
        <w:t xml:space="preserve">      </w:t>
      </w:r>
    </w:p>
    <w:tbl>
      <w:tblPr>
        <w:tblStyle w:val="2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1788"/>
        <w:gridCol w:w="1933"/>
        <w:gridCol w:w="1450"/>
        <w:gridCol w:w="1483"/>
      </w:tblGrid>
      <w:tr w14:paraId="7E25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83" w:type="dxa"/>
            <w:vAlign w:val="center"/>
          </w:tcPr>
          <w:p w14:paraId="118ECE46">
            <w:pPr>
              <w:jc w:val="center"/>
              <w:rPr>
                <w:rFonts w:ascii="宋体"/>
                <w:b/>
                <w:color w:val="auto"/>
                <w:szCs w:val="21"/>
                <w:highlight w:val="none"/>
              </w:rPr>
            </w:pPr>
            <w:r>
              <w:rPr>
                <w:rFonts w:hint="eastAsia" w:ascii="宋体" w:hAnsi="宋体"/>
                <w:b/>
                <w:color w:val="auto"/>
                <w:szCs w:val="21"/>
                <w:highlight w:val="none"/>
              </w:rPr>
              <w:t>投标报价（元）</w:t>
            </w:r>
          </w:p>
        </w:tc>
        <w:tc>
          <w:tcPr>
            <w:tcW w:w="1788" w:type="dxa"/>
            <w:vAlign w:val="center"/>
          </w:tcPr>
          <w:p w14:paraId="6B14D786">
            <w:pPr>
              <w:jc w:val="center"/>
              <w:rPr>
                <w:rFonts w:ascii="宋体"/>
                <w:b/>
                <w:color w:val="auto"/>
                <w:szCs w:val="21"/>
                <w:highlight w:val="none"/>
              </w:rPr>
            </w:pPr>
            <w:r>
              <w:rPr>
                <w:rFonts w:hint="eastAsia" w:ascii="宋体" w:hAnsi="宋体"/>
                <w:b/>
                <w:color w:val="auto"/>
                <w:szCs w:val="21"/>
                <w:highlight w:val="none"/>
              </w:rPr>
              <w:t>数量</w:t>
            </w:r>
          </w:p>
        </w:tc>
        <w:tc>
          <w:tcPr>
            <w:tcW w:w="1933" w:type="dxa"/>
            <w:vAlign w:val="center"/>
          </w:tcPr>
          <w:p w14:paraId="60F06956">
            <w:pPr>
              <w:jc w:val="center"/>
              <w:rPr>
                <w:rFonts w:hint="default" w:ascii="宋体" w:eastAsia="宋体"/>
                <w:b/>
                <w:color w:val="auto"/>
                <w:szCs w:val="21"/>
                <w:highlight w:val="none"/>
                <w:lang w:val="en-US" w:eastAsia="zh-CN"/>
              </w:rPr>
            </w:pPr>
            <w:r>
              <w:rPr>
                <w:rFonts w:hint="eastAsia" w:ascii="宋体"/>
                <w:b/>
                <w:color w:val="auto"/>
                <w:szCs w:val="21"/>
                <w:highlight w:val="none"/>
                <w:lang w:val="en-US" w:eastAsia="zh-CN"/>
              </w:rPr>
              <w:t>项目工期</w:t>
            </w:r>
          </w:p>
        </w:tc>
        <w:tc>
          <w:tcPr>
            <w:tcW w:w="1450" w:type="dxa"/>
            <w:vAlign w:val="center"/>
          </w:tcPr>
          <w:p w14:paraId="142EAD5B">
            <w:pPr>
              <w:jc w:val="center"/>
              <w:rPr>
                <w:rFonts w:ascii="宋体"/>
                <w:b/>
                <w:color w:val="auto"/>
                <w:szCs w:val="21"/>
                <w:highlight w:val="none"/>
              </w:rPr>
            </w:pPr>
            <w:r>
              <w:rPr>
                <w:rFonts w:hint="eastAsia" w:ascii="宋体" w:hAnsi="宋体"/>
                <w:b/>
                <w:color w:val="auto"/>
                <w:szCs w:val="21"/>
                <w:highlight w:val="none"/>
              </w:rPr>
              <w:t>确认声明书是否签署</w:t>
            </w:r>
          </w:p>
        </w:tc>
        <w:tc>
          <w:tcPr>
            <w:tcW w:w="1483" w:type="dxa"/>
            <w:vAlign w:val="center"/>
          </w:tcPr>
          <w:p w14:paraId="5F46BC88">
            <w:pPr>
              <w:jc w:val="center"/>
              <w:rPr>
                <w:rFonts w:ascii="宋体"/>
                <w:b/>
                <w:color w:val="auto"/>
                <w:szCs w:val="21"/>
                <w:highlight w:val="none"/>
              </w:rPr>
            </w:pPr>
            <w:r>
              <w:rPr>
                <w:rFonts w:hint="eastAsia" w:ascii="宋体" w:hAnsi="宋体"/>
                <w:b/>
                <w:color w:val="auto"/>
                <w:szCs w:val="21"/>
                <w:highlight w:val="none"/>
              </w:rPr>
              <w:t>备注</w:t>
            </w:r>
          </w:p>
        </w:tc>
      </w:tr>
      <w:tr w14:paraId="1399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183" w:type="dxa"/>
            <w:tcBorders>
              <w:left w:val="single" w:color="auto" w:sz="8" w:space="0"/>
            </w:tcBorders>
            <w:vAlign w:val="center"/>
          </w:tcPr>
          <w:p w14:paraId="1A3DDE5D">
            <w:pPr>
              <w:widowControl/>
              <w:spacing w:line="360" w:lineRule="auto"/>
              <w:ind w:right="60"/>
              <w:jc w:val="center"/>
              <w:outlineLvl w:val="0"/>
              <w:rPr>
                <w:rFonts w:ascii="宋体"/>
                <w:color w:val="auto"/>
                <w:szCs w:val="21"/>
                <w:highlight w:val="none"/>
                <w:u w:val="single"/>
              </w:rPr>
            </w:pPr>
          </w:p>
        </w:tc>
        <w:tc>
          <w:tcPr>
            <w:tcW w:w="1788" w:type="dxa"/>
            <w:vAlign w:val="center"/>
          </w:tcPr>
          <w:p w14:paraId="3096BAA0">
            <w:pPr>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w:t>
            </w:r>
          </w:p>
        </w:tc>
        <w:tc>
          <w:tcPr>
            <w:tcW w:w="1933" w:type="dxa"/>
            <w:vAlign w:val="center"/>
          </w:tcPr>
          <w:p w14:paraId="52E5A3CB">
            <w:pPr>
              <w:jc w:val="center"/>
              <w:rPr>
                <w:rFonts w:ascii="宋体" w:cs="宋体"/>
                <w:i/>
                <w:color w:val="auto"/>
                <w:kern w:val="0"/>
                <w:szCs w:val="21"/>
                <w:highlight w:val="none"/>
              </w:rPr>
            </w:pPr>
          </w:p>
        </w:tc>
        <w:tc>
          <w:tcPr>
            <w:tcW w:w="1450" w:type="dxa"/>
            <w:vAlign w:val="center"/>
          </w:tcPr>
          <w:p w14:paraId="4812BD10">
            <w:pPr>
              <w:widowControl/>
              <w:jc w:val="center"/>
              <w:rPr>
                <w:rFonts w:ascii="宋体"/>
                <w:color w:val="auto"/>
                <w:szCs w:val="21"/>
                <w:highlight w:val="none"/>
              </w:rPr>
            </w:pPr>
            <w:r>
              <w:rPr>
                <w:rFonts w:hint="eastAsia" w:ascii="宋体" w:hAnsi="宋体"/>
                <w:color w:val="auto"/>
                <w:szCs w:val="21"/>
                <w:highlight w:val="none"/>
              </w:rPr>
              <w:t>是</w:t>
            </w:r>
          </w:p>
        </w:tc>
        <w:tc>
          <w:tcPr>
            <w:tcW w:w="1483" w:type="dxa"/>
            <w:vAlign w:val="center"/>
          </w:tcPr>
          <w:p w14:paraId="2A74F627">
            <w:pPr>
              <w:rPr>
                <w:rFonts w:ascii="宋体"/>
                <w:color w:val="auto"/>
                <w:szCs w:val="21"/>
                <w:highlight w:val="none"/>
              </w:rPr>
            </w:pPr>
          </w:p>
        </w:tc>
      </w:tr>
    </w:tbl>
    <w:p w14:paraId="57585FC3">
      <w:pPr>
        <w:pStyle w:val="7"/>
        <w:spacing w:line="360" w:lineRule="auto"/>
        <w:ind w:firstLine="422" w:firstLineChars="200"/>
        <w:rPr>
          <w:rFonts w:hint="eastAsia" w:ascii="宋体" w:hAnsi="宋体" w:cs="宋体"/>
          <w:b/>
          <w:color w:val="auto"/>
          <w:szCs w:val="21"/>
          <w:highlight w:val="none"/>
        </w:rPr>
      </w:pPr>
    </w:p>
    <w:p w14:paraId="674594AD">
      <w:pPr>
        <w:pStyle w:val="7"/>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注：</w:t>
      </w:r>
      <w:r>
        <w:rPr>
          <w:rFonts w:ascii="宋体" w:hAnsi="宋体" w:cs="宋体"/>
          <w:color w:val="auto"/>
          <w:szCs w:val="21"/>
          <w:highlight w:val="none"/>
        </w:rPr>
        <w:t xml:space="preserve"> </w:t>
      </w:r>
    </w:p>
    <w:p w14:paraId="76C00F3E">
      <w:pPr>
        <w:pStyle w:val="7"/>
        <w:spacing w:line="360" w:lineRule="auto"/>
        <w:ind w:firstLine="480" w:firstLineChars="200"/>
        <w:rPr>
          <w:rFonts w:hint="eastAsia" w:ascii="宋体" w:hAnsi="宋体" w:cs="宋体"/>
          <w:sz w:val="24"/>
          <w:szCs w:val="24"/>
        </w:rPr>
      </w:pPr>
      <w:r>
        <w:rPr>
          <w:rFonts w:hint="eastAsia" w:ascii="宋体" w:hAnsi="宋体" w:cs="宋体"/>
          <w:sz w:val="24"/>
          <w:szCs w:val="24"/>
        </w:rPr>
        <w:t>1.投标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总承包服务费、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352AEFB9">
      <w:pPr>
        <w:spacing w:line="360" w:lineRule="auto"/>
        <w:ind w:firstLine="480" w:firstLineChars="200"/>
        <w:rPr>
          <w:rFonts w:hint="eastAsia" w:ascii="宋体" w:hAnsi="宋体" w:cs="宋体"/>
          <w:b/>
          <w:i/>
          <w:sz w:val="24"/>
          <w:u w:val="single"/>
        </w:rPr>
      </w:pPr>
      <w:r>
        <w:rPr>
          <w:rFonts w:hint="eastAsia" w:ascii="宋体" w:hAnsi="宋体" w:cs="宋体"/>
          <w:kern w:val="0"/>
          <w:sz w:val="24"/>
        </w:rPr>
        <w:t>2.报价一经涂改，应在涂改处加盖单位公章，或者由法定代表人或全权代表签字或盖章，否则作无效标处理。</w:t>
      </w:r>
    </w:p>
    <w:p w14:paraId="30B4B4CB">
      <w:pPr>
        <w:spacing w:line="360" w:lineRule="auto"/>
        <w:ind w:firstLine="420" w:firstLineChars="200"/>
        <w:jc w:val="left"/>
        <w:rPr>
          <w:rFonts w:ascii="宋体" w:cs="宋体"/>
          <w:color w:val="auto"/>
          <w:szCs w:val="21"/>
          <w:highlight w:val="none"/>
        </w:rPr>
      </w:pPr>
    </w:p>
    <w:p w14:paraId="5604523B">
      <w:pPr>
        <w:spacing w:line="480" w:lineRule="auto"/>
        <w:ind w:right="840"/>
        <w:jc w:val="center"/>
        <w:rPr>
          <w:rFonts w:ascii="宋体" w:cs="宋体"/>
          <w:b/>
          <w:color w:val="auto"/>
          <w:szCs w:val="21"/>
          <w:highlight w:val="none"/>
          <w:lang w:val="zh-CN"/>
        </w:rPr>
      </w:pPr>
      <w:bookmarkStart w:id="140" w:name="_Toc481505161"/>
      <w:r>
        <w:rPr>
          <w:rFonts w:ascii="宋体" w:hAnsi="宋体" w:cs="宋体"/>
          <w:b/>
          <w:color w:val="auto"/>
          <w:sz w:val="24"/>
          <w:highlight w:val="none"/>
          <w:lang w:val="zh-CN"/>
        </w:rPr>
        <w:t xml:space="preserve">       </w:t>
      </w:r>
      <w:r>
        <w:rPr>
          <w:rFonts w:ascii="宋体" w:hAnsi="宋体" w:cs="宋体"/>
          <w:b/>
          <w:color w:val="auto"/>
          <w:sz w:val="24"/>
          <w:highlight w:val="none"/>
        </w:rPr>
        <w:t xml:space="preserve">   </w:t>
      </w:r>
      <w:r>
        <w:rPr>
          <w:rFonts w:ascii="宋体" w:hAnsi="宋体" w:cs="宋体"/>
          <w:b/>
          <w:color w:val="auto"/>
          <w:sz w:val="24"/>
          <w:highlight w:val="none"/>
          <w:lang w:val="zh-CN"/>
        </w:rPr>
        <w:t xml:space="preserve">  </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供应</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lang w:val="zh-CN"/>
        </w:rPr>
        <w:t>商（盖单位章）：</w:t>
      </w:r>
      <w:r>
        <w:rPr>
          <w:rFonts w:ascii="宋体" w:hAnsi="宋体" w:cs="宋体"/>
          <w:b/>
          <w:color w:val="auto"/>
          <w:szCs w:val="21"/>
          <w:highlight w:val="none"/>
          <w:lang w:val="zh-CN"/>
        </w:rPr>
        <w:t xml:space="preserve"> </w:t>
      </w:r>
    </w:p>
    <w:p w14:paraId="6CE6341C">
      <w:pPr>
        <w:spacing w:line="480" w:lineRule="auto"/>
        <w:ind w:right="420" w:firstLine="5068" w:firstLineChars="2404"/>
        <w:rPr>
          <w:rFonts w:ascii="宋体" w:cs="宋体"/>
          <w:b/>
          <w:color w:val="auto"/>
          <w:szCs w:val="21"/>
          <w:highlight w:val="none"/>
          <w:lang w:val="zh-CN"/>
        </w:rPr>
      </w:pPr>
      <w:r>
        <w:rPr>
          <w:rFonts w:hint="eastAsia" w:ascii="宋体" w:hAnsi="宋体" w:cs="宋体"/>
          <w:b/>
          <w:color w:val="auto"/>
          <w:szCs w:val="21"/>
          <w:highlight w:val="none"/>
          <w:lang w:val="zh-CN"/>
        </w:rPr>
        <w:t>日</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期：</w:t>
      </w:r>
    </w:p>
    <w:bookmarkEnd w:id="140"/>
    <w:p w14:paraId="5E12D396">
      <w:pPr>
        <w:spacing w:line="480" w:lineRule="auto"/>
        <w:jc w:val="center"/>
        <w:rPr>
          <w:rFonts w:ascii="宋体" w:cs="宋体"/>
          <w:b/>
          <w:color w:val="auto"/>
          <w:sz w:val="28"/>
          <w:szCs w:val="28"/>
          <w:highlight w:val="none"/>
        </w:rPr>
      </w:pPr>
      <w:bookmarkStart w:id="141" w:name="_Toc481505162"/>
      <w:bookmarkStart w:id="142" w:name="_Toc434090253"/>
    </w:p>
    <w:p w14:paraId="0B93D10D">
      <w:pPr>
        <w:pStyle w:val="27"/>
        <w:ind w:firstLine="0" w:firstLineChars="0"/>
        <w:rPr>
          <w:rFonts w:hint="eastAsia" w:ascii="宋体"/>
          <w:b/>
          <w:color w:val="auto"/>
          <w:szCs w:val="21"/>
          <w:highlight w:val="none"/>
          <w:lang w:val="zh-CN"/>
        </w:rPr>
      </w:pPr>
      <w:bookmarkStart w:id="153" w:name="_GoBack"/>
      <w:bookmarkEnd w:id="153"/>
    </w:p>
    <w:p w14:paraId="4C834F66">
      <w:pPr>
        <w:spacing w:line="312" w:lineRule="auto"/>
        <w:rPr>
          <w:rFonts w:ascii="宋体"/>
          <w:color w:val="auto"/>
          <w:spacing w:val="6"/>
          <w:sz w:val="18"/>
          <w:szCs w:val="18"/>
          <w:highlight w:val="none"/>
          <w:u w:val="single"/>
        </w:rPr>
      </w:pPr>
      <w:r>
        <w:rPr>
          <w:rFonts w:hint="eastAsia" w:ascii="宋体" w:hAnsi="宋体"/>
          <w:color w:val="auto"/>
          <w:spacing w:val="6"/>
          <w:sz w:val="18"/>
          <w:szCs w:val="18"/>
          <w:highlight w:val="none"/>
          <w:u w:val="single"/>
        </w:rPr>
        <w:t>说明：（</w:t>
      </w:r>
      <w:r>
        <w:rPr>
          <w:rFonts w:ascii="宋体" w:hAnsi="宋体"/>
          <w:color w:val="auto"/>
          <w:spacing w:val="6"/>
          <w:sz w:val="18"/>
          <w:szCs w:val="18"/>
          <w:highlight w:val="none"/>
          <w:u w:val="single"/>
        </w:rPr>
        <w:t>1</w:t>
      </w:r>
      <w:r>
        <w:rPr>
          <w:rFonts w:hint="eastAsia" w:ascii="宋体" w:hAnsi="宋体"/>
          <w:color w:val="auto"/>
          <w:spacing w:val="6"/>
          <w:sz w:val="18"/>
          <w:szCs w:val="18"/>
          <w:highlight w:val="none"/>
          <w:u w:val="single"/>
        </w:rPr>
        <w:t>）</w:t>
      </w:r>
      <w:r>
        <w:rPr>
          <w:rFonts w:hint="eastAsia" w:ascii="宋体" w:hAnsi="宋体" w:cs="宋体"/>
          <w:color w:val="auto"/>
          <w:spacing w:val="6"/>
          <w:sz w:val="18"/>
          <w:szCs w:val="18"/>
          <w:highlight w:val="none"/>
          <w:u w:val="single"/>
        </w:rPr>
        <w:t>本项目的最终报价</w:t>
      </w:r>
      <w:r>
        <w:rPr>
          <w:rFonts w:hint="eastAsia" w:ascii="宋体" w:hAnsi="宋体"/>
          <w:color w:val="auto"/>
          <w:spacing w:val="6"/>
          <w:sz w:val="18"/>
          <w:szCs w:val="18"/>
          <w:highlight w:val="none"/>
          <w:u w:val="single"/>
        </w:rPr>
        <w:t>在磋商结束由采购代理机构发布最终报价指令后，参加磋商供应商在规定的时间内将最终报价的</w:t>
      </w:r>
      <w:r>
        <w:rPr>
          <w:rFonts w:hint="eastAsia" w:ascii="宋体" w:hAnsi="宋体" w:cs="宋体"/>
          <w:color w:val="auto"/>
          <w:spacing w:val="6"/>
          <w:sz w:val="18"/>
          <w:szCs w:val="18"/>
          <w:highlight w:val="none"/>
          <w:u w:val="single"/>
        </w:rPr>
        <w:t>《报价一览表》盖章后</w:t>
      </w:r>
      <w:r>
        <w:rPr>
          <w:rFonts w:hint="eastAsia" w:ascii="宋体" w:hAnsi="宋体"/>
          <w:color w:val="auto"/>
          <w:spacing w:val="6"/>
          <w:sz w:val="18"/>
          <w:szCs w:val="18"/>
          <w:highlight w:val="none"/>
          <w:u w:val="single"/>
        </w:rPr>
        <w:t>通过政采云平台在线附件上传。供应商应按照</w:t>
      </w:r>
      <w:r>
        <w:rPr>
          <w:rFonts w:hint="eastAsia" w:ascii="宋体" w:hAnsi="宋体" w:cs="宋体"/>
          <w:color w:val="auto"/>
          <w:spacing w:val="6"/>
          <w:sz w:val="18"/>
          <w:szCs w:val="18"/>
          <w:highlight w:val="none"/>
          <w:u w:val="single"/>
        </w:rPr>
        <w:t>最后报价不得高于首次报价的原则投报（磋商小组另有决议的除外）。</w:t>
      </w:r>
    </w:p>
    <w:p w14:paraId="2582153A">
      <w:pPr>
        <w:ind w:firstLine="630" w:firstLineChars="300"/>
        <w:rPr>
          <w:rFonts w:ascii="宋体"/>
          <w:b/>
          <w:bCs/>
          <w:color w:val="auto"/>
          <w:spacing w:val="6"/>
          <w:sz w:val="18"/>
          <w:szCs w:val="18"/>
          <w:highlight w:val="none"/>
          <w:u w:val="singl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34925</wp:posOffset>
                </wp:positionV>
                <wp:extent cx="342900" cy="160655"/>
                <wp:effectExtent l="8890" t="22860" r="19685" b="16510"/>
                <wp:wrapNone/>
                <wp:docPr id="462981406" name="任意多边形 2"/>
                <wp:cNvGraphicFramePr/>
                <a:graphic xmlns:a="http://schemas.openxmlformats.org/drawingml/2006/main">
                  <a:graphicData uri="http://schemas.microsoft.com/office/word/2010/wordprocessingShape">
                    <wps:wsp>
                      <wps:cNvSpPr/>
                      <wps:spPr bwMode="auto">
                        <a:xfrm>
                          <a:off x="0" y="0"/>
                          <a:ext cx="342900" cy="160655"/>
                        </a:xfrm>
                        <a:custGeom>
                          <a:avLst/>
                          <a:gdLst>
                            <a:gd name="T0" fmla="*/ 16200 w 21600"/>
                            <a:gd name="T1" fmla="*/ 0 h 21600"/>
                            <a:gd name="T2" fmla="*/ 0 w 21600"/>
                            <a:gd name="T3" fmla="*/ 10800 h 21600"/>
                            <a:gd name="T4" fmla="*/ 16200 w 21600"/>
                            <a:gd name="T5" fmla="*/ 21600 h 21600"/>
                            <a:gd name="T6" fmla="*/ 21600 w 21600"/>
                            <a:gd name="T7" fmla="*/ 10800 h 21600"/>
                            <a:gd name="T8" fmla="*/ 0 60000 65536"/>
                            <a:gd name="T9" fmla="*/ 0 60000 65536"/>
                            <a:gd name="T10" fmla="*/ 0 60000 65536"/>
                            <a:gd name="T11" fmla="*/ 0 60000 65536"/>
                            <a:gd name="T12" fmla="*/ 3375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lnTo>
                                <a:pt x="16200" y="0"/>
                              </a:lnTo>
                              <a:close/>
                            </a:path>
                            <a:path w="21600" h="21600">
                              <a:moveTo>
                                <a:pt x="1350" y="5400"/>
                              </a:moveTo>
                              <a:lnTo>
                                <a:pt x="1350" y="16200"/>
                              </a:lnTo>
                              <a:lnTo>
                                <a:pt x="2700" y="16200"/>
                              </a:lnTo>
                              <a:lnTo>
                                <a:pt x="2700" y="5400"/>
                              </a:lnTo>
                              <a:lnTo>
                                <a:pt x="1350" y="5400"/>
                              </a:lnTo>
                              <a:close/>
                            </a:path>
                            <a:path w="21600" h="21600">
                              <a:moveTo>
                                <a:pt x="0" y="5400"/>
                              </a:moveTo>
                              <a:lnTo>
                                <a:pt x="0" y="16200"/>
                              </a:lnTo>
                              <a:lnTo>
                                <a:pt x="675" y="16200"/>
                              </a:lnTo>
                              <a:lnTo>
                                <a:pt x="675" y="5400"/>
                              </a:lnTo>
                              <a:lnTo>
                                <a:pt x="0" y="5400"/>
                              </a:lnTo>
                              <a:close/>
                            </a:path>
                          </a:pathLst>
                        </a:custGeom>
                        <a:solidFill>
                          <a:srgbClr val="FFFFFF"/>
                        </a:solidFill>
                        <a:ln w="9525">
                          <a:solidFill>
                            <a:srgbClr val="000000"/>
                          </a:solidFill>
                          <a:miter lim="800000"/>
                        </a:ln>
                      </wps:spPr>
                      <wps:txbx>
                        <w:txbxContent>
                          <w:p w14:paraId="54FD3FA2"/>
                        </w:txbxContent>
                      </wps:txbx>
                      <wps:bodyPr rot="0" vert="horz" wrap="square" lIns="91440" tIns="45720" rIns="91440" bIns="45720" anchor="t" anchorCtr="0" upright="1">
                        <a:noAutofit/>
                      </wps:bodyPr>
                    </wps:wsp>
                  </a:graphicData>
                </a:graphic>
              </wp:anchor>
            </w:drawing>
          </mc:Choice>
          <mc:Fallback>
            <w:pict>
              <v:shape id="任意多边形 2" o:spid="_x0000_s1026" o:spt="100" style="position:absolute;left:0pt;margin-left:-1.4pt;margin-top:2.75pt;height:12.65pt;width:27pt;z-index:251659264;mso-width-relative:page;mso-height-relative:page;" fillcolor="#FFFFFF" filled="t" stroked="t" coordsize="21600,21600" o:gfxdata="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" path="m16200,0l16200,5400,3375,5400,3375,16200,16200,16200,16200,21600,21600,10800,16200,0xem1350,5400l1350,16200,2700,16200,2700,5400,1350,5400xem0,5400l0,16200,675,16200,675,5400,0,5400xe">
                <v:path textboxrect="0,0,21600,21600" o:connectlocs="257175,0;0,80327;257175,160655;342900,80327" o:connectangles="0,0,0,0"/>
                <v:fill on="t" focussize="0,0"/>
                <v:stroke color="#000000" miterlimit="8" joinstyle="miter"/>
                <v:imagedata o:title=""/>
                <o:lock v:ext="edit" aspectratio="f"/>
                <v:textbox>
                  <w:txbxContent>
                    <w:p w14:paraId="54FD3FA2"/>
                  </w:txbxContent>
                </v:textbox>
              </v:shape>
            </w:pict>
          </mc:Fallback>
        </mc:AlternateContent>
      </w:r>
      <w:r>
        <w:rPr>
          <w:rFonts w:hint="eastAsia" w:ascii="宋体" w:hAnsi="宋体"/>
          <w:b/>
          <w:bCs/>
          <w:color w:val="auto"/>
          <w:spacing w:val="6"/>
          <w:sz w:val="18"/>
          <w:szCs w:val="18"/>
          <w:highlight w:val="none"/>
          <w:u w:val="single"/>
        </w:rPr>
        <w:t>（</w:t>
      </w:r>
      <w:r>
        <w:rPr>
          <w:rFonts w:ascii="宋体" w:hAnsi="宋体"/>
          <w:b/>
          <w:bCs/>
          <w:color w:val="auto"/>
          <w:spacing w:val="6"/>
          <w:sz w:val="18"/>
          <w:szCs w:val="18"/>
          <w:highlight w:val="none"/>
          <w:u w:val="single"/>
        </w:rPr>
        <w:t>2</w:t>
      </w:r>
      <w:r>
        <w:rPr>
          <w:rFonts w:hint="eastAsia" w:ascii="宋体" w:hAnsi="宋体"/>
          <w:b/>
          <w:bCs/>
          <w:color w:val="auto"/>
          <w:spacing w:val="6"/>
          <w:sz w:val="18"/>
          <w:szCs w:val="18"/>
          <w:highlight w:val="none"/>
          <w:u w:val="single"/>
        </w:rPr>
        <w:t>）最终报价不能随首次报价提交，否则引起的任何后果由供应商自己承担。</w:t>
      </w:r>
    </w:p>
    <w:p w14:paraId="1B2444CC">
      <w:pPr>
        <w:rPr>
          <w:color w:val="auto"/>
          <w:highlight w:val="none"/>
        </w:rPr>
      </w:pPr>
      <w:r>
        <w:rPr>
          <w:color w:val="auto"/>
          <w:highlight w:val="none"/>
        </w:rPr>
        <w:br w:type="page"/>
      </w:r>
    </w:p>
    <w:p w14:paraId="62A8A23D">
      <w:pPr>
        <w:spacing w:line="360" w:lineRule="exact"/>
        <w:jc w:val="both"/>
        <w:rPr>
          <w:rFonts w:hint="eastAsia" w:ascii="宋体" w:hAnsi="宋体" w:cs="宋体"/>
          <w:b/>
          <w:sz w:val="24"/>
        </w:rPr>
      </w:pPr>
      <w:r>
        <w:rPr>
          <w:rFonts w:hint="eastAsia" w:ascii="宋体" w:hAnsi="宋体" w:cs="宋体"/>
          <w:b/>
          <w:sz w:val="24"/>
        </w:rPr>
        <w:t>附件13初次投标报价汇总表及报价明细:</w:t>
      </w:r>
    </w:p>
    <w:p w14:paraId="44947676">
      <w:pPr>
        <w:spacing w:line="360" w:lineRule="exact"/>
        <w:ind w:left="480"/>
        <w:jc w:val="center"/>
        <w:rPr>
          <w:rFonts w:hint="eastAsia" w:ascii="宋体" w:hAnsi="宋体" w:cs="宋体"/>
          <w:bCs/>
          <w:sz w:val="24"/>
        </w:rPr>
      </w:pPr>
      <w:r>
        <w:rPr>
          <w:rFonts w:hint="eastAsia" w:ascii="宋体" w:hAnsi="宋体" w:cs="宋体"/>
          <w:b/>
          <w:sz w:val="24"/>
        </w:rPr>
        <w:t>初次投标报价汇总表（</w:t>
      </w:r>
      <w:r>
        <w:rPr>
          <w:rFonts w:hint="eastAsia"/>
          <w:b/>
          <w:bCs/>
          <w:szCs w:val="21"/>
        </w:rPr>
        <w:t>工程项目投标报价汇总表）</w:t>
      </w:r>
    </w:p>
    <w:p w14:paraId="62AE3DAA">
      <w:pPr>
        <w:rPr>
          <w:rFonts w:hint="eastAsia" w:ascii="宋体" w:hAnsi="宋体" w:cs="宋体"/>
          <w:b/>
          <w:bCs/>
          <w:sz w:val="24"/>
        </w:rPr>
      </w:pPr>
    </w:p>
    <w:tbl>
      <w:tblPr>
        <w:tblStyle w:val="28"/>
        <w:tblW w:w="10125" w:type="dxa"/>
        <w:tblInd w:w="93" w:type="dxa"/>
        <w:tblLayout w:type="autofit"/>
        <w:tblCellMar>
          <w:top w:w="0" w:type="dxa"/>
          <w:left w:w="108" w:type="dxa"/>
          <w:bottom w:w="0" w:type="dxa"/>
          <w:right w:w="108" w:type="dxa"/>
        </w:tblCellMar>
      </w:tblPr>
      <w:tblGrid>
        <w:gridCol w:w="585"/>
        <w:gridCol w:w="3510"/>
        <w:gridCol w:w="1410"/>
        <w:gridCol w:w="1080"/>
        <w:gridCol w:w="1320"/>
        <w:gridCol w:w="1065"/>
        <w:gridCol w:w="1155"/>
      </w:tblGrid>
      <w:tr w14:paraId="6080862E">
        <w:tblPrEx>
          <w:tblCellMar>
            <w:top w:w="0" w:type="dxa"/>
            <w:left w:w="108" w:type="dxa"/>
            <w:bottom w:w="0" w:type="dxa"/>
            <w:right w:w="108" w:type="dxa"/>
          </w:tblCellMar>
        </w:tblPrEx>
        <w:trPr>
          <w:trHeight w:val="900" w:hRule="atLeast"/>
        </w:trPr>
        <w:tc>
          <w:tcPr>
            <w:tcW w:w="10125" w:type="dxa"/>
            <w:gridSpan w:val="7"/>
            <w:tcBorders>
              <w:top w:val="nil"/>
              <w:left w:val="nil"/>
              <w:bottom w:val="nil"/>
              <w:right w:val="nil"/>
            </w:tcBorders>
            <w:shd w:val="clear" w:color="auto" w:fill="FFFFFF"/>
            <w:noWrap w:val="0"/>
            <w:vAlign w:val="center"/>
          </w:tcPr>
          <w:p w14:paraId="604E44A9">
            <w:pPr>
              <w:widowControl/>
              <w:jc w:val="center"/>
              <w:textAlignment w:val="center"/>
              <w:rPr>
                <w:rFonts w:hint="eastAsia" w:ascii="宋体" w:hAnsi="宋体" w:cs="宋体"/>
                <w:b/>
                <w:bCs/>
                <w:color w:val="000000"/>
                <w:sz w:val="40"/>
                <w:szCs w:val="40"/>
              </w:rPr>
            </w:pPr>
            <w:r>
              <w:rPr>
                <w:rFonts w:hint="eastAsia" w:ascii="宋体" w:hAnsi="宋体" w:cs="宋体"/>
                <w:b/>
                <w:bCs/>
                <w:color w:val="000000"/>
                <w:kern w:val="0"/>
                <w:sz w:val="40"/>
                <w:szCs w:val="40"/>
                <w:lang w:bidi="ar"/>
              </w:rPr>
              <w:t>工程项目投标报价汇总表</w:t>
            </w:r>
          </w:p>
        </w:tc>
      </w:tr>
      <w:tr w14:paraId="36C964A2">
        <w:tblPrEx>
          <w:tblCellMar>
            <w:top w:w="0" w:type="dxa"/>
            <w:left w:w="108" w:type="dxa"/>
            <w:bottom w:w="0" w:type="dxa"/>
            <w:right w:w="108" w:type="dxa"/>
          </w:tblCellMar>
        </w:tblPrEx>
        <w:trPr>
          <w:trHeight w:val="435" w:hRule="atLeast"/>
        </w:trPr>
        <w:tc>
          <w:tcPr>
            <w:tcW w:w="5505" w:type="dxa"/>
            <w:gridSpan w:val="3"/>
            <w:tcBorders>
              <w:top w:val="nil"/>
              <w:left w:val="nil"/>
              <w:bottom w:val="nil"/>
              <w:right w:val="nil"/>
            </w:tcBorders>
            <w:shd w:val="clear" w:color="auto" w:fill="FFFFFF"/>
            <w:noWrap w:val="0"/>
            <w:vAlign w:val="bottom"/>
          </w:tcPr>
          <w:p w14:paraId="2C0A9C21">
            <w:pPr>
              <w:widowControl/>
              <w:jc w:val="left"/>
              <w:textAlignment w:val="bottom"/>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工程名称:</w:t>
            </w:r>
            <w:r>
              <w:rPr>
                <w:rFonts w:hint="eastAsia" w:ascii="宋体" w:hAnsi="宋体" w:cs="宋体"/>
                <w:color w:val="000000"/>
                <w:kern w:val="0"/>
                <w:sz w:val="18"/>
                <w:szCs w:val="18"/>
                <w:lang w:eastAsia="zh-CN" w:bidi="ar"/>
              </w:rPr>
              <w:t>神仙居5A景区镇基础设施提升项目-游客集散中心（景区集散点）项目（重新招标）</w:t>
            </w:r>
          </w:p>
        </w:tc>
        <w:tc>
          <w:tcPr>
            <w:tcW w:w="1080" w:type="dxa"/>
            <w:tcBorders>
              <w:top w:val="nil"/>
              <w:left w:val="nil"/>
              <w:bottom w:val="nil"/>
              <w:right w:val="nil"/>
            </w:tcBorders>
            <w:shd w:val="clear" w:color="auto" w:fill="FFFFFF"/>
            <w:noWrap w:val="0"/>
            <w:vAlign w:val="bottom"/>
          </w:tcPr>
          <w:p w14:paraId="11E61679">
            <w:pPr>
              <w:jc w:val="left"/>
              <w:rPr>
                <w:rFonts w:hint="eastAsia" w:ascii="宋体" w:hAnsi="宋体" w:cs="宋体"/>
                <w:color w:val="000000"/>
                <w:sz w:val="18"/>
                <w:szCs w:val="18"/>
              </w:rPr>
            </w:pPr>
          </w:p>
        </w:tc>
        <w:tc>
          <w:tcPr>
            <w:tcW w:w="1320" w:type="dxa"/>
            <w:tcBorders>
              <w:top w:val="nil"/>
              <w:left w:val="nil"/>
              <w:bottom w:val="nil"/>
              <w:right w:val="nil"/>
            </w:tcBorders>
            <w:shd w:val="clear" w:color="auto" w:fill="FFFFFF"/>
            <w:noWrap w:val="0"/>
            <w:vAlign w:val="bottom"/>
          </w:tcPr>
          <w:p w14:paraId="005A7864">
            <w:pPr>
              <w:jc w:val="left"/>
              <w:rPr>
                <w:rFonts w:hint="eastAsia" w:ascii="宋体" w:hAnsi="宋体" w:cs="宋体"/>
                <w:color w:val="000000"/>
                <w:sz w:val="18"/>
                <w:szCs w:val="18"/>
              </w:rPr>
            </w:pPr>
          </w:p>
        </w:tc>
        <w:tc>
          <w:tcPr>
            <w:tcW w:w="2220" w:type="dxa"/>
            <w:gridSpan w:val="2"/>
            <w:tcBorders>
              <w:top w:val="nil"/>
              <w:left w:val="nil"/>
              <w:bottom w:val="nil"/>
              <w:right w:val="nil"/>
            </w:tcBorders>
            <w:shd w:val="clear" w:color="auto" w:fill="FFFFFF"/>
            <w:noWrap w:val="0"/>
            <w:vAlign w:val="bottom"/>
          </w:tcPr>
          <w:p w14:paraId="04EF02F7">
            <w:pPr>
              <w:widowControl/>
              <w:jc w:val="righ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第1页 共1页</w:t>
            </w:r>
          </w:p>
        </w:tc>
      </w:tr>
      <w:tr w14:paraId="289EF745">
        <w:tblPrEx>
          <w:tblCellMar>
            <w:top w:w="0" w:type="dxa"/>
            <w:left w:w="108" w:type="dxa"/>
            <w:bottom w:w="0" w:type="dxa"/>
            <w:right w:w="108" w:type="dxa"/>
          </w:tblCellMar>
        </w:tblPrEx>
        <w:trPr>
          <w:trHeight w:val="435" w:hRule="atLeast"/>
        </w:trPr>
        <w:tc>
          <w:tcPr>
            <w:tcW w:w="585" w:type="dxa"/>
            <w:vMerge w:val="restart"/>
            <w:tcBorders>
              <w:top w:val="single" w:color="000000" w:sz="4" w:space="0"/>
              <w:left w:val="single" w:color="000000" w:sz="4" w:space="0"/>
              <w:bottom w:val="nil"/>
              <w:right w:val="nil"/>
            </w:tcBorders>
            <w:shd w:val="clear" w:color="auto" w:fill="FFFFFF"/>
            <w:noWrap w:val="0"/>
            <w:vAlign w:val="center"/>
          </w:tcPr>
          <w:p w14:paraId="34D0E8A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3510" w:type="dxa"/>
            <w:vMerge w:val="restart"/>
            <w:tcBorders>
              <w:top w:val="single" w:color="000000" w:sz="4" w:space="0"/>
              <w:left w:val="single" w:color="000000" w:sz="4" w:space="0"/>
              <w:bottom w:val="nil"/>
              <w:right w:val="nil"/>
            </w:tcBorders>
            <w:shd w:val="clear" w:color="auto" w:fill="FFFFFF"/>
            <w:noWrap w:val="0"/>
            <w:vAlign w:val="center"/>
          </w:tcPr>
          <w:p w14:paraId="6EE46F6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工程名称</w:t>
            </w:r>
          </w:p>
        </w:tc>
        <w:tc>
          <w:tcPr>
            <w:tcW w:w="1410" w:type="dxa"/>
            <w:vMerge w:val="restart"/>
            <w:tcBorders>
              <w:top w:val="single" w:color="000000" w:sz="4" w:space="0"/>
              <w:left w:val="single" w:color="000000" w:sz="4" w:space="0"/>
              <w:bottom w:val="nil"/>
              <w:right w:val="nil"/>
            </w:tcBorders>
            <w:shd w:val="clear" w:color="auto" w:fill="FFFFFF"/>
            <w:noWrap w:val="0"/>
            <w:vAlign w:val="center"/>
          </w:tcPr>
          <w:p w14:paraId="09C66C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金额(元)</w:t>
            </w:r>
          </w:p>
        </w:tc>
        <w:tc>
          <w:tcPr>
            <w:tcW w:w="4620" w:type="dxa"/>
            <w:gridSpan w:val="4"/>
            <w:tcBorders>
              <w:top w:val="single" w:color="000000" w:sz="4" w:space="0"/>
              <w:left w:val="single" w:color="000000" w:sz="4" w:space="0"/>
              <w:bottom w:val="nil"/>
              <w:right w:val="single" w:color="000000" w:sz="4" w:space="0"/>
            </w:tcBorders>
            <w:shd w:val="clear" w:color="auto" w:fill="FFFFFF"/>
            <w:noWrap w:val="0"/>
            <w:vAlign w:val="center"/>
          </w:tcPr>
          <w:p w14:paraId="158B9C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其中：单位（元）</w:t>
            </w:r>
          </w:p>
        </w:tc>
      </w:tr>
      <w:tr w14:paraId="32594BDE">
        <w:tblPrEx>
          <w:tblCellMar>
            <w:top w:w="0" w:type="dxa"/>
            <w:left w:w="108" w:type="dxa"/>
            <w:bottom w:w="0" w:type="dxa"/>
            <w:right w:w="108" w:type="dxa"/>
          </w:tblCellMar>
        </w:tblPrEx>
        <w:trPr>
          <w:trHeight w:val="480" w:hRule="atLeast"/>
        </w:trPr>
        <w:tc>
          <w:tcPr>
            <w:tcW w:w="585" w:type="dxa"/>
            <w:vMerge w:val="continue"/>
            <w:tcBorders>
              <w:top w:val="single" w:color="000000" w:sz="4" w:space="0"/>
              <w:left w:val="single" w:color="000000" w:sz="4" w:space="0"/>
              <w:bottom w:val="nil"/>
              <w:right w:val="nil"/>
            </w:tcBorders>
            <w:shd w:val="clear" w:color="auto" w:fill="FFFFFF"/>
            <w:noWrap w:val="0"/>
            <w:vAlign w:val="center"/>
          </w:tcPr>
          <w:p w14:paraId="749FDC46">
            <w:pPr>
              <w:jc w:val="center"/>
              <w:rPr>
                <w:rFonts w:hint="eastAsia" w:ascii="宋体" w:hAnsi="宋体" w:cs="宋体"/>
                <w:color w:val="000000"/>
                <w:sz w:val="18"/>
                <w:szCs w:val="18"/>
              </w:rPr>
            </w:pPr>
          </w:p>
        </w:tc>
        <w:tc>
          <w:tcPr>
            <w:tcW w:w="3510" w:type="dxa"/>
            <w:vMerge w:val="continue"/>
            <w:tcBorders>
              <w:top w:val="single" w:color="000000" w:sz="4" w:space="0"/>
              <w:left w:val="single" w:color="000000" w:sz="4" w:space="0"/>
              <w:bottom w:val="nil"/>
              <w:right w:val="nil"/>
            </w:tcBorders>
            <w:shd w:val="clear" w:color="auto" w:fill="FFFFFF"/>
            <w:noWrap w:val="0"/>
            <w:vAlign w:val="center"/>
          </w:tcPr>
          <w:p w14:paraId="7C32DA5C">
            <w:pPr>
              <w:jc w:val="center"/>
              <w:rPr>
                <w:rFonts w:hint="eastAsia" w:ascii="宋体" w:hAnsi="宋体" w:cs="宋体"/>
                <w:color w:val="000000"/>
                <w:sz w:val="18"/>
                <w:szCs w:val="18"/>
              </w:rPr>
            </w:pPr>
          </w:p>
        </w:tc>
        <w:tc>
          <w:tcPr>
            <w:tcW w:w="1410" w:type="dxa"/>
            <w:vMerge w:val="continue"/>
            <w:tcBorders>
              <w:top w:val="single" w:color="000000" w:sz="4" w:space="0"/>
              <w:left w:val="single" w:color="000000" w:sz="4" w:space="0"/>
              <w:bottom w:val="nil"/>
              <w:right w:val="nil"/>
            </w:tcBorders>
            <w:shd w:val="clear" w:color="auto" w:fill="FFFFFF"/>
            <w:noWrap w:val="0"/>
            <w:vAlign w:val="center"/>
          </w:tcPr>
          <w:p w14:paraId="343ABD6C">
            <w:pPr>
              <w:jc w:val="center"/>
              <w:rPr>
                <w:rFonts w:hint="eastAsia" w:ascii="宋体" w:hAnsi="宋体" w:cs="宋体"/>
                <w:color w:val="000000"/>
                <w:sz w:val="18"/>
                <w:szCs w:val="18"/>
              </w:rPr>
            </w:pPr>
          </w:p>
        </w:tc>
        <w:tc>
          <w:tcPr>
            <w:tcW w:w="1080" w:type="dxa"/>
            <w:tcBorders>
              <w:top w:val="single" w:color="000000" w:sz="4" w:space="0"/>
              <w:left w:val="single" w:color="000000" w:sz="4" w:space="0"/>
              <w:bottom w:val="nil"/>
              <w:right w:val="nil"/>
            </w:tcBorders>
            <w:shd w:val="clear" w:color="auto" w:fill="FFFFFF"/>
            <w:noWrap w:val="0"/>
            <w:vAlign w:val="center"/>
          </w:tcPr>
          <w:p w14:paraId="1FB29C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暂估价</w:t>
            </w:r>
          </w:p>
        </w:tc>
        <w:tc>
          <w:tcPr>
            <w:tcW w:w="1320" w:type="dxa"/>
            <w:tcBorders>
              <w:top w:val="single" w:color="000000" w:sz="4" w:space="0"/>
              <w:left w:val="single" w:color="000000" w:sz="4" w:space="0"/>
              <w:bottom w:val="nil"/>
              <w:right w:val="nil"/>
            </w:tcBorders>
            <w:shd w:val="clear" w:color="auto" w:fill="FFFFFF"/>
            <w:noWrap w:val="0"/>
            <w:vAlign w:val="center"/>
          </w:tcPr>
          <w:p w14:paraId="1A8366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安全文明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施工基本费</w:t>
            </w:r>
          </w:p>
        </w:tc>
        <w:tc>
          <w:tcPr>
            <w:tcW w:w="1065" w:type="dxa"/>
            <w:tcBorders>
              <w:top w:val="single" w:color="000000" w:sz="4" w:space="0"/>
              <w:left w:val="single" w:color="000000" w:sz="4" w:space="0"/>
              <w:bottom w:val="nil"/>
              <w:right w:val="nil"/>
            </w:tcBorders>
            <w:shd w:val="clear" w:color="auto" w:fill="FFFFFF"/>
            <w:noWrap w:val="0"/>
            <w:vAlign w:val="center"/>
          </w:tcPr>
          <w:p w14:paraId="697D3F5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规费</w:t>
            </w: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1EF6FF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税金</w:t>
            </w:r>
          </w:p>
        </w:tc>
      </w:tr>
      <w:tr w14:paraId="4EF74DA1">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003EF3F1">
            <w:pPr>
              <w:keepNext w:val="0"/>
              <w:keepLines w:val="0"/>
              <w:widowControl/>
              <w:suppressLineNumbers w:val="0"/>
              <w:jc w:val="center"/>
              <w:textAlignment w:val="center"/>
              <w:rPr>
                <w:rFonts w:hint="eastAsia" w:ascii="宋体" w:hAnsi="宋体" w:cs="宋体"/>
                <w:color w:val="000000"/>
                <w:sz w:val="18"/>
                <w:szCs w:val="18"/>
                <w:highlight w:val="yellow"/>
              </w:rPr>
            </w:pPr>
            <w:r>
              <w:rPr>
                <w:rFonts w:hint="eastAsia" w:ascii="宋体" w:hAnsi="宋体" w:eastAsia="宋体" w:cs="宋体"/>
                <w:i w:val="0"/>
                <w:iCs w:val="0"/>
                <w:color w:val="000000"/>
                <w:kern w:val="0"/>
                <w:sz w:val="18"/>
                <w:szCs w:val="18"/>
                <w:u w:val="none"/>
                <w:lang w:val="en-US" w:eastAsia="zh-CN" w:bidi="ar"/>
              </w:rPr>
              <w:t>1</w:t>
            </w:r>
          </w:p>
        </w:tc>
        <w:tc>
          <w:tcPr>
            <w:tcW w:w="3510" w:type="dxa"/>
            <w:tcBorders>
              <w:top w:val="single" w:color="000000" w:sz="4" w:space="0"/>
              <w:left w:val="single" w:color="000000" w:sz="4" w:space="0"/>
              <w:bottom w:val="nil"/>
              <w:right w:val="nil"/>
            </w:tcBorders>
            <w:shd w:val="clear" w:color="auto" w:fill="FFFFFF"/>
            <w:noWrap w:val="0"/>
            <w:vAlign w:val="center"/>
          </w:tcPr>
          <w:p w14:paraId="58E69CF6">
            <w:pPr>
              <w:keepNext w:val="0"/>
              <w:keepLines w:val="0"/>
              <w:widowControl/>
              <w:suppressLineNumbers w:val="0"/>
              <w:jc w:val="left"/>
              <w:textAlignment w:val="center"/>
              <w:rPr>
                <w:rFonts w:hint="default" w:ascii="宋体" w:hAnsi="宋体" w:cs="宋体"/>
                <w:color w:val="000000"/>
                <w:sz w:val="18"/>
                <w:szCs w:val="18"/>
                <w:highlight w:val="yellow"/>
                <w:lang w:val="en-US"/>
              </w:rPr>
            </w:pPr>
            <w:r>
              <w:rPr>
                <w:rFonts w:hint="eastAsia" w:ascii="宋体" w:hAnsi="宋体" w:eastAsia="宋体" w:cs="宋体"/>
                <w:i w:val="0"/>
                <w:iCs w:val="0"/>
                <w:color w:val="000000"/>
                <w:kern w:val="0"/>
                <w:sz w:val="18"/>
                <w:szCs w:val="18"/>
                <w:u w:val="none"/>
                <w:lang w:val="en-US" w:eastAsia="zh-CN" w:bidi="ar"/>
              </w:rPr>
              <w:t>神仙居5A景区镇机车设施提升项目——游客集散中心（景区集散点）项目</w:t>
            </w:r>
          </w:p>
        </w:tc>
        <w:tc>
          <w:tcPr>
            <w:tcW w:w="1410" w:type="dxa"/>
            <w:tcBorders>
              <w:top w:val="single" w:color="000000" w:sz="4" w:space="0"/>
              <w:left w:val="single" w:color="000000" w:sz="4" w:space="0"/>
              <w:bottom w:val="nil"/>
              <w:right w:val="nil"/>
            </w:tcBorders>
            <w:shd w:val="clear" w:color="auto" w:fill="FFFFFF"/>
            <w:noWrap w:val="0"/>
            <w:vAlign w:val="center"/>
          </w:tcPr>
          <w:p w14:paraId="113B54BA">
            <w:pPr>
              <w:jc w:val="right"/>
              <w:rPr>
                <w:rFonts w:hint="eastAsia" w:ascii="宋体" w:hAnsi="宋体" w:cs="宋体"/>
                <w:color w:val="000000"/>
                <w:sz w:val="18"/>
                <w:szCs w:val="18"/>
              </w:rPr>
            </w:pPr>
          </w:p>
        </w:tc>
        <w:tc>
          <w:tcPr>
            <w:tcW w:w="1080" w:type="dxa"/>
            <w:tcBorders>
              <w:top w:val="single" w:color="000000" w:sz="4" w:space="0"/>
              <w:left w:val="single" w:color="000000" w:sz="4" w:space="0"/>
              <w:bottom w:val="nil"/>
              <w:right w:val="nil"/>
            </w:tcBorders>
            <w:shd w:val="clear" w:color="auto" w:fill="FFFFFF"/>
            <w:noWrap w:val="0"/>
            <w:vAlign w:val="center"/>
          </w:tcPr>
          <w:p w14:paraId="0812A37B">
            <w:pPr>
              <w:jc w:val="right"/>
              <w:rPr>
                <w:rFonts w:hint="eastAsia" w:ascii="宋体" w:hAnsi="宋体" w:cs="宋体"/>
                <w:color w:val="000000"/>
                <w:sz w:val="18"/>
                <w:szCs w:val="18"/>
              </w:rPr>
            </w:pPr>
          </w:p>
        </w:tc>
        <w:tc>
          <w:tcPr>
            <w:tcW w:w="1320" w:type="dxa"/>
            <w:tcBorders>
              <w:top w:val="single" w:color="000000" w:sz="4" w:space="0"/>
              <w:left w:val="single" w:color="000000" w:sz="4" w:space="0"/>
              <w:bottom w:val="nil"/>
              <w:right w:val="nil"/>
            </w:tcBorders>
            <w:shd w:val="clear" w:color="auto" w:fill="FFFFFF"/>
            <w:noWrap w:val="0"/>
            <w:vAlign w:val="center"/>
          </w:tcPr>
          <w:p w14:paraId="21460FF8">
            <w:pPr>
              <w:jc w:val="right"/>
              <w:rPr>
                <w:rFonts w:hint="eastAsia" w:ascii="宋体" w:hAnsi="宋体" w:cs="宋体"/>
                <w:color w:val="000000"/>
                <w:sz w:val="18"/>
                <w:szCs w:val="18"/>
              </w:rPr>
            </w:pPr>
          </w:p>
        </w:tc>
        <w:tc>
          <w:tcPr>
            <w:tcW w:w="1065" w:type="dxa"/>
            <w:tcBorders>
              <w:top w:val="single" w:color="000000" w:sz="4" w:space="0"/>
              <w:left w:val="single" w:color="000000" w:sz="4" w:space="0"/>
              <w:bottom w:val="nil"/>
              <w:right w:val="nil"/>
            </w:tcBorders>
            <w:shd w:val="clear" w:color="auto" w:fill="FFFFFF"/>
            <w:noWrap w:val="0"/>
            <w:vAlign w:val="center"/>
          </w:tcPr>
          <w:p w14:paraId="53185F80">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5671A203">
            <w:pPr>
              <w:jc w:val="right"/>
              <w:rPr>
                <w:rFonts w:hint="eastAsia" w:ascii="宋体" w:hAnsi="宋体" w:cs="宋体"/>
                <w:color w:val="000000"/>
                <w:sz w:val="18"/>
                <w:szCs w:val="18"/>
              </w:rPr>
            </w:pPr>
          </w:p>
        </w:tc>
      </w:tr>
      <w:tr w14:paraId="1C32D3D2">
        <w:tblPrEx>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nil"/>
              <w:right w:val="nil"/>
            </w:tcBorders>
            <w:shd w:val="clear" w:color="auto" w:fill="FFFFFF"/>
            <w:noWrap w:val="0"/>
            <w:vAlign w:val="center"/>
          </w:tcPr>
          <w:p w14:paraId="089F9BC4">
            <w:pPr>
              <w:keepNext w:val="0"/>
              <w:keepLines w:val="0"/>
              <w:widowControl/>
              <w:suppressLineNumbers w:val="0"/>
              <w:jc w:val="center"/>
              <w:textAlignment w:val="center"/>
              <w:rPr>
                <w:rFonts w:hint="eastAsia" w:ascii="宋体" w:hAnsi="宋体" w:cs="宋体"/>
                <w:color w:val="000000"/>
                <w:sz w:val="18"/>
                <w:szCs w:val="18"/>
                <w:highlight w:val="yellow"/>
              </w:rPr>
            </w:pPr>
            <w:r>
              <w:rPr>
                <w:rFonts w:hint="eastAsia" w:ascii="宋体" w:hAnsi="宋体" w:eastAsia="宋体" w:cs="宋体"/>
                <w:i w:val="0"/>
                <w:iCs w:val="0"/>
                <w:color w:val="000000"/>
                <w:kern w:val="0"/>
                <w:sz w:val="18"/>
                <w:szCs w:val="18"/>
                <w:u w:val="none"/>
                <w:lang w:val="en-US" w:eastAsia="zh-CN" w:bidi="ar"/>
              </w:rPr>
              <w:t>1.1</w:t>
            </w:r>
          </w:p>
        </w:tc>
        <w:tc>
          <w:tcPr>
            <w:tcW w:w="3510" w:type="dxa"/>
            <w:tcBorders>
              <w:top w:val="single" w:color="000000" w:sz="4" w:space="0"/>
              <w:left w:val="single" w:color="000000" w:sz="4" w:space="0"/>
              <w:bottom w:val="nil"/>
              <w:right w:val="nil"/>
            </w:tcBorders>
            <w:shd w:val="clear" w:color="auto" w:fill="FFFFFF"/>
            <w:noWrap w:val="0"/>
            <w:vAlign w:val="center"/>
          </w:tcPr>
          <w:p w14:paraId="50778CB2">
            <w:pPr>
              <w:keepNext w:val="0"/>
              <w:keepLines w:val="0"/>
              <w:widowControl/>
              <w:suppressLineNumbers w:val="0"/>
              <w:jc w:val="left"/>
              <w:textAlignment w:val="center"/>
              <w:rPr>
                <w:rFonts w:hint="eastAsia" w:ascii="宋体" w:hAnsi="宋体" w:cs="宋体"/>
                <w:color w:val="000000"/>
                <w:sz w:val="18"/>
                <w:szCs w:val="18"/>
                <w:highlight w:val="yellow"/>
              </w:rPr>
            </w:pPr>
            <w:r>
              <w:rPr>
                <w:rFonts w:hint="eastAsia" w:ascii="宋体" w:hAnsi="宋体" w:eastAsia="宋体" w:cs="宋体"/>
                <w:i w:val="0"/>
                <w:iCs w:val="0"/>
                <w:color w:val="000000"/>
                <w:kern w:val="0"/>
                <w:sz w:val="18"/>
                <w:szCs w:val="18"/>
                <w:u w:val="none"/>
                <w:lang w:val="en-US" w:eastAsia="zh-CN" w:bidi="ar"/>
              </w:rPr>
              <w:t>建筑</w:t>
            </w:r>
          </w:p>
        </w:tc>
        <w:tc>
          <w:tcPr>
            <w:tcW w:w="1410" w:type="dxa"/>
            <w:tcBorders>
              <w:top w:val="single" w:color="000000" w:sz="4" w:space="0"/>
              <w:left w:val="single" w:color="000000" w:sz="4" w:space="0"/>
              <w:bottom w:val="nil"/>
              <w:right w:val="nil"/>
            </w:tcBorders>
            <w:shd w:val="clear" w:color="auto" w:fill="FFFFFF"/>
            <w:noWrap w:val="0"/>
            <w:vAlign w:val="center"/>
          </w:tcPr>
          <w:p w14:paraId="2BB8F76D">
            <w:pPr>
              <w:jc w:val="right"/>
              <w:rPr>
                <w:rFonts w:hint="eastAsia" w:ascii="宋体" w:hAnsi="宋体" w:cs="宋体"/>
                <w:color w:val="000000"/>
                <w:sz w:val="18"/>
                <w:szCs w:val="18"/>
              </w:rPr>
            </w:pPr>
          </w:p>
        </w:tc>
        <w:tc>
          <w:tcPr>
            <w:tcW w:w="1080" w:type="dxa"/>
            <w:tcBorders>
              <w:top w:val="single" w:color="000000" w:sz="4" w:space="0"/>
              <w:left w:val="single" w:color="000000" w:sz="4" w:space="0"/>
              <w:bottom w:val="nil"/>
              <w:right w:val="nil"/>
            </w:tcBorders>
            <w:shd w:val="clear" w:color="auto" w:fill="FFFFFF"/>
            <w:noWrap w:val="0"/>
            <w:vAlign w:val="center"/>
          </w:tcPr>
          <w:p w14:paraId="7ABFD862">
            <w:pPr>
              <w:jc w:val="right"/>
              <w:rPr>
                <w:rFonts w:hint="eastAsia" w:ascii="宋体" w:hAnsi="宋体" w:cs="宋体"/>
                <w:color w:val="000000"/>
                <w:sz w:val="18"/>
                <w:szCs w:val="18"/>
              </w:rPr>
            </w:pPr>
          </w:p>
        </w:tc>
        <w:tc>
          <w:tcPr>
            <w:tcW w:w="1320" w:type="dxa"/>
            <w:tcBorders>
              <w:top w:val="single" w:color="000000" w:sz="4" w:space="0"/>
              <w:left w:val="single" w:color="000000" w:sz="4" w:space="0"/>
              <w:bottom w:val="nil"/>
              <w:right w:val="nil"/>
            </w:tcBorders>
            <w:shd w:val="clear" w:color="auto" w:fill="FFFFFF"/>
            <w:noWrap w:val="0"/>
            <w:vAlign w:val="center"/>
          </w:tcPr>
          <w:p w14:paraId="41D518CE">
            <w:pPr>
              <w:jc w:val="right"/>
              <w:rPr>
                <w:rFonts w:hint="eastAsia" w:ascii="宋体" w:hAnsi="宋体" w:cs="宋体"/>
                <w:color w:val="000000"/>
                <w:sz w:val="18"/>
                <w:szCs w:val="18"/>
              </w:rPr>
            </w:pPr>
          </w:p>
        </w:tc>
        <w:tc>
          <w:tcPr>
            <w:tcW w:w="1065" w:type="dxa"/>
            <w:tcBorders>
              <w:top w:val="single" w:color="000000" w:sz="4" w:space="0"/>
              <w:left w:val="single" w:color="000000" w:sz="4" w:space="0"/>
              <w:bottom w:val="nil"/>
              <w:right w:val="nil"/>
            </w:tcBorders>
            <w:shd w:val="clear" w:color="auto" w:fill="FFFFFF"/>
            <w:noWrap w:val="0"/>
            <w:vAlign w:val="center"/>
          </w:tcPr>
          <w:p w14:paraId="5950ADC8">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235347DA">
            <w:pPr>
              <w:jc w:val="right"/>
              <w:rPr>
                <w:rFonts w:hint="eastAsia" w:ascii="宋体" w:hAnsi="宋体" w:cs="宋体"/>
                <w:color w:val="000000"/>
                <w:sz w:val="18"/>
                <w:szCs w:val="18"/>
              </w:rPr>
            </w:pPr>
          </w:p>
        </w:tc>
      </w:tr>
      <w:tr w14:paraId="278BCCE9">
        <w:tblPrEx>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nil"/>
              <w:right w:val="nil"/>
            </w:tcBorders>
            <w:shd w:val="clear" w:color="auto" w:fill="FFFFFF"/>
            <w:noWrap w:val="0"/>
            <w:vAlign w:val="center"/>
          </w:tcPr>
          <w:p w14:paraId="3D856575">
            <w:pPr>
              <w:keepNext w:val="0"/>
              <w:keepLines w:val="0"/>
              <w:widowControl/>
              <w:suppressLineNumbers w:val="0"/>
              <w:jc w:val="center"/>
              <w:textAlignment w:val="center"/>
              <w:rPr>
                <w:rFonts w:hint="eastAsia" w:ascii="宋体" w:hAnsi="宋体" w:cs="宋体"/>
                <w:color w:val="000000"/>
                <w:sz w:val="18"/>
                <w:szCs w:val="18"/>
                <w:highlight w:val="yellow"/>
              </w:rPr>
            </w:pPr>
            <w:r>
              <w:rPr>
                <w:rFonts w:hint="eastAsia" w:ascii="宋体" w:hAnsi="宋体" w:eastAsia="宋体" w:cs="宋体"/>
                <w:i w:val="0"/>
                <w:iCs w:val="0"/>
                <w:color w:val="000000"/>
                <w:kern w:val="0"/>
                <w:sz w:val="18"/>
                <w:szCs w:val="18"/>
                <w:u w:val="none"/>
                <w:lang w:val="en-US" w:eastAsia="zh-CN" w:bidi="ar"/>
              </w:rPr>
              <w:t>1.2</w:t>
            </w:r>
          </w:p>
        </w:tc>
        <w:tc>
          <w:tcPr>
            <w:tcW w:w="3510" w:type="dxa"/>
            <w:tcBorders>
              <w:top w:val="single" w:color="000000" w:sz="4" w:space="0"/>
              <w:left w:val="single" w:color="000000" w:sz="4" w:space="0"/>
              <w:bottom w:val="nil"/>
              <w:right w:val="nil"/>
            </w:tcBorders>
            <w:shd w:val="clear" w:color="auto" w:fill="FFFFFF"/>
            <w:noWrap w:val="0"/>
            <w:vAlign w:val="center"/>
          </w:tcPr>
          <w:p w14:paraId="2F98ED27">
            <w:pPr>
              <w:keepNext w:val="0"/>
              <w:keepLines w:val="0"/>
              <w:widowControl/>
              <w:suppressLineNumbers w:val="0"/>
              <w:jc w:val="left"/>
              <w:textAlignment w:val="center"/>
              <w:rPr>
                <w:rFonts w:hint="eastAsia" w:ascii="宋体" w:hAnsi="宋体" w:cs="宋体"/>
                <w:color w:val="000000"/>
                <w:sz w:val="18"/>
                <w:szCs w:val="18"/>
                <w:highlight w:val="yellow"/>
              </w:rPr>
            </w:pPr>
            <w:r>
              <w:rPr>
                <w:rFonts w:hint="eastAsia" w:ascii="宋体" w:hAnsi="宋体" w:eastAsia="宋体" w:cs="宋体"/>
                <w:i w:val="0"/>
                <w:iCs w:val="0"/>
                <w:color w:val="000000"/>
                <w:kern w:val="0"/>
                <w:sz w:val="18"/>
                <w:szCs w:val="18"/>
                <w:u w:val="none"/>
                <w:lang w:val="en-US" w:eastAsia="zh-CN" w:bidi="ar"/>
              </w:rPr>
              <w:t>园林</w:t>
            </w:r>
          </w:p>
        </w:tc>
        <w:tc>
          <w:tcPr>
            <w:tcW w:w="1410" w:type="dxa"/>
            <w:tcBorders>
              <w:top w:val="single" w:color="000000" w:sz="4" w:space="0"/>
              <w:left w:val="single" w:color="000000" w:sz="4" w:space="0"/>
              <w:bottom w:val="nil"/>
              <w:right w:val="nil"/>
            </w:tcBorders>
            <w:shd w:val="clear" w:color="auto" w:fill="FFFFFF"/>
            <w:noWrap w:val="0"/>
            <w:vAlign w:val="center"/>
          </w:tcPr>
          <w:p w14:paraId="6EEF964D">
            <w:pPr>
              <w:jc w:val="right"/>
              <w:rPr>
                <w:rFonts w:hint="eastAsia" w:ascii="宋体" w:hAnsi="宋体" w:cs="宋体"/>
                <w:color w:val="000000"/>
                <w:sz w:val="18"/>
                <w:szCs w:val="18"/>
              </w:rPr>
            </w:pPr>
          </w:p>
        </w:tc>
        <w:tc>
          <w:tcPr>
            <w:tcW w:w="1080" w:type="dxa"/>
            <w:tcBorders>
              <w:top w:val="single" w:color="000000" w:sz="4" w:space="0"/>
              <w:left w:val="single" w:color="000000" w:sz="4" w:space="0"/>
              <w:bottom w:val="nil"/>
              <w:right w:val="nil"/>
            </w:tcBorders>
            <w:shd w:val="clear" w:color="auto" w:fill="FFFFFF"/>
            <w:noWrap w:val="0"/>
            <w:vAlign w:val="center"/>
          </w:tcPr>
          <w:p w14:paraId="495EBEB6">
            <w:pPr>
              <w:jc w:val="right"/>
              <w:rPr>
                <w:rFonts w:hint="eastAsia" w:ascii="宋体" w:hAnsi="宋体" w:cs="宋体"/>
                <w:color w:val="000000"/>
                <w:sz w:val="18"/>
                <w:szCs w:val="18"/>
              </w:rPr>
            </w:pPr>
          </w:p>
        </w:tc>
        <w:tc>
          <w:tcPr>
            <w:tcW w:w="1320" w:type="dxa"/>
            <w:tcBorders>
              <w:top w:val="single" w:color="000000" w:sz="4" w:space="0"/>
              <w:left w:val="single" w:color="000000" w:sz="4" w:space="0"/>
              <w:bottom w:val="nil"/>
              <w:right w:val="nil"/>
            </w:tcBorders>
            <w:shd w:val="clear" w:color="auto" w:fill="FFFFFF"/>
            <w:noWrap w:val="0"/>
            <w:vAlign w:val="center"/>
          </w:tcPr>
          <w:p w14:paraId="2DCBA5C0">
            <w:pPr>
              <w:jc w:val="right"/>
              <w:rPr>
                <w:rFonts w:hint="eastAsia" w:ascii="宋体" w:hAnsi="宋体" w:cs="宋体"/>
                <w:color w:val="000000"/>
                <w:sz w:val="18"/>
                <w:szCs w:val="18"/>
              </w:rPr>
            </w:pPr>
          </w:p>
        </w:tc>
        <w:tc>
          <w:tcPr>
            <w:tcW w:w="1065" w:type="dxa"/>
            <w:tcBorders>
              <w:top w:val="single" w:color="000000" w:sz="4" w:space="0"/>
              <w:left w:val="single" w:color="000000" w:sz="4" w:space="0"/>
              <w:bottom w:val="nil"/>
              <w:right w:val="nil"/>
            </w:tcBorders>
            <w:shd w:val="clear" w:color="auto" w:fill="FFFFFF"/>
            <w:noWrap w:val="0"/>
            <w:vAlign w:val="center"/>
          </w:tcPr>
          <w:p w14:paraId="565D026F">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55DC648A">
            <w:pPr>
              <w:jc w:val="right"/>
              <w:rPr>
                <w:rFonts w:hint="eastAsia" w:ascii="宋体" w:hAnsi="宋体" w:cs="宋体"/>
                <w:color w:val="000000"/>
                <w:sz w:val="18"/>
                <w:szCs w:val="18"/>
              </w:rPr>
            </w:pPr>
          </w:p>
        </w:tc>
      </w:tr>
      <w:tr w14:paraId="59CA9012">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15D9182C">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3510" w:type="dxa"/>
            <w:tcBorders>
              <w:top w:val="single" w:color="000000" w:sz="4" w:space="0"/>
              <w:left w:val="single" w:color="000000" w:sz="4" w:space="0"/>
              <w:bottom w:val="nil"/>
              <w:right w:val="nil"/>
            </w:tcBorders>
            <w:shd w:val="clear" w:color="auto" w:fill="FFFFFF"/>
            <w:noWrap w:val="0"/>
            <w:vAlign w:val="center"/>
          </w:tcPr>
          <w:p w14:paraId="794C3F89">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安装</w:t>
            </w:r>
          </w:p>
        </w:tc>
        <w:tc>
          <w:tcPr>
            <w:tcW w:w="1410" w:type="dxa"/>
            <w:tcBorders>
              <w:top w:val="single" w:color="000000" w:sz="4" w:space="0"/>
              <w:left w:val="single" w:color="000000" w:sz="4" w:space="0"/>
              <w:bottom w:val="nil"/>
              <w:right w:val="nil"/>
            </w:tcBorders>
            <w:shd w:val="clear" w:color="auto" w:fill="FFFFFF"/>
            <w:noWrap w:val="0"/>
            <w:vAlign w:val="center"/>
          </w:tcPr>
          <w:p w14:paraId="41056F69">
            <w:pPr>
              <w:jc w:val="right"/>
              <w:rPr>
                <w:rFonts w:hint="eastAsia" w:ascii="宋体" w:hAnsi="宋体" w:cs="宋体"/>
                <w:color w:val="000000"/>
                <w:sz w:val="18"/>
                <w:szCs w:val="18"/>
              </w:rPr>
            </w:pPr>
          </w:p>
        </w:tc>
        <w:tc>
          <w:tcPr>
            <w:tcW w:w="1080" w:type="dxa"/>
            <w:tcBorders>
              <w:top w:val="single" w:color="000000" w:sz="4" w:space="0"/>
              <w:left w:val="single" w:color="000000" w:sz="4" w:space="0"/>
              <w:bottom w:val="nil"/>
              <w:right w:val="nil"/>
            </w:tcBorders>
            <w:shd w:val="clear" w:color="auto" w:fill="FFFFFF"/>
            <w:noWrap w:val="0"/>
            <w:vAlign w:val="center"/>
          </w:tcPr>
          <w:p w14:paraId="434071E8">
            <w:pPr>
              <w:jc w:val="right"/>
              <w:rPr>
                <w:rFonts w:hint="eastAsia" w:ascii="宋体" w:hAnsi="宋体" w:cs="宋体"/>
                <w:color w:val="000000"/>
                <w:sz w:val="18"/>
                <w:szCs w:val="18"/>
              </w:rPr>
            </w:pPr>
          </w:p>
        </w:tc>
        <w:tc>
          <w:tcPr>
            <w:tcW w:w="1320" w:type="dxa"/>
            <w:tcBorders>
              <w:top w:val="single" w:color="000000" w:sz="4" w:space="0"/>
              <w:left w:val="single" w:color="000000" w:sz="4" w:space="0"/>
              <w:bottom w:val="nil"/>
              <w:right w:val="nil"/>
            </w:tcBorders>
            <w:shd w:val="clear" w:color="auto" w:fill="FFFFFF"/>
            <w:noWrap w:val="0"/>
            <w:vAlign w:val="center"/>
          </w:tcPr>
          <w:p w14:paraId="1FF8907B">
            <w:pPr>
              <w:jc w:val="right"/>
              <w:rPr>
                <w:rFonts w:hint="eastAsia" w:ascii="宋体" w:hAnsi="宋体" w:cs="宋体"/>
                <w:color w:val="000000"/>
                <w:sz w:val="18"/>
                <w:szCs w:val="18"/>
              </w:rPr>
            </w:pPr>
          </w:p>
        </w:tc>
        <w:tc>
          <w:tcPr>
            <w:tcW w:w="1065" w:type="dxa"/>
            <w:tcBorders>
              <w:top w:val="single" w:color="000000" w:sz="4" w:space="0"/>
              <w:left w:val="single" w:color="000000" w:sz="4" w:space="0"/>
              <w:bottom w:val="nil"/>
              <w:right w:val="nil"/>
            </w:tcBorders>
            <w:shd w:val="clear" w:color="auto" w:fill="FFFFFF"/>
            <w:noWrap w:val="0"/>
            <w:vAlign w:val="center"/>
          </w:tcPr>
          <w:p w14:paraId="4EC862AC">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29ED0E60">
            <w:pPr>
              <w:jc w:val="right"/>
              <w:rPr>
                <w:rFonts w:hint="eastAsia" w:ascii="宋体" w:hAnsi="宋体" w:cs="宋体"/>
                <w:color w:val="000000"/>
                <w:sz w:val="18"/>
                <w:szCs w:val="18"/>
              </w:rPr>
            </w:pPr>
          </w:p>
        </w:tc>
      </w:tr>
      <w:tr w14:paraId="78FE2354">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62540DF3">
            <w:pPr>
              <w:jc w:val="center"/>
              <w:rPr>
                <w:rFonts w:hint="eastAsia" w:ascii="宋体" w:hAnsi="宋体" w:cs="宋体"/>
                <w:color w:val="000000"/>
                <w:sz w:val="18"/>
                <w:szCs w:val="18"/>
              </w:rPr>
            </w:pPr>
          </w:p>
        </w:tc>
        <w:tc>
          <w:tcPr>
            <w:tcW w:w="3510" w:type="dxa"/>
            <w:tcBorders>
              <w:top w:val="single" w:color="000000" w:sz="4" w:space="0"/>
              <w:left w:val="single" w:color="000000" w:sz="4" w:space="0"/>
              <w:bottom w:val="nil"/>
              <w:right w:val="nil"/>
            </w:tcBorders>
            <w:shd w:val="clear" w:color="auto" w:fill="FFFFFF"/>
            <w:noWrap w:val="0"/>
            <w:vAlign w:val="center"/>
          </w:tcPr>
          <w:p w14:paraId="24A25B1F">
            <w:pPr>
              <w:jc w:val="left"/>
              <w:rPr>
                <w:rFonts w:hint="eastAsia" w:ascii="宋体" w:hAnsi="宋体" w:cs="宋体"/>
                <w:color w:val="000000"/>
                <w:sz w:val="18"/>
                <w:szCs w:val="18"/>
              </w:rPr>
            </w:pPr>
          </w:p>
        </w:tc>
        <w:tc>
          <w:tcPr>
            <w:tcW w:w="1410" w:type="dxa"/>
            <w:tcBorders>
              <w:top w:val="single" w:color="000000" w:sz="4" w:space="0"/>
              <w:left w:val="single" w:color="000000" w:sz="4" w:space="0"/>
              <w:bottom w:val="nil"/>
              <w:right w:val="nil"/>
            </w:tcBorders>
            <w:shd w:val="clear" w:color="auto" w:fill="FFFFFF"/>
            <w:noWrap w:val="0"/>
            <w:vAlign w:val="center"/>
          </w:tcPr>
          <w:p w14:paraId="14A52634">
            <w:pPr>
              <w:jc w:val="right"/>
              <w:rPr>
                <w:rFonts w:hint="eastAsia" w:ascii="宋体" w:hAnsi="宋体" w:cs="宋体"/>
                <w:color w:val="000000"/>
                <w:sz w:val="18"/>
                <w:szCs w:val="18"/>
              </w:rPr>
            </w:pPr>
          </w:p>
        </w:tc>
        <w:tc>
          <w:tcPr>
            <w:tcW w:w="1080" w:type="dxa"/>
            <w:tcBorders>
              <w:top w:val="single" w:color="000000" w:sz="4" w:space="0"/>
              <w:left w:val="single" w:color="000000" w:sz="4" w:space="0"/>
              <w:bottom w:val="nil"/>
              <w:right w:val="nil"/>
            </w:tcBorders>
            <w:shd w:val="clear" w:color="auto" w:fill="FFFFFF"/>
            <w:noWrap w:val="0"/>
            <w:vAlign w:val="center"/>
          </w:tcPr>
          <w:p w14:paraId="286690B6">
            <w:pPr>
              <w:jc w:val="right"/>
              <w:rPr>
                <w:rFonts w:hint="eastAsia" w:ascii="宋体" w:hAnsi="宋体" w:cs="宋体"/>
                <w:color w:val="000000"/>
                <w:sz w:val="18"/>
                <w:szCs w:val="18"/>
              </w:rPr>
            </w:pPr>
          </w:p>
        </w:tc>
        <w:tc>
          <w:tcPr>
            <w:tcW w:w="1320" w:type="dxa"/>
            <w:tcBorders>
              <w:top w:val="single" w:color="000000" w:sz="4" w:space="0"/>
              <w:left w:val="single" w:color="000000" w:sz="4" w:space="0"/>
              <w:bottom w:val="nil"/>
              <w:right w:val="nil"/>
            </w:tcBorders>
            <w:shd w:val="clear" w:color="auto" w:fill="FFFFFF"/>
            <w:noWrap w:val="0"/>
            <w:vAlign w:val="center"/>
          </w:tcPr>
          <w:p w14:paraId="77A76938">
            <w:pPr>
              <w:jc w:val="right"/>
              <w:rPr>
                <w:rFonts w:hint="eastAsia" w:ascii="宋体" w:hAnsi="宋体" w:cs="宋体"/>
                <w:color w:val="000000"/>
                <w:sz w:val="18"/>
                <w:szCs w:val="18"/>
              </w:rPr>
            </w:pPr>
          </w:p>
        </w:tc>
        <w:tc>
          <w:tcPr>
            <w:tcW w:w="1065" w:type="dxa"/>
            <w:tcBorders>
              <w:top w:val="single" w:color="000000" w:sz="4" w:space="0"/>
              <w:left w:val="single" w:color="000000" w:sz="4" w:space="0"/>
              <w:bottom w:val="nil"/>
              <w:right w:val="nil"/>
            </w:tcBorders>
            <w:shd w:val="clear" w:color="auto" w:fill="FFFFFF"/>
            <w:noWrap w:val="0"/>
            <w:vAlign w:val="center"/>
          </w:tcPr>
          <w:p w14:paraId="2CC4BAED">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7ABF56BA">
            <w:pPr>
              <w:jc w:val="right"/>
              <w:rPr>
                <w:rFonts w:hint="eastAsia" w:ascii="宋体" w:hAnsi="宋体" w:cs="宋体"/>
                <w:color w:val="000000"/>
                <w:sz w:val="18"/>
                <w:szCs w:val="18"/>
              </w:rPr>
            </w:pPr>
          </w:p>
        </w:tc>
      </w:tr>
      <w:tr w14:paraId="18BF033D">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450CDF51">
            <w:pPr>
              <w:jc w:val="center"/>
              <w:rPr>
                <w:rFonts w:hint="eastAsia" w:ascii="宋体" w:hAnsi="宋体" w:cs="宋体"/>
                <w:color w:val="000000"/>
                <w:sz w:val="18"/>
                <w:szCs w:val="18"/>
              </w:rPr>
            </w:pPr>
          </w:p>
        </w:tc>
        <w:tc>
          <w:tcPr>
            <w:tcW w:w="3510" w:type="dxa"/>
            <w:tcBorders>
              <w:top w:val="single" w:color="000000" w:sz="4" w:space="0"/>
              <w:left w:val="single" w:color="000000" w:sz="4" w:space="0"/>
              <w:bottom w:val="nil"/>
              <w:right w:val="nil"/>
            </w:tcBorders>
            <w:shd w:val="clear" w:color="auto" w:fill="FFFFFF"/>
            <w:noWrap w:val="0"/>
            <w:vAlign w:val="center"/>
          </w:tcPr>
          <w:p w14:paraId="66F74EEB">
            <w:pPr>
              <w:jc w:val="left"/>
              <w:rPr>
                <w:rFonts w:hint="eastAsia" w:ascii="宋体" w:hAnsi="宋体" w:cs="宋体"/>
                <w:color w:val="000000"/>
                <w:sz w:val="18"/>
                <w:szCs w:val="18"/>
              </w:rPr>
            </w:pPr>
          </w:p>
        </w:tc>
        <w:tc>
          <w:tcPr>
            <w:tcW w:w="1410" w:type="dxa"/>
            <w:tcBorders>
              <w:top w:val="single" w:color="000000" w:sz="4" w:space="0"/>
              <w:left w:val="single" w:color="000000" w:sz="4" w:space="0"/>
              <w:bottom w:val="nil"/>
              <w:right w:val="nil"/>
            </w:tcBorders>
            <w:shd w:val="clear" w:color="auto" w:fill="FFFFFF"/>
            <w:noWrap w:val="0"/>
            <w:vAlign w:val="center"/>
          </w:tcPr>
          <w:p w14:paraId="67E5703F">
            <w:pPr>
              <w:jc w:val="right"/>
              <w:rPr>
                <w:rFonts w:hint="eastAsia" w:ascii="宋体" w:hAnsi="宋体" w:cs="宋体"/>
                <w:color w:val="000000"/>
                <w:sz w:val="18"/>
                <w:szCs w:val="18"/>
              </w:rPr>
            </w:pPr>
          </w:p>
        </w:tc>
        <w:tc>
          <w:tcPr>
            <w:tcW w:w="1080" w:type="dxa"/>
            <w:tcBorders>
              <w:top w:val="single" w:color="000000" w:sz="4" w:space="0"/>
              <w:left w:val="single" w:color="000000" w:sz="4" w:space="0"/>
              <w:bottom w:val="nil"/>
              <w:right w:val="nil"/>
            </w:tcBorders>
            <w:shd w:val="clear" w:color="auto" w:fill="FFFFFF"/>
            <w:noWrap w:val="0"/>
            <w:vAlign w:val="center"/>
          </w:tcPr>
          <w:p w14:paraId="222DDC44">
            <w:pPr>
              <w:jc w:val="right"/>
              <w:rPr>
                <w:rFonts w:hint="eastAsia" w:ascii="宋体" w:hAnsi="宋体" w:cs="宋体"/>
                <w:color w:val="000000"/>
                <w:sz w:val="18"/>
                <w:szCs w:val="18"/>
              </w:rPr>
            </w:pPr>
          </w:p>
        </w:tc>
        <w:tc>
          <w:tcPr>
            <w:tcW w:w="1320" w:type="dxa"/>
            <w:tcBorders>
              <w:top w:val="single" w:color="000000" w:sz="4" w:space="0"/>
              <w:left w:val="single" w:color="000000" w:sz="4" w:space="0"/>
              <w:bottom w:val="nil"/>
              <w:right w:val="nil"/>
            </w:tcBorders>
            <w:shd w:val="clear" w:color="auto" w:fill="FFFFFF"/>
            <w:noWrap w:val="0"/>
            <w:vAlign w:val="center"/>
          </w:tcPr>
          <w:p w14:paraId="39A0CC36">
            <w:pPr>
              <w:jc w:val="right"/>
              <w:rPr>
                <w:rFonts w:hint="eastAsia" w:ascii="宋体" w:hAnsi="宋体" w:cs="宋体"/>
                <w:color w:val="000000"/>
                <w:sz w:val="18"/>
                <w:szCs w:val="18"/>
              </w:rPr>
            </w:pPr>
          </w:p>
        </w:tc>
        <w:tc>
          <w:tcPr>
            <w:tcW w:w="1065" w:type="dxa"/>
            <w:tcBorders>
              <w:top w:val="single" w:color="000000" w:sz="4" w:space="0"/>
              <w:left w:val="single" w:color="000000" w:sz="4" w:space="0"/>
              <w:bottom w:val="nil"/>
              <w:right w:val="nil"/>
            </w:tcBorders>
            <w:shd w:val="clear" w:color="auto" w:fill="FFFFFF"/>
            <w:noWrap w:val="0"/>
            <w:vAlign w:val="center"/>
          </w:tcPr>
          <w:p w14:paraId="0EB7171C">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4654EC66">
            <w:pPr>
              <w:jc w:val="right"/>
              <w:rPr>
                <w:rFonts w:hint="eastAsia" w:ascii="宋体" w:hAnsi="宋体" w:cs="宋体"/>
                <w:color w:val="000000"/>
                <w:sz w:val="18"/>
                <w:szCs w:val="18"/>
              </w:rPr>
            </w:pPr>
          </w:p>
        </w:tc>
      </w:tr>
      <w:tr w14:paraId="46C6583F">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6CFB402D">
            <w:pPr>
              <w:jc w:val="center"/>
              <w:rPr>
                <w:rFonts w:hint="eastAsia" w:ascii="宋体" w:hAnsi="宋体" w:cs="宋体"/>
                <w:color w:val="000000"/>
                <w:sz w:val="18"/>
                <w:szCs w:val="18"/>
              </w:rPr>
            </w:pPr>
          </w:p>
        </w:tc>
        <w:tc>
          <w:tcPr>
            <w:tcW w:w="3510" w:type="dxa"/>
            <w:tcBorders>
              <w:top w:val="single" w:color="000000" w:sz="4" w:space="0"/>
              <w:left w:val="single" w:color="000000" w:sz="4" w:space="0"/>
              <w:bottom w:val="nil"/>
              <w:right w:val="nil"/>
            </w:tcBorders>
            <w:shd w:val="clear" w:color="auto" w:fill="FFFFFF"/>
            <w:noWrap w:val="0"/>
            <w:vAlign w:val="center"/>
          </w:tcPr>
          <w:p w14:paraId="2DB7B394">
            <w:pPr>
              <w:jc w:val="left"/>
              <w:rPr>
                <w:rFonts w:hint="eastAsia" w:ascii="宋体" w:hAnsi="宋体" w:cs="宋体"/>
                <w:color w:val="000000"/>
                <w:sz w:val="18"/>
                <w:szCs w:val="18"/>
              </w:rPr>
            </w:pPr>
          </w:p>
        </w:tc>
        <w:tc>
          <w:tcPr>
            <w:tcW w:w="1410" w:type="dxa"/>
            <w:tcBorders>
              <w:top w:val="single" w:color="000000" w:sz="4" w:space="0"/>
              <w:left w:val="single" w:color="000000" w:sz="4" w:space="0"/>
              <w:bottom w:val="nil"/>
              <w:right w:val="nil"/>
            </w:tcBorders>
            <w:shd w:val="clear" w:color="auto" w:fill="FFFFFF"/>
            <w:noWrap w:val="0"/>
            <w:vAlign w:val="center"/>
          </w:tcPr>
          <w:p w14:paraId="186D1C19">
            <w:pPr>
              <w:jc w:val="right"/>
              <w:rPr>
                <w:rFonts w:hint="eastAsia" w:ascii="宋体" w:hAnsi="宋体" w:cs="宋体"/>
                <w:color w:val="000000"/>
                <w:sz w:val="18"/>
                <w:szCs w:val="18"/>
              </w:rPr>
            </w:pPr>
          </w:p>
        </w:tc>
        <w:tc>
          <w:tcPr>
            <w:tcW w:w="1080" w:type="dxa"/>
            <w:tcBorders>
              <w:top w:val="single" w:color="000000" w:sz="4" w:space="0"/>
              <w:left w:val="single" w:color="000000" w:sz="4" w:space="0"/>
              <w:bottom w:val="nil"/>
              <w:right w:val="nil"/>
            </w:tcBorders>
            <w:shd w:val="clear" w:color="auto" w:fill="FFFFFF"/>
            <w:noWrap w:val="0"/>
            <w:vAlign w:val="center"/>
          </w:tcPr>
          <w:p w14:paraId="2787FEF8">
            <w:pPr>
              <w:jc w:val="right"/>
              <w:rPr>
                <w:rFonts w:hint="eastAsia" w:ascii="宋体" w:hAnsi="宋体" w:cs="宋体"/>
                <w:color w:val="000000"/>
                <w:sz w:val="18"/>
                <w:szCs w:val="18"/>
              </w:rPr>
            </w:pPr>
          </w:p>
        </w:tc>
        <w:tc>
          <w:tcPr>
            <w:tcW w:w="1320" w:type="dxa"/>
            <w:tcBorders>
              <w:top w:val="single" w:color="000000" w:sz="4" w:space="0"/>
              <w:left w:val="single" w:color="000000" w:sz="4" w:space="0"/>
              <w:bottom w:val="nil"/>
              <w:right w:val="nil"/>
            </w:tcBorders>
            <w:shd w:val="clear" w:color="auto" w:fill="FFFFFF"/>
            <w:noWrap w:val="0"/>
            <w:vAlign w:val="center"/>
          </w:tcPr>
          <w:p w14:paraId="5135AA23">
            <w:pPr>
              <w:jc w:val="right"/>
              <w:rPr>
                <w:rFonts w:hint="eastAsia" w:ascii="宋体" w:hAnsi="宋体" w:cs="宋体"/>
                <w:color w:val="000000"/>
                <w:sz w:val="18"/>
                <w:szCs w:val="18"/>
              </w:rPr>
            </w:pPr>
          </w:p>
        </w:tc>
        <w:tc>
          <w:tcPr>
            <w:tcW w:w="1065" w:type="dxa"/>
            <w:tcBorders>
              <w:top w:val="single" w:color="000000" w:sz="4" w:space="0"/>
              <w:left w:val="single" w:color="000000" w:sz="4" w:space="0"/>
              <w:bottom w:val="nil"/>
              <w:right w:val="nil"/>
            </w:tcBorders>
            <w:shd w:val="clear" w:color="auto" w:fill="FFFFFF"/>
            <w:noWrap w:val="0"/>
            <w:vAlign w:val="center"/>
          </w:tcPr>
          <w:p w14:paraId="200383A3">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3350D820">
            <w:pPr>
              <w:jc w:val="right"/>
              <w:rPr>
                <w:rFonts w:hint="eastAsia" w:ascii="宋体" w:hAnsi="宋体" w:cs="宋体"/>
                <w:color w:val="000000"/>
                <w:sz w:val="18"/>
                <w:szCs w:val="18"/>
              </w:rPr>
            </w:pPr>
          </w:p>
        </w:tc>
      </w:tr>
      <w:tr w14:paraId="3B86C07D">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7810111A">
            <w:pPr>
              <w:jc w:val="center"/>
              <w:rPr>
                <w:rFonts w:hint="eastAsia" w:ascii="宋体" w:hAnsi="宋体" w:cs="宋体"/>
                <w:color w:val="000000"/>
                <w:sz w:val="18"/>
                <w:szCs w:val="18"/>
              </w:rPr>
            </w:pPr>
          </w:p>
        </w:tc>
        <w:tc>
          <w:tcPr>
            <w:tcW w:w="3510" w:type="dxa"/>
            <w:tcBorders>
              <w:top w:val="single" w:color="000000" w:sz="4" w:space="0"/>
              <w:left w:val="single" w:color="000000" w:sz="4" w:space="0"/>
              <w:bottom w:val="nil"/>
              <w:right w:val="nil"/>
            </w:tcBorders>
            <w:shd w:val="clear" w:color="auto" w:fill="FFFFFF"/>
            <w:noWrap w:val="0"/>
            <w:vAlign w:val="center"/>
          </w:tcPr>
          <w:p w14:paraId="5E769FE4">
            <w:pPr>
              <w:jc w:val="left"/>
              <w:rPr>
                <w:rFonts w:hint="eastAsia" w:ascii="宋体" w:hAnsi="宋体" w:cs="宋体"/>
                <w:color w:val="000000"/>
                <w:sz w:val="18"/>
                <w:szCs w:val="18"/>
              </w:rPr>
            </w:pPr>
          </w:p>
        </w:tc>
        <w:tc>
          <w:tcPr>
            <w:tcW w:w="1410" w:type="dxa"/>
            <w:tcBorders>
              <w:top w:val="single" w:color="000000" w:sz="4" w:space="0"/>
              <w:left w:val="single" w:color="000000" w:sz="4" w:space="0"/>
              <w:bottom w:val="nil"/>
              <w:right w:val="nil"/>
            </w:tcBorders>
            <w:shd w:val="clear" w:color="auto" w:fill="FFFFFF"/>
            <w:noWrap w:val="0"/>
            <w:vAlign w:val="center"/>
          </w:tcPr>
          <w:p w14:paraId="4F7AFD37">
            <w:pPr>
              <w:jc w:val="right"/>
              <w:rPr>
                <w:rFonts w:hint="eastAsia" w:ascii="宋体" w:hAnsi="宋体" w:cs="宋体"/>
                <w:color w:val="000000"/>
                <w:sz w:val="18"/>
                <w:szCs w:val="18"/>
              </w:rPr>
            </w:pPr>
          </w:p>
        </w:tc>
        <w:tc>
          <w:tcPr>
            <w:tcW w:w="1080" w:type="dxa"/>
            <w:tcBorders>
              <w:top w:val="single" w:color="000000" w:sz="4" w:space="0"/>
              <w:left w:val="single" w:color="000000" w:sz="4" w:space="0"/>
              <w:bottom w:val="nil"/>
              <w:right w:val="nil"/>
            </w:tcBorders>
            <w:shd w:val="clear" w:color="auto" w:fill="FFFFFF"/>
            <w:noWrap w:val="0"/>
            <w:vAlign w:val="center"/>
          </w:tcPr>
          <w:p w14:paraId="7BE7D293">
            <w:pPr>
              <w:jc w:val="right"/>
              <w:rPr>
                <w:rFonts w:hint="eastAsia" w:ascii="宋体" w:hAnsi="宋体" w:cs="宋体"/>
                <w:color w:val="000000"/>
                <w:sz w:val="18"/>
                <w:szCs w:val="18"/>
              </w:rPr>
            </w:pPr>
          </w:p>
        </w:tc>
        <w:tc>
          <w:tcPr>
            <w:tcW w:w="1320" w:type="dxa"/>
            <w:tcBorders>
              <w:top w:val="single" w:color="000000" w:sz="4" w:space="0"/>
              <w:left w:val="single" w:color="000000" w:sz="4" w:space="0"/>
              <w:bottom w:val="nil"/>
              <w:right w:val="nil"/>
            </w:tcBorders>
            <w:shd w:val="clear" w:color="auto" w:fill="FFFFFF"/>
            <w:noWrap w:val="0"/>
            <w:vAlign w:val="center"/>
          </w:tcPr>
          <w:p w14:paraId="71B709FD">
            <w:pPr>
              <w:jc w:val="right"/>
              <w:rPr>
                <w:rFonts w:hint="eastAsia" w:ascii="宋体" w:hAnsi="宋体" w:cs="宋体"/>
                <w:color w:val="000000"/>
                <w:sz w:val="18"/>
                <w:szCs w:val="18"/>
              </w:rPr>
            </w:pPr>
          </w:p>
        </w:tc>
        <w:tc>
          <w:tcPr>
            <w:tcW w:w="1065" w:type="dxa"/>
            <w:tcBorders>
              <w:top w:val="single" w:color="000000" w:sz="4" w:space="0"/>
              <w:left w:val="single" w:color="000000" w:sz="4" w:space="0"/>
              <w:bottom w:val="nil"/>
              <w:right w:val="nil"/>
            </w:tcBorders>
            <w:shd w:val="clear" w:color="auto" w:fill="FFFFFF"/>
            <w:noWrap w:val="0"/>
            <w:vAlign w:val="center"/>
          </w:tcPr>
          <w:p w14:paraId="29666CC8">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4EA8EFB6">
            <w:pPr>
              <w:jc w:val="right"/>
              <w:rPr>
                <w:rFonts w:hint="eastAsia" w:ascii="宋体" w:hAnsi="宋体" w:cs="宋体"/>
                <w:color w:val="000000"/>
                <w:sz w:val="18"/>
                <w:szCs w:val="18"/>
              </w:rPr>
            </w:pPr>
          </w:p>
        </w:tc>
      </w:tr>
      <w:tr w14:paraId="7A9F1230">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6266950E">
            <w:pPr>
              <w:jc w:val="center"/>
              <w:rPr>
                <w:rFonts w:hint="eastAsia" w:ascii="宋体" w:hAnsi="宋体" w:cs="宋体"/>
                <w:color w:val="000000"/>
                <w:sz w:val="18"/>
                <w:szCs w:val="18"/>
              </w:rPr>
            </w:pPr>
          </w:p>
        </w:tc>
        <w:tc>
          <w:tcPr>
            <w:tcW w:w="3510" w:type="dxa"/>
            <w:tcBorders>
              <w:top w:val="single" w:color="000000" w:sz="4" w:space="0"/>
              <w:left w:val="single" w:color="000000" w:sz="4" w:space="0"/>
              <w:bottom w:val="nil"/>
              <w:right w:val="nil"/>
            </w:tcBorders>
            <w:shd w:val="clear" w:color="auto" w:fill="FFFFFF"/>
            <w:noWrap w:val="0"/>
            <w:vAlign w:val="center"/>
          </w:tcPr>
          <w:p w14:paraId="77CE73AB">
            <w:pPr>
              <w:jc w:val="left"/>
              <w:rPr>
                <w:rFonts w:hint="eastAsia" w:ascii="宋体" w:hAnsi="宋体" w:cs="宋体"/>
                <w:color w:val="000000"/>
                <w:sz w:val="18"/>
                <w:szCs w:val="18"/>
              </w:rPr>
            </w:pPr>
          </w:p>
        </w:tc>
        <w:tc>
          <w:tcPr>
            <w:tcW w:w="1410" w:type="dxa"/>
            <w:tcBorders>
              <w:top w:val="single" w:color="000000" w:sz="4" w:space="0"/>
              <w:left w:val="single" w:color="000000" w:sz="4" w:space="0"/>
              <w:bottom w:val="nil"/>
              <w:right w:val="nil"/>
            </w:tcBorders>
            <w:shd w:val="clear" w:color="auto" w:fill="FFFFFF"/>
            <w:noWrap w:val="0"/>
            <w:vAlign w:val="center"/>
          </w:tcPr>
          <w:p w14:paraId="77875778">
            <w:pPr>
              <w:jc w:val="right"/>
              <w:rPr>
                <w:rFonts w:hint="eastAsia" w:ascii="宋体" w:hAnsi="宋体" w:cs="宋体"/>
                <w:color w:val="000000"/>
                <w:sz w:val="18"/>
                <w:szCs w:val="18"/>
              </w:rPr>
            </w:pPr>
          </w:p>
        </w:tc>
        <w:tc>
          <w:tcPr>
            <w:tcW w:w="1080" w:type="dxa"/>
            <w:tcBorders>
              <w:top w:val="single" w:color="000000" w:sz="4" w:space="0"/>
              <w:left w:val="single" w:color="000000" w:sz="4" w:space="0"/>
              <w:bottom w:val="nil"/>
              <w:right w:val="nil"/>
            </w:tcBorders>
            <w:shd w:val="clear" w:color="auto" w:fill="FFFFFF"/>
            <w:noWrap w:val="0"/>
            <w:vAlign w:val="center"/>
          </w:tcPr>
          <w:p w14:paraId="14FB2D87">
            <w:pPr>
              <w:jc w:val="right"/>
              <w:rPr>
                <w:rFonts w:hint="eastAsia" w:ascii="宋体" w:hAnsi="宋体" w:cs="宋体"/>
                <w:color w:val="000000"/>
                <w:sz w:val="18"/>
                <w:szCs w:val="18"/>
              </w:rPr>
            </w:pPr>
          </w:p>
        </w:tc>
        <w:tc>
          <w:tcPr>
            <w:tcW w:w="1320" w:type="dxa"/>
            <w:tcBorders>
              <w:top w:val="single" w:color="000000" w:sz="4" w:space="0"/>
              <w:left w:val="single" w:color="000000" w:sz="4" w:space="0"/>
              <w:bottom w:val="nil"/>
              <w:right w:val="nil"/>
            </w:tcBorders>
            <w:shd w:val="clear" w:color="auto" w:fill="FFFFFF"/>
            <w:noWrap w:val="0"/>
            <w:vAlign w:val="center"/>
          </w:tcPr>
          <w:p w14:paraId="7FA2B404">
            <w:pPr>
              <w:jc w:val="right"/>
              <w:rPr>
                <w:rFonts w:hint="eastAsia" w:ascii="宋体" w:hAnsi="宋体" w:cs="宋体"/>
                <w:color w:val="000000"/>
                <w:sz w:val="18"/>
                <w:szCs w:val="18"/>
              </w:rPr>
            </w:pPr>
          </w:p>
        </w:tc>
        <w:tc>
          <w:tcPr>
            <w:tcW w:w="1065" w:type="dxa"/>
            <w:tcBorders>
              <w:top w:val="single" w:color="000000" w:sz="4" w:space="0"/>
              <w:left w:val="single" w:color="000000" w:sz="4" w:space="0"/>
              <w:bottom w:val="nil"/>
              <w:right w:val="nil"/>
            </w:tcBorders>
            <w:shd w:val="clear" w:color="auto" w:fill="FFFFFF"/>
            <w:noWrap w:val="0"/>
            <w:vAlign w:val="center"/>
          </w:tcPr>
          <w:p w14:paraId="0EA42378">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416C2B8B">
            <w:pPr>
              <w:jc w:val="right"/>
              <w:rPr>
                <w:rFonts w:hint="eastAsia" w:ascii="宋体" w:hAnsi="宋体" w:cs="宋体"/>
                <w:color w:val="000000"/>
                <w:sz w:val="18"/>
                <w:szCs w:val="18"/>
              </w:rPr>
            </w:pPr>
          </w:p>
        </w:tc>
      </w:tr>
      <w:tr w14:paraId="4AEF323C">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7888E562">
            <w:pPr>
              <w:jc w:val="center"/>
              <w:rPr>
                <w:rFonts w:hint="eastAsia" w:ascii="宋体" w:hAnsi="宋体" w:cs="宋体"/>
                <w:color w:val="000000"/>
                <w:sz w:val="18"/>
                <w:szCs w:val="18"/>
              </w:rPr>
            </w:pPr>
          </w:p>
        </w:tc>
        <w:tc>
          <w:tcPr>
            <w:tcW w:w="3510" w:type="dxa"/>
            <w:tcBorders>
              <w:top w:val="single" w:color="000000" w:sz="4" w:space="0"/>
              <w:left w:val="single" w:color="000000" w:sz="4" w:space="0"/>
              <w:bottom w:val="nil"/>
              <w:right w:val="nil"/>
            </w:tcBorders>
            <w:shd w:val="clear" w:color="auto" w:fill="FFFFFF"/>
            <w:noWrap w:val="0"/>
            <w:vAlign w:val="center"/>
          </w:tcPr>
          <w:p w14:paraId="4E908D22">
            <w:pPr>
              <w:jc w:val="left"/>
              <w:rPr>
                <w:rFonts w:hint="eastAsia" w:ascii="宋体" w:hAnsi="宋体" w:cs="宋体"/>
                <w:color w:val="000000"/>
                <w:sz w:val="18"/>
                <w:szCs w:val="18"/>
              </w:rPr>
            </w:pPr>
          </w:p>
        </w:tc>
        <w:tc>
          <w:tcPr>
            <w:tcW w:w="1410" w:type="dxa"/>
            <w:tcBorders>
              <w:top w:val="single" w:color="000000" w:sz="4" w:space="0"/>
              <w:left w:val="single" w:color="000000" w:sz="4" w:space="0"/>
              <w:bottom w:val="nil"/>
              <w:right w:val="nil"/>
            </w:tcBorders>
            <w:shd w:val="clear" w:color="auto" w:fill="FFFFFF"/>
            <w:noWrap w:val="0"/>
            <w:vAlign w:val="center"/>
          </w:tcPr>
          <w:p w14:paraId="0AF0BE91">
            <w:pPr>
              <w:jc w:val="right"/>
              <w:rPr>
                <w:rFonts w:hint="eastAsia" w:ascii="宋体" w:hAnsi="宋体" w:cs="宋体"/>
                <w:color w:val="000000"/>
                <w:sz w:val="18"/>
                <w:szCs w:val="18"/>
              </w:rPr>
            </w:pPr>
          </w:p>
        </w:tc>
        <w:tc>
          <w:tcPr>
            <w:tcW w:w="1080" w:type="dxa"/>
            <w:tcBorders>
              <w:top w:val="single" w:color="000000" w:sz="4" w:space="0"/>
              <w:left w:val="single" w:color="000000" w:sz="4" w:space="0"/>
              <w:bottom w:val="nil"/>
              <w:right w:val="nil"/>
            </w:tcBorders>
            <w:shd w:val="clear" w:color="auto" w:fill="FFFFFF"/>
            <w:noWrap w:val="0"/>
            <w:vAlign w:val="center"/>
          </w:tcPr>
          <w:p w14:paraId="1DD12645">
            <w:pPr>
              <w:jc w:val="right"/>
              <w:rPr>
                <w:rFonts w:hint="eastAsia" w:ascii="宋体" w:hAnsi="宋体" w:cs="宋体"/>
                <w:color w:val="000000"/>
                <w:sz w:val="18"/>
                <w:szCs w:val="18"/>
              </w:rPr>
            </w:pPr>
          </w:p>
        </w:tc>
        <w:tc>
          <w:tcPr>
            <w:tcW w:w="1320" w:type="dxa"/>
            <w:tcBorders>
              <w:top w:val="single" w:color="000000" w:sz="4" w:space="0"/>
              <w:left w:val="single" w:color="000000" w:sz="4" w:space="0"/>
              <w:bottom w:val="nil"/>
              <w:right w:val="nil"/>
            </w:tcBorders>
            <w:shd w:val="clear" w:color="auto" w:fill="FFFFFF"/>
            <w:noWrap w:val="0"/>
            <w:vAlign w:val="center"/>
          </w:tcPr>
          <w:p w14:paraId="24317B35">
            <w:pPr>
              <w:jc w:val="right"/>
              <w:rPr>
                <w:rFonts w:hint="eastAsia" w:ascii="宋体" w:hAnsi="宋体" w:cs="宋体"/>
                <w:color w:val="000000"/>
                <w:sz w:val="18"/>
                <w:szCs w:val="18"/>
              </w:rPr>
            </w:pPr>
          </w:p>
        </w:tc>
        <w:tc>
          <w:tcPr>
            <w:tcW w:w="1065" w:type="dxa"/>
            <w:tcBorders>
              <w:top w:val="single" w:color="000000" w:sz="4" w:space="0"/>
              <w:left w:val="single" w:color="000000" w:sz="4" w:space="0"/>
              <w:bottom w:val="nil"/>
              <w:right w:val="nil"/>
            </w:tcBorders>
            <w:shd w:val="clear" w:color="auto" w:fill="FFFFFF"/>
            <w:noWrap w:val="0"/>
            <w:vAlign w:val="center"/>
          </w:tcPr>
          <w:p w14:paraId="42E9D189">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09EA2FD6">
            <w:pPr>
              <w:jc w:val="right"/>
              <w:rPr>
                <w:rFonts w:hint="eastAsia" w:ascii="宋体" w:hAnsi="宋体" w:cs="宋体"/>
                <w:color w:val="000000"/>
                <w:sz w:val="18"/>
                <w:szCs w:val="18"/>
              </w:rPr>
            </w:pPr>
          </w:p>
        </w:tc>
      </w:tr>
      <w:tr w14:paraId="71958DCA">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5316D161">
            <w:pPr>
              <w:jc w:val="center"/>
              <w:rPr>
                <w:rFonts w:hint="eastAsia" w:ascii="宋体" w:hAnsi="宋体" w:cs="宋体"/>
                <w:color w:val="000000"/>
                <w:sz w:val="18"/>
                <w:szCs w:val="18"/>
              </w:rPr>
            </w:pPr>
          </w:p>
        </w:tc>
        <w:tc>
          <w:tcPr>
            <w:tcW w:w="3510" w:type="dxa"/>
            <w:tcBorders>
              <w:top w:val="single" w:color="000000" w:sz="4" w:space="0"/>
              <w:left w:val="single" w:color="000000" w:sz="4" w:space="0"/>
              <w:bottom w:val="nil"/>
              <w:right w:val="nil"/>
            </w:tcBorders>
            <w:shd w:val="clear" w:color="auto" w:fill="FFFFFF"/>
            <w:noWrap w:val="0"/>
            <w:vAlign w:val="center"/>
          </w:tcPr>
          <w:p w14:paraId="10AA5485">
            <w:pPr>
              <w:jc w:val="left"/>
              <w:rPr>
                <w:rFonts w:hint="eastAsia" w:ascii="宋体" w:hAnsi="宋体" w:cs="宋体"/>
                <w:color w:val="000000"/>
                <w:sz w:val="18"/>
                <w:szCs w:val="18"/>
              </w:rPr>
            </w:pPr>
          </w:p>
        </w:tc>
        <w:tc>
          <w:tcPr>
            <w:tcW w:w="1410" w:type="dxa"/>
            <w:tcBorders>
              <w:top w:val="single" w:color="000000" w:sz="4" w:space="0"/>
              <w:left w:val="single" w:color="000000" w:sz="4" w:space="0"/>
              <w:bottom w:val="nil"/>
              <w:right w:val="nil"/>
            </w:tcBorders>
            <w:shd w:val="clear" w:color="auto" w:fill="FFFFFF"/>
            <w:noWrap w:val="0"/>
            <w:vAlign w:val="center"/>
          </w:tcPr>
          <w:p w14:paraId="05F68E4E">
            <w:pPr>
              <w:jc w:val="right"/>
              <w:rPr>
                <w:rFonts w:hint="eastAsia" w:ascii="宋体" w:hAnsi="宋体" w:cs="宋体"/>
                <w:color w:val="000000"/>
                <w:sz w:val="18"/>
                <w:szCs w:val="18"/>
              </w:rPr>
            </w:pPr>
          </w:p>
        </w:tc>
        <w:tc>
          <w:tcPr>
            <w:tcW w:w="1080" w:type="dxa"/>
            <w:tcBorders>
              <w:top w:val="single" w:color="000000" w:sz="4" w:space="0"/>
              <w:left w:val="single" w:color="000000" w:sz="4" w:space="0"/>
              <w:bottom w:val="nil"/>
              <w:right w:val="nil"/>
            </w:tcBorders>
            <w:shd w:val="clear" w:color="auto" w:fill="FFFFFF"/>
            <w:noWrap w:val="0"/>
            <w:vAlign w:val="center"/>
          </w:tcPr>
          <w:p w14:paraId="7AFC3DC5">
            <w:pPr>
              <w:jc w:val="right"/>
              <w:rPr>
                <w:rFonts w:hint="eastAsia" w:ascii="宋体" w:hAnsi="宋体" w:cs="宋体"/>
                <w:color w:val="000000"/>
                <w:sz w:val="18"/>
                <w:szCs w:val="18"/>
              </w:rPr>
            </w:pPr>
          </w:p>
        </w:tc>
        <w:tc>
          <w:tcPr>
            <w:tcW w:w="1320" w:type="dxa"/>
            <w:tcBorders>
              <w:top w:val="single" w:color="000000" w:sz="4" w:space="0"/>
              <w:left w:val="single" w:color="000000" w:sz="4" w:space="0"/>
              <w:bottom w:val="nil"/>
              <w:right w:val="nil"/>
            </w:tcBorders>
            <w:shd w:val="clear" w:color="auto" w:fill="FFFFFF"/>
            <w:noWrap w:val="0"/>
            <w:vAlign w:val="center"/>
          </w:tcPr>
          <w:p w14:paraId="0822EFB1">
            <w:pPr>
              <w:jc w:val="right"/>
              <w:rPr>
                <w:rFonts w:hint="eastAsia" w:ascii="宋体" w:hAnsi="宋体" w:cs="宋体"/>
                <w:color w:val="000000"/>
                <w:sz w:val="18"/>
                <w:szCs w:val="18"/>
              </w:rPr>
            </w:pPr>
          </w:p>
        </w:tc>
        <w:tc>
          <w:tcPr>
            <w:tcW w:w="1065" w:type="dxa"/>
            <w:tcBorders>
              <w:top w:val="single" w:color="000000" w:sz="4" w:space="0"/>
              <w:left w:val="single" w:color="000000" w:sz="4" w:space="0"/>
              <w:bottom w:val="nil"/>
              <w:right w:val="nil"/>
            </w:tcBorders>
            <w:shd w:val="clear" w:color="auto" w:fill="FFFFFF"/>
            <w:noWrap w:val="0"/>
            <w:vAlign w:val="center"/>
          </w:tcPr>
          <w:p w14:paraId="1CC75AE0">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4BE2EC69">
            <w:pPr>
              <w:jc w:val="right"/>
              <w:rPr>
                <w:rFonts w:hint="eastAsia" w:ascii="宋体" w:hAnsi="宋体" w:cs="宋体"/>
                <w:color w:val="000000"/>
                <w:sz w:val="18"/>
                <w:szCs w:val="18"/>
              </w:rPr>
            </w:pPr>
          </w:p>
        </w:tc>
      </w:tr>
      <w:tr w14:paraId="7875E3F0">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3B7DC1D7">
            <w:pPr>
              <w:jc w:val="center"/>
              <w:rPr>
                <w:rFonts w:hint="eastAsia" w:ascii="宋体" w:hAnsi="宋体" w:cs="宋体"/>
                <w:color w:val="000000"/>
                <w:sz w:val="18"/>
                <w:szCs w:val="18"/>
              </w:rPr>
            </w:pPr>
          </w:p>
        </w:tc>
        <w:tc>
          <w:tcPr>
            <w:tcW w:w="3510" w:type="dxa"/>
            <w:tcBorders>
              <w:top w:val="single" w:color="000000" w:sz="4" w:space="0"/>
              <w:left w:val="single" w:color="000000" w:sz="4" w:space="0"/>
              <w:bottom w:val="nil"/>
              <w:right w:val="nil"/>
            </w:tcBorders>
            <w:shd w:val="clear" w:color="auto" w:fill="FFFFFF"/>
            <w:noWrap w:val="0"/>
            <w:vAlign w:val="center"/>
          </w:tcPr>
          <w:p w14:paraId="1EDC9541">
            <w:pPr>
              <w:jc w:val="left"/>
              <w:rPr>
                <w:rFonts w:hint="eastAsia" w:ascii="宋体" w:hAnsi="宋体" w:cs="宋体"/>
                <w:color w:val="000000"/>
                <w:sz w:val="18"/>
                <w:szCs w:val="18"/>
              </w:rPr>
            </w:pPr>
          </w:p>
        </w:tc>
        <w:tc>
          <w:tcPr>
            <w:tcW w:w="1410" w:type="dxa"/>
            <w:tcBorders>
              <w:top w:val="single" w:color="000000" w:sz="4" w:space="0"/>
              <w:left w:val="single" w:color="000000" w:sz="4" w:space="0"/>
              <w:bottom w:val="nil"/>
              <w:right w:val="nil"/>
            </w:tcBorders>
            <w:shd w:val="clear" w:color="auto" w:fill="FFFFFF"/>
            <w:noWrap w:val="0"/>
            <w:vAlign w:val="center"/>
          </w:tcPr>
          <w:p w14:paraId="1292B176">
            <w:pPr>
              <w:jc w:val="right"/>
              <w:rPr>
                <w:rFonts w:hint="eastAsia" w:ascii="宋体" w:hAnsi="宋体" w:cs="宋体"/>
                <w:color w:val="000000"/>
                <w:sz w:val="18"/>
                <w:szCs w:val="18"/>
              </w:rPr>
            </w:pPr>
          </w:p>
        </w:tc>
        <w:tc>
          <w:tcPr>
            <w:tcW w:w="1080" w:type="dxa"/>
            <w:tcBorders>
              <w:top w:val="single" w:color="000000" w:sz="4" w:space="0"/>
              <w:left w:val="single" w:color="000000" w:sz="4" w:space="0"/>
              <w:bottom w:val="nil"/>
              <w:right w:val="nil"/>
            </w:tcBorders>
            <w:shd w:val="clear" w:color="auto" w:fill="FFFFFF"/>
            <w:noWrap w:val="0"/>
            <w:vAlign w:val="center"/>
          </w:tcPr>
          <w:p w14:paraId="1A8BB52E">
            <w:pPr>
              <w:jc w:val="right"/>
              <w:rPr>
                <w:rFonts w:hint="eastAsia" w:ascii="宋体" w:hAnsi="宋体" w:cs="宋体"/>
                <w:color w:val="000000"/>
                <w:sz w:val="18"/>
                <w:szCs w:val="18"/>
              </w:rPr>
            </w:pPr>
          </w:p>
        </w:tc>
        <w:tc>
          <w:tcPr>
            <w:tcW w:w="1320" w:type="dxa"/>
            <w:tcBorders>
              <w:top w:val="single" w:color="000000" w:sz="4" w:space="0"/>
              <w:left w:val="single" w:color="000000" w:sz="4" w:space="0"/>
              <w:bottom w:val="nil"/>
              <w:right w:val="nil"/>
            </w:tcBorders>
            <w:shd w:val="clear" w:color="auto" w:fill="FFFFFF"/>
            <w:noWrap w:val="0"/>
            <w:vAlign w:val="center"/>
          </w:tcPr>
          <w:p w14:paraId="097C86D0">
            <w:pPr>
              <w:jc w:val="right"/>
              <w:rPr>
                <w:rFonts w:hint="eastAsia" w:ascii="宋体" w:hAnsi="宋体" w:cs="宋体"/>
                <w:color w:val="000000"/>
                <w:sz w:val="18"/>
                <w:szCs w:val="18"/>
              </w:rPr>
            </w:pPr>
          </w:p>
        </w:tc>
        <w:tc>
          <w:tcPr>
            <w:tcW w:w="1065" w:type="dxa"/>
            <w:tcBorders>
              <w:top w:val="single" w:color="000000" w:sz="4" w:space="0"/>
              <w:left w:val="single" w:color="000000" w:sz="4" w:space="0"/>
              <w:bottom w:val="nil"/>
              <w:right w:val="nil"/>
            </w:tcBorders>
            <w:shd w:val="clear" w:color="auto" w:fill="FFFFFF"/>
            <w:noWrap w:val="0"/>
            <w:vAlign w:val="center"/>
          </w:tcPr>
          <w:p w14:paraId="6FBEC12D">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26C91AE9">
            <w:pPr>
              <w:jc w:val="right"/>
              <w:rPr>
                <w:rFonts w:hint="eastAsia" w:ascii="宋体" w:hAnsi="宋体" w:cs="宋体"/>
                <w:color w:val="000000"/>
                <w:sz w:val="18"/>
                <w:szCs w:val="18"/>
              </w:rPr>
            </w:pPr>
          </w:p>
        </w:tc>
      </w:tr>
      <w:tr w14:paraId="2DC3494F">
        <w:tblPrEx>
          <w:tblCellMar>
            <w:top w:w="0" w:type="dxa"/>
            <w:left w:w="108" w:type="dxa"/>
            <w:bottom w:w="0" w:type="dxa"/>
            <w:right w:w="108" w:type="dxa"/>
          </w:tblCellMar>
        </w:tblPrEx>
        <w:trPr>
          <w:trHeight w:val="435" w:hRule="atLeast"/>
        </w:trPr>
        <w:tc>
          <w:tcPr>
            <w:tcW w:w="4095" w:type="dxa"/>
            <w:gridSpan w:val="2"/>
            <w:tcBorders>
              <w:top w:val="single" w:color="000000" w:sz="4" w:space="0"/>
              <w:left w:val="single" w:color="000000" w:sz="4" w:space="0"/>
              <w:bottom w:val="single" w:color="000000" w:sz="4" w:space="0"/>
              <w:right w:val="nil"/>
            </w:tcBorders>
            <w:shd w:val="clear" w:color="auto" w:fill="FFFFFF"/>
            <w:noWrap w:val="0"/>
            <w:vAlign w:val="center"/>
          </w:tcPr>
          <w:p w14:paraId="432F3B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410" w:type="dxa"/>
            <w:tcBorders>
              <w:top w:val="single" w:color="000000" w:sz="4" w:space="0"/>
              <w:left w:val="single" w:color="000000" w:sz="4" w:space="0"/>
              <w:bottom w:val="single" w:color="000000" w:sz="4" w:space="0"/>
              <w:right w:val="nil"/>
            </w:tcBorders>
            <w:shd w:val="clear" w:color="auto" w:fill="FFFFFF"/>
            <w:noWrap w:val="0"/>
            <w:vAlign w:val="center"/>
          </w:tcPr>
          <w:p w14:paraId="43732244">
            <w:pPr>
              <w:jc w:val="right"/>
              <w:rPr>
                <w:rFonts w:hint="eastAsia" w:ascii="宋体" w:hAnsi="宋体" w:cs="宋体"/>
                <w:color w:val="000000"/>
                <w:sz w:val="18"/>
                <w:szCs w:val="18"/>
              </w:rPr>
            </w:pPr>
          </w:p>
        </w:tc>
        <w:tc>
          <w:tcPr>
            <w:tcW w:w="1080" w:type="dxa"/>
            <w:tcBorders>
              <w:top w:val="single" w:color="000000" w:sz="4" w:space="0"/>
              <w:left w:val="single" w:color="000000" w:sz="4" w:space="0"/>
              <w:bottom w:val="single" w:color="000000" w:sz="4" w:space="0"/>
              <w:right w:val="nil"/>
            </w:tcBorders>
            <w:shd w:val="clear" w:color="auto" w:fill="FFFFFF"/>
            <w:noWrap w:val="0"/>
            <w:vAlign w:val="center"/>
          </w:tcPr>
          <w:p w14:paraId="22D9FEB0">
            <w:pPr>
              <w:jc w:val="right"/>
              <w:rPr>
                <w:rFonts w:hint="eastAsia" w:ascii="宋体" w:hAnsi="宋体" w:cs="宋体"/>
                <w:color w:val="000000"/>
                <w:sz w:val="18"/>
                <w:szCs w:val="18"/>
              </w:rPr>
            </w:pPr>
          </w:p>
        </w:tc>
        <w:tc>
          <w:tcPr>
            <w:tcW w:w="1320" w:type="dxa"/>
            <w:tcBorders>
              <w:top w:val="single" w:color="000000" w:sz="4" w:space="0"/>
              <w:left w:val="single" w:color="000000" w:sz="4" w:space="0"/>
              <w:bottom w:val="single" w:color="000000" w:sz="4" w:space="0"/>
              <w:right w:val="nil"/>
            </w:tcBorders>
            <w:shd w:val="clear" w:color="auto" w:fill="FFFFFF"/>
            <w:noWrap w:val="0"/>
            <w:vAlign w:val="center"/>
          </w:tcPr>
          <w:p w14:paraId="2E1D9290">
            <w:pPr>
              <w:jc w:val="right"/>
              <w:rPr>
                <w:rFonts w:hint="eastAsia" w:ascii="宋体" w:hAnsi="宋体" w:cs="宋体"/>
                <w:color w:val="000000"/>
                <w:sz w:val="18"/>
                <w:szCs w:val="18"/>
              </w:rPr>
            </w:pPr>
          </w:p>
        </w:tc>
        <w:tc>
          <w:tcPr>
            <w:tcW w:w="1065" w:type="dxa"/>
            <w:tcBorders>
              <w:top w:val="single" w:color="000000" w:sz="4" w:space="0"/>
              <w:left w:val="single" w:color="000000" w:sz="4" w:space="0"/>
              <w:bottom w:val="single" w:color="000000" w:sz="4" w:space="0"/>
              <w:right w:val="nil"/>
            </w:tcBorders>
            <w:shd w:val="clear" w:color="auto" w:fill="FFFFFF"/>
            <w:noWrap w:val="0"/>
            <w:vAlign w:val="center"/>
          </w:tcPr>
          <w:p w14:paraId="2FF13E04">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B29DB">
            <w:pPr>
              <w:jc w:val="right"/>
              <w:rPr>
                <w:rFonts w:hint="eastAsia" w:ascii="宋体" w:hAnsi="宋体" w:cs="宋体"/>
                <w:color w:val="000000"/>
                <w:sz w:val="18"/>
                <w:szCs w:val="18"/>
              </w:rPr>
            </w:pPr>
          </w:p>
        </w:tc>
      </w:tr>
    </w:tbl>
    <w:p w14:paraId="46D4AED8">
      <w:pPr>
        <w:spacing w:line="360" w:lineRule="auto"/>
        <w:rPr>
          <w:rFonts w:hint="eastAsia"/>
          <w:b/>
          <w:sz w:val="24"/>
        </w:rPr>
      </w:pPr>
    </w:p>
    <w:p w14:paraId="2D6E7F25">
      <w:pPr>
        <w:spacing w:line="360" w:lineRule="auto"/>
        <w:rPr>
          <w:rFonts w:hint="eastAsia"/>
          <w:b/>
          <w:bCs/>
          <w:szCs w:val="21"/>
        </w:rPr>
      </w:pPr>
      <w:r>
        <w:rPr>
          <w:rFonts w:hint="eastAsia"/>
          <w:b/>
          <w:sz w:val="24"/>
        </w:rPr>
        <w:t>注：</w:t>
      </w:r>
      <w:r>
        <w:rPr>
          <w:rFonts w:hint="eastAsia"/>
          <w:b/>
          <w:bCs/>
          <w:szCs w:val="21"/>
        </w:rPr>
        <w:t>1、“工程项目投标报价汇总表”中的投标总报价应与“初次报价一览表”中的投标总报价相一致，不一致时，以“初次报价一览表”为准。</w:t>
      </w:r>
    </w:p>
    <w:p w14:paraId="41541BE1">
      <w:pPr>
        <w:widowControl/>
        <w:spacing w:line="360" w:lineRule="auto"/>
        <w:ind w:firstLine="422" w:firstLineChars="200"/>
        <w:rPr>
          <w:rFonts w:hint="eastAsia" w:ascii="宋体"/>
          <w:b/>
          <w:color w:val="0000FF"/>
          <w:szCs w:val="21"/>
        </w:rPr>
      </w:pPr>
      <w:r>
        <w:rPr>
          <w:rFonts w:hint="eastAsia" w:ascii="宋体"/>
          <w:b/>
          <w:color w:val="0000FF"/>
          <w:szCs w:val="21"/>
        </w:rPr>
        <w:t>2、报价明细表详见招标公告附件 -工程量清单</w:t>
      </w:r>
    </w:p>
    <w:p w14:paraId="01B8FEF9">
      <w:pPr>
        <w:wordWrap w:val="0"/>
        <w:spacing w:line="360" w:lineRule="auto"/>
        <w:ind w:firstLine="422" w:firstLineChars="200"/>
        <w:jc w:val="left"/>
        <w:rPr>
          <w:rFonts w:hint="eastAsia" w:ascii="宋体" w:hAnsi="宋体"/>
          <w:szCs w:val="21"/>
        </w:rPr>
      </w:pPr>
      <w:r>
        <w:rPr>
          <w:rFonts w:hint="eastAsia"/>
          <w:b/>
          <w:bCs/>
          <w:szCs w:val="21"/>
        </w:rPr>
        <w:t>3、投标报价明细表所填内容应根据投标人实际情况填写。如有漏报的，视同已包含在投标总价内或已作优惠处理。有重大缺项的将作无效标处理。</w:t>
      </w:r>
    </w:p>
    <w:p w14:paraId="6B9F7AEE">
      <w:pPr>
        <w:spacing w:line="360" w:lineRule="auto"/>
        <w:ind w:firstLine="480" w:firstLineChars="200"/>
        <w:rPr>
          <w:rFonts w:hint="eastAsia" w:ascii="宋体" w:hAnsi="宋体" w:cs="宋体"/>
          <w:sz w:val="24"/>
        </w:rPr>
      </w:pPr>
    </w:p>
    <w:p w14:paraId="50076A60">
      <w:pPr>
        <w:spacing w:line="360" w:lineRule="auto"/>
        <w:ind w:firstLine="480" w:firstLineChars="200"/>
        <w:rPr>
          <w:rFonts w:hint="eastAsia" w:ascii="宋体" w:hAnsi="宋体" w:cs="宋体"/>
          <w:kern w:val="0"/>
          <w:sz w:val="24"/>
          <w:lang w:val="zh-CN"/>
        </w:rPr>
      </w:pPr>
      <w:r>
        <w:rPr>
          <w:rFonts w:hint="eastAsia" w:ascii="宋体" w:hAnsi="宋体" w:cs="宋体"/>
          <w:sz w:val="24"/>
        </w:rPr>
        <w:t>磋商供应商名称</w:t>
      </w:r>
      <w:r>
        <w:rPr>
          <w:rFonts w:hint="eastAsia" w:ascii="宋体" w:hAnsi="宋体" w:cs="宋体"/>
          <w:kern w:val="0"/>
          <w:sz w:val="24"/>
          <w:lang w:val="zh-CN"/>
        </w:rPr>
        <w:t>(公章)</w:t>
      </w:r>
      <w:r>
        <w:rPr>
          <w:rFonts w:hint="eastAsia" w:ascii="宋体" w:hAnsi="宋体" w:cs="宋体"/>
          <w:sz w:val="24"/>
        </w:rPr>
        <w:t xml:space="preserve">：                                  </w:t>
      </w:r>
    </w:p>
    <w:p w14:paraId="2ADCEE8E">
      <w:pPr>
        <w:spacing w:line="360" w:lineRule="auto"/>
        <w:ind w:left="420"/>
        <w:rPr>
          <w:rFonts w:hint="eastAsia" w:ascii="宋体" w:hAnsi="宋体" w:cs="宋体"/>
          <w:kern w:val="0"/>
          <w:sz w:val="24"/>
          <w:lang w:val="zh-CN"/>
        </w:rPr>
      </w:pPr>
      <w:r>
        <w:rPr>
          <w:rFonts w:hint="eastAsia" w:ascii="宋体" w:hAnsi="宋体" w:cs="宋体"/>
          <w:kern w:val="0"/>
          <w:sz w:val="24"/>
          <w:lang w:val="zh-CN"/>
        </w:rPr>
        <w:t>法定代表人(</w:t>
      </w:r>
      <w:r>
        <w:rPr>
          <w:rFonts w:hint="eastAsia" w:ascii="宋体" w:hAnsi="宋体" w:cs="宋体"/>
          <w:sz w:val="24"/>
        </w:rPr>
        <w:t>签字或盖章</w:t>
      </w:r>
      <w:r>
        <w:rPr>
          <w:rFonts w:hint="eastAsia" w:ascii="宋体" w:hAnsi="宋体" w:cs="宋体"/>
          <w:kern w:val="0"/>
          <w:sz w:val="24"/>
          <w:lang w:val="zh-CN"/>
        </w:rPr>
        <w:t>)或授权委托人(签字)：</w:t>
      </w:r>
    </w:p>
    <w:p w14:paraId="1B7B5601">
      <w:pPr>
        <w:spacing w:line="360" w:lineRule="atLeast"/>
        <w:ind w:firstLine="480" w:firstLineChars="200"/>
        <w:jc w:val="right"/>
        <w:rPr>
          <w:sz w:val="24"/>
        </w:rPr>
        <w:sectPr>
          <w:footerReference r:id="rId11" w:type="first"/>
          <w:footerReference r:id="rId10" w:type="default"/>
          <w:pgSz w:w="11905" w:h="16838"/>
          <w:pgMar w:top="873" w:right="1417" w:bottom="1134" w:left="1134" w:header="851" w:footer="567" w:gutter="0"/>
          <w:cols w:space="720" w:num="1"/>
          <w:docGrid w:linePitch="312" w:charSpace="0"/>
        </w:sectPr>
      </w:pPr>
      <w:r>
        <w:rPr>
          <w:rFonts w:hint="eastAsia" w:ascii="宋体" w:hAnsi="宋体" w:cs="宋体"/>
          <w:sz w:val="24"/>
        </w:rPr>
        <w:t xml:space="preserve">日   期：    </w:t>
      </w:r>
      <w:r>
        <w:rPr>
          <w:sz w:val="24"/>
        </w:rPr>
        <w:t>年   月   日</w:t>
      </w:r>
    </w:p>
    <w:p w14:paraId="2F71056A">
      <w:pPr>
        <w:pStyle w:val="56"/>
        <w:jc w:val="left"/>
        <w:rPr>
          <w:rFonts w:hint="eastAsia" w:ascii="宋体" w:hAnsi="宋体" w:cs="宋体"/>
          <w:i/>
          <w:iCs/>
          <w:sz w:val="24"/>
        </w:rPr>
      </w:pPr>
      <w:r>
        <w:rPr>
          <w:rFonts w:hint="eastAsia" w:ascii="宋体" w:hAnsi="宋体" w:cs="Arial"/>
          <w:b/>
          <w:kern w:val="0"/>
          <w:sz w:val="24"/>
        </w:rPr>
        <w:t>附件</w:t>
      </w:r>
      <w:r>
        <w:rPr>
          <w:rFonts w:hint="eastAsia" w:ascii="宋体" w:hAnsi="宋体" w:cs="Arial"/>
          <w:b/>
          <w:kern w:val="0"/>
          <w:sz w:val="24"/>
          <w:lang w:val="en-US"/>
        </w:rPr>
        <w:t>14</w:t>
      </w:r>
      <w:r>
        <w:rPr>
          <w:rFonts w:hint="eastAsia" w:ascii="宋体" w:hAnsi="宋体" w:cs="Arial"/>
          <w:b/>
          <w:kern w:val="0"/>
          <w:sz w:val="24"/>
        </w:rPr>
        <w:t>：最终报价一览表（</w:t>
      </w:r>
      <w:r>
        <w:rPr>
          <w:rFonts w:hint="eastAsia" w:ascii="宋体" w:hAnsi="宋体" w:cs="宋体"/>
          <w:b/>
          <w:i/>
          <w:iCs/>
          <w:sz w:val="24"/>
          <w:lang w:val="en-US"/>
        </w:rPr>
        <w:t>温馨提示：</w:t>
      </w:r>
      <w:r>
        <w:rPr>
          <w:rFonts w:hint="eastAsia" w:ascii="宋体" w:hAnsi="宋体" w:cs="宋体"/>
          <w:b/>
          <w:i/>
          <w:iCs/>
          <w:sz w:val="24"/>
        </w:rPr>
        <w:fldChar w:fldCharType="begin"/>
      </w:r>
      <w:r>
        <w:rPr>
          <w:rFonts w:hint="eastAsia" w:ascii="宋体" w:hAnsi="宋体" w:cs="宋体"/>
          <w:b/>
          <w:i/>
          <w:iCs/>
          <w:sz w:val="24"/>
        </w:rPr>
        <w:instrText xml:space="preserve"> HYPERLINK "mailto:初次报价时无需提供，由采购代理机构发布最终报价指令，参加磋商的供应商在规定的时间30分钟内发送至邮箱109678775@qq.comrj" </w:instrText>
      </w:r>
      <w:r>
        <w:rPr>
          <w:rFonts w:hint="eastAsia" w:ascii="宋体" w:hAnsi="宋体" w:cs="宋体"/>
          <w:b/>
          <w:i/>
          <w:iCs/>
          <w:sz w:val="24"/>
        </w:rPr>
        <w:fldChar w:fldCharType="separate"/>
      </w:r>
      <w:r>
        <w:rPr>
          <w:rStyle w:val="31"/>
          <w:rFonts w:hint="eastAsia" w:ascii="宋体" w:hAnsi="宋体" w:cs="宋体"/>
          <w:b/>
          <w:i/>
          <w:iCs/>
          <w:color w:val="auto"/>
          <w:sz w:val="24"/>
          <w:u w:val="none"/>
        </w:rPr>
        <w:t>初次报价时无需提供，由采购代理机构发布最终报价指令，参加磋商的供应商在规定的时间</w:t>
      </w:r>
      <w:r>
        <w:rPr>
          <w:rStyle w:val="31"/>
          <w:rFonts w:hint="eastAsia" w:ascii="宋体" w:hAnsi="宋体" w:cs="宋体"/>
          <w:b/>
          <w:i/>
          <w:iCs/>
          <w:color w:val="0000FF"/>
          <w:sz w:val="24"/>
          <w:u w:val="none"/>
        </w:rPr>
        <w:t>30分钟</w:t>
      </w:r>
      <w:r>
        <w:rPr>
          <w:rStyle w:val="31"/>
          <w:rFonts w:hint="eastAsia" w:ascii="宋体" w:hAnsi="宋体" w:cs="宋体"/>
          <w:b/>
          <w:i/>
          <w:iCs/>
          <w:color w:val="auto"/>
          <w:sz w:val="24"/>
          <w:u w:val="none"/>
        </w:rPr>
        <w:t>内</w:t>
      </w:r>
      <w:r>
        <w:rPr>
          <w:rStyle w:val="31"/>
          <w:rFonts w:hint="eastAsia" w:ascii="宋体" w:hAnsi="宋体" w:cs="宋体"/>
          <w:b/>
          <w:i/>
          <w:iCs/>
          <w:color w:val="auto"/>
          <w:sz w:val="24"/>
          <w:u w:val="none"/>
          <w:lang w:val="en-US"/>
        </w:rPr>
        <w:t>线上</w:t>
      </w:r>
      <w:r>
        <w:rPr>
          <w:rFonts w:hint="eastAsia" w:ascii="宋体" w:hAnsi="宋体" w:cs="宋体"/>
          <w:b/>
          <w:i/>
          <w:iCs/>
          <w:sz w:val="24"/>
          <w:lang w:val="en-US"/>
        </w:rPr>
        <w:t>提</w:t>
      </w:r>
      <w:r>
        <w:rPr>
          <w:rFonts w:hint="eastAsia" w:ascii="宋体" w:hAnsi="宋体" w:cs="宋体"/>
          <w:b/>
          <w:i/>
          <w:iCs/>
          <w:sz w:val="24"/>
        </w:rPr>
        <w:fldChar w:fldCharType="end"/>
      </w:r>
      <w:r>
        <w:rPr>
          <w:rFonts w:hint="eastAsia" w:ascii="宋体" w:hAnsi="宋体" w:cs="宋体"/>
          <w:b/>
          <w:i/>
          <w:iCs/>
          <w:sz w:val="24"/>
          <w:lang w:val="en-US"/>
        </w:rPr>
        <w:t>交</w:t>
      </w:r>
      <w:r>
        <w:rPr>
          <w:rFonts w:hint="eastAsia" w:ascii="宋体" w:hAnsi="宋体" w:cs="宋体"/>
          <w:b/>
          <w:i/>
          <w:iCs/>
          <w:sz w:val="24"/>
        </w:rPr>
        <w:t>）</w:t>
      </w:r>
    </w:p>
    <w:p w14:paraId="1A62A077">
      <w:pPr>
        <w:spacing w:line="360" w:lineRule="auto"/>
        <w:ind w:left="-2" w:hanging="2"/>
        <w:jc w:val="center"/>
        <w:rPr>
          <w:rFonts w:hint="eastAsia" w:ascii="宋体" w:hAnsi="宋体" w:cs="宋体"/>
          <w:b/>
          <w:sz w:val="24"/>
        </w:rPr>
      </w:pPr>
      <w:r>
        <w:rPr>
          <w:rFonts w:hint="eastAsia" w:ascii="宋体" w:hAnsi="宋体" w:cs="宋体"/>
          <w:b/>
          <w:sz w:val="24"/>
        </w:rPr>
        <w:t>最终报价一览表</w:t>
      </w:r>
    </w:p>
    <w:p w14:paraId="0C302EBE">
      <w:pPr>
        <w:pStyle w:val="82"/>
        <w:keepNext w:val="0"/>
        <w:keepLines w:val="0"/>
        <w:pageBreakBefore w:val="0"/>
        <w:widowControl w:val="0"/>
        <w:kinsoku/>
        <w:wordWrap/>
        <w:overflowPunct/>
        <w:topLinePunct w:val="0"/>
        <w:autoSpaceDE/>
        <w:autoSpaceDN/>
        <w:bidi w:val="0"/>
        <w:adjustRightInd/>
        <w:spacing w:line="400" w:lineRule="exact"/>
        <w:ind w:right="480"/>
        <w:jc w:val="left"/>
        <w:textAlignment w:val="auto"/>
        <w:rPr>
          <w:rFonts w:hint="eastAsia" w:ascii="宋体" w:hAnsi="宋体" w:cs="宋体"/>
          <w:sz w:val="24"/>
        </w:rPr>
      </w:pPr>
      <w:r>
        <w:rPr>
          <w:rFonts w:hint="eastAsia" w:ascii="宋体" w:hAnsi="宋体" w:cs="宋体"/>
          <w:b/>
          <w:sz w:val="24"/>
        </w:rPr>
        <w:t>项目名称：</w:t>
      </w:r>
      <w:r>
        <w:rPr>
          <w:rFonts w:hint="eastAsia" w:ascii="宋体" w:hAnsi="宋体" w:cs="宋体"/>
          <w:sz w:val="24"/>
          <w:u w:val="single"/>
          <w:lang w:eastAsia="zh-CN"/>
        </w:rPr>
        <w:t>神仙居5A景区镇基础设施提升项目-游客集散中心（景区集散点）项目（重新招标）</w:t>
      </w:r>
      <w:r>
        <w:rPr>
          <w:rFonts w:hint="eastAsia" w:ascii="宋体" w:hAnsi="宋体" w:cs="宋体"/>
          <w:sz w:val="24"/>
        </w:rPr>
        <w:t xml:space="preserve">                    </w:t>
      </w:r>
    </w:p>
    <w:p w14:paraId="593CED5D">
      <w:pPr>
        <w:pStyle w:val="14"/>
        <w:keepNext w:val="0"/>
        <w:keepLines w:val="0"/>
        <w:pageBreakBefore w:val="0"/>
        <w:widowControl w:val="0"/>
        <w:kinsoku/>
        <w:wordWrap/>
        <w:overflowPunct/>
        <w:topLinePunct w:val="0"/>
        <w:autoSpaceDE/>
        <w:autoSpaceDN/>
        <w:bidi w:val="0"/>
        <w:adjustRightInd/>
        <w:spacing w:beforeLines="0" w:afterLines="0" w:line="400" w:lineRule="exact"/>
        <w:textAlignment w:val="auto"/>
        <w:rPr>
          <w:rFonts w:hint="eastAsia" w:ascii="宋体" w:hAnsi="宋体" w:eastAsia="宋体" w:cs="宋体"/>
          <w:sz w:val="24"/>
          <w:lang w:eastAsia="zh-CN"/>
        </w:rPr>
      </w:pPr>
      <w:r>
        <w:rPr>
          <w:rFonts w:hint="eastAsia" w:hAnsi="宋体" w:cs="宋体"/>
          <w:b/>
          <w:sz w:val="24"/>
        </w:rPr>
        <w:t>项目编号：</w:t>
      </w:r>
      <w:r>
        <w:rPr>
          <w:rFonts w:hint="eastAsia" w:hAnsi="宋体" w:cs="宋体"/>
          <w:sz w:val="24"/>
          <w:u w:val="single"/>
          <w:lang w:eastAsia="zh-CN"/>
        </w:rPr>
        <w:t>ZJJX-25CG-005-01</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2315"/>
        <w:gridCol w:w="4170"/>
      </w:tblGrid>
      <w:tr w14:paraId="592A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2694" w:type="dxa"/>
            <w:vMerge w:val="restart"/>
            <w:noWrap w:val="0"/>
            <w:vAlign w:val="center"/>
          </w:tcPr>
          <w:p w14:paraId="3CCECB2F">
            <w:pPr>
              <w:keepNext w:val="0"/>
              <w:keepLines w:val="0"/>
              <w:pageBreakBefore w:val="0"/>
              <w:widowControl w:val="0"/>
              <w:kinsoku/>
              <w:wordWrap/>
              <w:overflowPunct/>
              <w:topLinePunct w:val="0"/>
              <w:autoSpaceDE/>
              <w:autoSpaceDN/>
              <w:bidi w:val="0"/>
              <w:adjustRightInd/>
              <w:snapToGrid w:val="0"/>
              <w:spacing w:line="400" w:lineRule="exact"/>
              <w:ind w:right="-617" w:rightChars="-294" w:firstLine="241" w:firstLineChars="100"/>
              <w:jc w:val="left"/>
              <w:textAlignment w:val="auto"/>
              <w:rPr>
                <w:rFonts w:hint="eastAsia" w:ascii="宋体" w:hAnsi="宋体" w:cs="宋体"/>
                <w:sz w:val="24"/>
              </w:rPr>
            </w:pPr>
            <w:r>
              <w:rPr>
                <w:rFonts w:hint="eastAsia" w:ascii="宋体" w:hAnsi="宋体" w:cs="宋体"/>
                <w:b/>
                <w:bCs/>
                <w:sz w:val="24"/>
              </w:rPr>
              <w:t>磋商总报价（元）</w:t>
            </w:r>
          </w:p>
        </w:tc>
        <w:tc>
          <w:tcPr>
            <w:tcW w:w="2315" w:type="dxa"/>
            <w:noWrap w:val="0"/>
            <w:vAlign w:val="center"/>
          </w:tcPr>
          <w:p w14:paraId="6883CDC8">
            <w:pPr>
              <w:keepNext w:val="0"/>
              <w:keepLines w:val="0"/>
              <w:pageBreakBefore w:val="0"/>
              <w:widowControl w:val="0"/>
              <w:kinsoku/>
              <w:wordWrap/>
              <w:overflowPunct/>
              <w:topLinePunct w:val="0"/>
              <w:autoSpaceDE/>
              <w:autoSpaceDN/>
              <w:bidi w:val="0"/>
              <w:adjustRightInd/>
              <w:snapToGrid w:val="0"/>
              <w:spacing w:line="400" w:lineRule="exact"/>
              <w:ind w:right="-617" w:rightChars="-294"/>
              <w:jc w:val="left"/>
              <w:textAlignment w:val="auto"/>
              <w:rPr>
                <w:rFonts w:hint="eastAsia" w:ascii="宋体" w:hAnsi="宋体" w:cs="宋体"/>
                <w:sz w:val="24"/>
              </w:rPr>
            </w:pPr>
            <w:r>
              <w:rPr>
                <w:rFonts w:hint="eastAsia" w:ascii="宋体" w:hAnsi="宋体" w:cs="宋体"/>
                <w:b/>
                <w:bCs/>
                <w:sz w:val="24"/>
              </w:rPr>
              <w:t>大写：</w:t>
            </w:r>
          </w:p>
        </w:tc>
        <w:tc>
          <w:tcPr>
            <w:tcW w:w="4170" w:type="dxa"/>
            <w:noWrap w:val="0"/>
            <w:vAlign w:val="center"/>
          </w:tcPr>
          <w:p w14:paraId="74240C70">
            <w:pPr>
              <w:keepNext w:val="0"/>
              <w:keepLines w:val="0"/>
              <w:pageBreakBefore w:val="0"/>
              <w:widowControl w:val="0"/>
              <w:kinsoku/>
              <w:wordWrap/>
              <w:overflowPunct/>
              <w:topLinePunct w:val="0"/>
              <w:autoSpaceDE/>
              <w:autoSpaceDN/>
              <w:bidi w:val="0"/>
              <w:adjustRightInd/>
              <w:snapToGrid w:val="0"/>
              <w:spacing w:line="400" w:lineRule="exact"/>
              <w:ind w:right="-617" w:rightChars="-294"/>
              <w:jc w:val="left"/>
              <w:textAlignment w:val="auto"/>
              <w:rPr>
                <w:rFonts w:hint="eastAsia" w:ascii="宋体" w:hAnsi="宋体" w:cs="宋体"/>
                <w:b/>
                <w:bCs/>
                <w:sz w:val="24"/>
              </w:rPr>
            </w:pPr>
          </w:p>
          <w:p w14:paraId="28BE8E59">
            <w:pPr>
              <w:keepNext w:val="0"/>
              <w:keepLines w:val="0"/>
              <w:pageBreakBefore w:val="0"/>
              <w:widowControl w:val="0"/>
              <w:kinsoku/>
              <w:wordWrap/>
              <w:overflowPunct/>
              <w:topLinePunct w:val="0"/>
              <w:autoSpaceDE/>
              <w:autoSpaceDN/>
              <w:bidi w:val="0"/>
              <w:adjustRightInd/>
              <w:snapToGrid w:val="0"/>
              <w:spacing w:line="400" w:lineRule="exact"/>
              <w:ind w:right="-617" w:rightChars="-294"/>
              <w:jc w:val="left"/>
              <w:textAlignment w:val="auto"/>
              <w:rPr>
                <w:rFonts w:hint="eastAsia" w:ascii="宋体" w:hAnsi="宋体" w:cs="宋体"/>
                <w:sz w:val="24"/>
              </w:rPr>
            </w:pPr>
            <w:r>
              <w:rPr>
                <w:rFonts w:hint="eastAsia" w:ascii="宋体" w:hAnsi="宋体" w:cs="宋体"/>
                <w:b/>
                <w:bCs/>
                <w:sz w:val="24"/>
              </w:rPr>
              <w:t>人民币：</w:t>
            </w:r>
            <w:r>
              <w:rPr>
                <w:rFonts w:hint="eastAsia" w:ascii="宋体" w:hAnsi="宋体" w:cs="宋体"/>
                <w:b/>
                <w:bCs/>
                <w:sz w:val="24"/>
                <w:u w:val="single"/>
              </w:rPr>
              <w:t xml:space="preserve">                         </w:t>
            </w:r>
          </w:p>
        </w:tc>
      </w:tr>
      <w:tr w14:paraId="7BE6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2694" w:type="dxa"/>
            <w:vMerge w:val="continue"/>
            <w:noWrap w:val="0"/>
            <w:vAlign w:val="center"/>
          </w:tcPr>
          <w:p w14:paraId="71A2A5F4">
            <w:pPr>
              <w:keepNext w:val="0"/>
              <w:keepLines w:val="0"/>
              <w:pageBreakBefore w:val="0"/>
              <w:widowControl w:val="0"/>
              <w:kinsoku/>
              <w:wordWrap/>
              <w:overflowPunct/>
              <w:topLinePunct w:val="0"/>
              <w:autoSpaceDE/>
              <w:autoSpaceDN/>
              <w:bidi w:val="0"/>
              <w:adjustRightInd/>
              <w:snapToGrid w:val="0"/>
              <w:spacing w:line="400" w:lineRule="exact"/>
              <w:ind w:right="-617" w:rightChars="-294"/>
              <w:jc w:val="center"/>
              <w:textAlignment w:val="auto"/>
              <w:rPr>
                <w:rFonts w:hint="eastAsia" w:ascii="宋体" w:hAnsi="宋体" w:cs="宋体"/>
                <w:sz w:val="24"/>
              </w:rPr>
            </w:pPr>
          </w:p>
        </w:tc>
        <w:tc>
          <w:tcPr>
            <w:tcW w:w="2315" w:type="dxa"/>
            <w:noWrap w:val="0"/>
            <w:vAlign w:val="center"/>
          </w:tcPr>
          <w:p w14:paraId="6A3213B3">
            <w:pPr>
              <w:keepNext w:val="0"/>
              <w:keepLines w:val="0"/>
              <w:pageBreakBefore w:val="0"/>
              <w:widowControl w:val="0"/>
              <w:kinsoku/>
              <w:wordWrap/>
              <w:overflowPunct/>
              <w:topLinePunct w:val="0"/>
              <w:autoSpaceDE/>
              <w:autoSpaceDN/>
              <w:bidi w:val="0"/>
              <w:adjustRightInd/>
              <w:snapToGrid w:val="0"/>
              <w:spacing w:line="400" w:lineRule="exact"/>
              <w:ind w:right="-617" w:rightChars="-294"/>
              <w:jc w:val="left"/>
              <w:textAlignment w:val="auto"/>
              <w:rPr>
                <w:rFonts w:hint="eastAsia" w:ascii="宋体" w:hAnsi="宋体" w:cs="宋体"/>
                <w:sz w:val="24"/>
                <w:u w:val="single"/>
              </w:rPr>
            </w:pPr>
            <w:r>
              <w:rPr>
                <w:rFonts w:hint="eastAsia" w:ascii="宋体" w:hAnsi="宋体" w:cs="宋体"/>
                <w:b/>
                <w:bCs/>
                <w:sz w:val="24"/>
              </w:rPr>
              <w:t>小写</w:t>
            </w:r>
          </w:p>
        </w:tc>
        <w:tc>
          <w:tcPr>
            <w:tcW w:w="4170" w:type="dxa"/>
            <w:noWrap w:val="0"/>
            <w:vAlign w:val="center"/>
          </w:tcPr>
          <w:p w14:paraId="3410EE7A">
            <w:pPr>
              <w:keepNext w:val="0"/>
              <w:keepLines w:val="0"/>
              <w:pageBreakBefore w:val="0"/>
              <w:widowControl w:val="0"/>
              <w:kinsoku/>
              <w:wordWrap/>
              <w:overflowPunct/>
              <w:topLinePunct w:val="0"/>
              <w:autoSpaceDE/>
              <w:autoSpaceDN/>
              <w:bidi w:val="0"/>
              <w:adjustRightInd/>
              <w:snapToGrid w:val="0"/>
              <w:spacing w:line="400" w:lineRule="exact"/>
              <w:ind w:right="-617" w:rightChars="-294"/>
              <w:jc w:val="left"/>
              <w:textAlignment w:val="auto"/>
              <w:rPr>
                <w:rFonts w:hint="eastAsia" w:ascii="宋体" w:hAnsi="宋体" w:cs="宋体"/>
                <w:b/>
                <w:bCs/>
                <w:sz w:val="24"/>
              </w:rPr>
            </w:pPr>
          </w:p>
          <w:p w14:paraId="15097221">
            <w:pPr>
              <w:keepNext w:val="0"/>
              <w:keepLines w:val="0"/>
              <w:pageBreakBefore w:val="0"/>
              <w:widowControl w:val="0"/>
              <w:kinsoku/>
              <w:wordWrap/>
              <w:overflowPunct/>
              <w:topLinePunct w:val="0"/>
              <w:autoSpaceDE/>
              <w:autoSpaceDN/>
              <w:bidi w:val="0"/>
              <w:adjustRightInd/>
              <w:snapToGrid w:val="0"/>
              <w:spacing w:line="400" w:lineRule="exact"/>
              <w:ind w:right="-617" w:rightChars="-294"/>
              <w:jc w:val="left"/>
              <w:textAlignment w:val="auto"/>
              <w:rPr>
                <w:rFonts w:hint="eastAsia" w:ascii="宋体" w:hAnsi="宋体" w:cs="宋体"/>
                <w:sz w:val="24"/>
                <w:u w:val="single"/>
              </w:rPr>
            </w:pPr>
            <w:r>
              <w:rPr>
                <w:rFonts w:hint="eastAsia" w:ascii="宋体" w:hAnsi="宋体" w:cs="宋体"/>
                <w:b/>
                <w:bCs/>
                <w:sz w:val="24"/>
              </w:rPr>
              <w:t>¥：</w:t>
            </w:r>
            <w:r>
              <w:rPr>
                <w:rFonts w:hint="eastAsia" w:ascii="宋体" w:hAnsi="宋体" w:cs="宋体"/>
                <w:b/>
                <w:bCs/>
                <w:sz w:val="24"/>
                <w:u w:val="single"/>
              </w:rPr>
              <w:t xml:space="preserve">                              </w:t>
            </w:r>
          </w:p>
        </w:tc>
      </w:tr>
      <w:tr w14:paraId="366F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8" w:hRule="atLeast"/>
          <w:jc w:val="center"/>
        </w:trPr>
        <w:tc>
          <w:tcPr>
            <w:tcW w:w="5009" w:type="dxa"/>
            <w:gridSpan w:val="2"/>
            <w:noWrap w:val="0"/>
            <w:vAlign w:val="center"/>
          </w:tcPr>
          <w:p w14:paraId="0EB1A33B">
            <w:pPr>
              <w:keepNext w:val="0"/>
              <w:keepLines w:val="0"/>
              <w:pageBreakBefore w:val="0"/>
              <w:widowControl w:val="0"/>
              <w:kinsoku/>
              <w:wordWrap/>
              <w:overflowPunct/>
              <w:topLinePunct w:val="0"/>
              <w:autoSpaceDE/>
              <w:autoSpaceDN/>
              <w:bidi w:val="0"/>
              <w:adjustRightInd/>
              <w:snapToGrid w:val="0"/>
              <w:spacing w:line="400" w:lineRule="exact"/>
              <w:ind w:right="-617" w:rightChars="-294"/>
              <w:jc w:val="left"/>
              <w:textAlignment w:val="auto"/>
              <w:rPr>
                <w:rFonts w:hint="eastAsia" w:ascii="宋体" w:hAnsi="宋体" w:cs="宋体"/>
                <w:b/>
                <w:bCs/>
                <w:sz w:val="24"/>
              </w:rPr>
            </w:pPr>
            <w:r>
              <w:rPr>
                <w:rFonts w:hint="eastAsia" w:ascii="宋体" w:hAnsi="宋体" w:cs="宋体"/>
                <w:b/>
                <w:bCs/>
                <w:sz w:val="24"/>
              </w:rPr>
              <w:t>下浮率（%）=(1-最终报价/初次报价)×100%</w:t>
            </w:r>
            <w:r>
              <w:rPr>
                <w:rFonts w:hint="eastAsia" w:ascii="宋体" w:hAnsi="宋体" w:cs="宋体"/>
                <w:b/>
                <w:bCs/>
                <w:sz w:val="24"/>
              </w:rPr>
              <w:br w:type="textWrapping"/>
            </w:r>
            <w:r>
              <w:rPr>
                <w:rFonts w:hint="eastAsia" w:ascii="宋体" w:hAnsi="宋体" w:cs="宋体"/>
                <w:b/>
                <w:bCs/>
                <w:sz w:val="24"/>
              </w:rPr>
              <w:t>（小数点后可保留四位小数）</w:t>
            </w:r>
          </w:p>
        </w:tc>
        <w:tc>
          <w:tcPr>
            <w:tcW w:w="4170" w:type="dxa"/>
            <w:noWrap w:val="0"/>
            <w:vAlign w:val="bottom"/>
          </w:tcPr>
          <w:p w14:paraId="645BC31F">
            <w:pPr>
              <w:keepNext w:val="0"/>
              <w:keepLines w:val="0"/>
              <w:pageBreakBefore w:val="0"/>
              <w:widowControl w:val="0"/>
              <w:kinsoku/>
              <w:wordWrap/>
              <w:overflowPunct/>
              <w:topLinePunct w:val="0"/>
              <w:autoSpaceDE/>
              <w:autoSpaceDN/>
              <w:bidi w:val="0"/>
              <w:adjustRightInd/>
              <w:snapToGrid w:val="0"/>
              <w:spacing w:line="400" w:lineRule="exact"/>
              <w:ind w:right="-617" w:rightChars="-294"/>
              <w:textAlignment w:val="auto"/>
              <w:rPr>
                <w:rFonts w:hint="eastAsia" w:ascii="宋体" w:hAnsi="宋体" w:cs="宋体"/>
                <w:b/>
                <w:bCs/>
                <w:sz w:val="24"/>
              </w:rPr>
            </w:pPr>
            <w:r>
              <w:rPr>
                <w:rFonts w:hint="eastAsia" w:ascii="宋体" w:hAnsi="宋体" w:cs="宋体"/>
                <w:b/>
                <w:bCs/>
                <w:sz w:val="24"/>
              </w:rPr>
              <w:t>下浮率</w:t>
            </w:r>
            <w:r>
              <w:rPr>
                <w:rFonts w:hint="eastAsia" w:ascii="宋体" w:hAnsi="宋体" w:cs="宋体"/>
                <w:b/>
                <w:bCs/>
                <w:sz w:val="24"/>
                <w:u w:val="single"/>
              </w:rPr>
              <w:t xml:space="preserve">         </w:t>
            </w:r>
            <w:r>
              <w:rPr>
                <w:rFonts w:hint="eastAsia" w:ascii="宋体" w:hAnsi="宋体" w:cs="宋体"/>
                <w:b/>
                <w:bCs/>
                <w:sz w:val="24"/>
              </w:rPr>
              <w:t>（%）</w:t>
            </w:r>
          </w:p>
        </w:tc>
      </w:tr>
    </w:tbl>
    <w:p w14:paraId="4DB9967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kern w:val="0"/>
          <w:sz w:val="24"/>
        </w:rPr>
      </w:pPr>
      <w:r>
        <w:rPr>
          <w:rFonts w:hint="eastAsia" w:ascii="宋体" w:hAnsi="宋体" w:cs="宋体"/>
          <w:b/>
          <w:sz w:val="24"/>
        </w:rPr>
        <w:t>填报要求：</w:t>
      </w:r>
    </w:p>
    <w:p w14:paraId="70224C5D">
      <w:pPr>
        <w:pStyle w:val="7"/>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1.投标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总承包服务费、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4953182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b/>
          <w:i/>
          <w:sz w:val="24"/>
          <w:u w:val="single"/>
        </w:rPr>
      </w:pPr>
      <w:r>
        <w:rPr>
          <w:rFonts w:hint="eastAsia" w:ascii="宋体" w:hAnsi="宋体" w:cs="宋体"/>
          <w:kern w:val="0"/>
          <w:sz w:val="24"/>
        </w:rPr>
        <w:t>2.报价一经涂改，应在涂改处加盖单位公章，或者由法定代表人或全权代表签字或盖章，否则作无效标处理。</w:t>
      </w:r>
    </w:p>
    <w:p w14:paraId="505F8BC4">
      <w:pPr>
        <w:keepNext w:val="0"/>
        <w:keepLines w:val="0"/>
        <w:pageBreakBefore w:val="0"/>
        <w:widowControl w:val="0"/>
        <w:kinsoku/>
        <w:wordWrap/>
        <w:overflowPunct/>
        <w:topLinePunct w:val="0"/>
        <w:autoSpaceDE/>
        <w:autoSpaceDN/>
        <w:bidi w:val="0"/>
        <w:adjustRightInd/>
        <w:spacing w:line="400" w:lineRule="exact"/>
        <w:ind w:left="420"/>
        <w:textAlignment w:val="auto"/>
        <w:rPr>
          <w:rFonts w:hint="eastAsia" w:ascii="宋体" w:hAnsi="宋体" w:cs="宋体"/>
          <w:b/>
          <w:bCs/>
          <w:sz w:val="24"/>
        </w:rPr>
      </w:pPr>
      <w:r>
        <w:rPr>
          <w:rFonts w:hint="eastAsia" w:ascii="宋体" w:hAnsi="宋体" w:cs="宋体"/>
          <w:b/>
          <w:bCs/>
          <w:sz w:val="24"/>
        </w:rPr>
        <w:t>3.结算时的综合单价=初次报价时的综合单价×（1-下浮率%），工程量按实结算。</w:t>
      </w:r>
    </w:p>
    <w:p w14:paraId="675E2C7E">
      <w:pPr>
        <w:keepNext w:val="0"/>
        <w:keepLines w:val="0"/>
        <w:pageBreakBefore w:val="0"/>
        <w:widowControl w:val="0"/>
        <w:kinsoku/>
        <w:wordWrap/>
        <w:overflowPunct/>
        <w:topLinePunct w:val="0"/>
        <w:autoSpaceDE/>
        <w:autoSpaceDN/>
        <w:bidi w:val="0"/>
        <w:adjustRightInd/>
        <w:spacing w:line="400" w:lineRule="exact"/>
        <w:ind w:left="420"/>
        <w:textAlignment w:val="auto"/>
        <w:rPr>
          <w:rFonts w:hint="eastAsia" w:ascii="宋体" w:hAnsi="宋体" w:cs="宋体"/>
          <w:b/>
          <w:bCs/>
          <w:sz w:val="24"/>
        </w:rPr>
      </w:pPr>
      <w:r>
        <w:rPr>
          <w:rFonts w:hint="eastAsia" w:ascii="宋体" w:hAnsi="宋体" w:cs="宋体"/>
          <w:b/>
          <w:bCs/>
          <w:sz w:val="24"/>
        </w:rPr>
        <w:t>4.最终报价一览表以磋商总报价为准，并修改下浮率。</w:t>
      </w:r>
    </w:p>
    <w:p w14:paraId="07BCCA6B">
      <w:pPr>
        <w:keepNext w:val="0"/>
        <w:keepLines w:val="0"/>
        <w:pageBreakBefore w:val="0"/>
        <w:widowControl w:val="0"/>
        <w:kinsoku/>
        <w:wordWrap/>
        <w:overflowPunct/>
        <w:topLinePunct w:val="0"/>
        <w:autoSpaceDE/>
        <w:autoSpaceDN/>
        <w:bidi w:val="0"/>
        <w:adjustRightInd/>
        <w:spacing w:line="400" w:lineRule="exact"/>
        <w:ind w:left="420"/>
        <w:textAlignment w:val="auto"/>
        <w:rPr>
          <w:rFonts w:hint="eastAsia" w:ascii="宋体" w:hAnsi="宋体" w:cs="宋体"/>
          <w:sz w:val="24"/>
          <w:u w:val="single"/>
        </w:rPr>
      </w:pPr>
      <w:r>
        <w:rPr>
          <w:rFonts w:hint="eastAsia" w:ascii="宋体" w:hAnsi="宋体" w:cs="宋体"/>
          <w:sz w:val="24"/>
        </w:rPr>
        <w:t>磋商供应商名称（盖章）：</w:t>
      </w:r>
      <w:r>
        <w:rPr>
          <w:rFonts w:hint="eastAsia" w:ascii="宋体" w:hAnsi="宋体" w:cs="宋体"/>
          <w:sz w:val="24"/>
          <w:u w:val="single"/>
        </w:rPr>
        <w:t xml:space="preserve">                     </w:t>
      </w:r>
    </w:p>
    <w:p w14:paraId="66360E41">
      <w:pPr>
        <w:keepNext w:val="0"/>
        <w:keepLines w:val="0"/>
        <w:pageBreakBefore w:val="0"/>
        <w:widowControl w:val="0"/>
        <w:kinsoku/>
        <w:wordWrap/>
        <w:overflowPunct/>
        <w:topLinePunct w:val="0"/>
        <w:autoSpaceDE/>
        <w:autoSpaceDN/>
        <w:bidi w:val="0"/>
        <w:adjustRightInd/>
        <w:spacing w:line="400" w:lineRule="exact"/>
        <w:ind w:left="420"/>
        <w:textAlignment w:val="auto"/>
        <w:rPr>
          <w:rFonts w:hint="eastAsia" w:ascii="宋体" w:hAnsi="宋体" w:cs="宋体"/>
          <w:sz w:val="24"/>
        </w:rPr>
      </w:pPr>
    </w:p>
    <w:p w14:paraId="5F195146">
      <w:pPr>
        <w:keepNext w:val="0"/>
        <w:keepLines w:val="0"/>
        <w:pageBreakBefore w:val="0"/>
        <w:widowControl w:val="0"/>
        <w:kinsoku/>
        <w:wordWrap/>
        <w:overflowPunct/>
        <w:topLinePunct w:val="0"/>
        <w:autoSpaceDE/>
        <w:autoSpaceDN/>
        <w:bidi w:val="0"/>
        <w:adjustRightInd/>
        <w:spacing w:line="400" w:lineRule="exact"/>
        <w:ind w:firstLine="435"/>
        <w:textAlignment w:val="auto"/>
        <w:rPr>
          <w:rFonts w:hint="eastAsia" w:ascii="宋体" w:hAnsi="宋体" w:cs="宋体"/>
          <w:sz w:val="24"/>
        </w:rPr>
      </w:pPr>
      <w:r>
        <w:rPr>
          <w:rFonts w:hint="eastAsia" w:ascii="宋体" w:hAnsi="宋体" w:cs="宋体"/>
          <w:kern w:val="0"/>
          <w:sz w:val="24"/>
          <w:lang w:val="zh-CN"/>
        </w:rPr>
        <w:t>法定代表人(</w:t>
      </w:r>
      <w:r>
        <w:rPr>
          <w:rFonts w:hint="eastAsia" w:ascii="宋体" w:hAnsi="宋体" w:cs="宋体"/>
          <w:sz w:val="24"/>
        </w:rPr>
        <w:t>签字或盖章</w:t>
      </w:r>
      <w:r>
        <w:rPr>
          <w:rFonts w:hint="eastAsia" w:ascii="宋体" w:hAnsi="宋体" w:cs="宋体"/>
          <w:kern w:val="0"/>
          <w:sz w:val="24"/>
          <w:lang w:val="zh-CN"/>
        </w:rPr>
        <w:t>)或授权委托人(签字)</w:t>
      </w:r>
      <w:r>
        <w:rPr>
          <w:rFonts w:hint="eastAsia" w:ascii="宋体" w:hAnsi="宋体" w:cs="宋体"/>
          <w:sz w:val="24"/>
        </w:rPr>
        <w:t>：</w:t>
      </w:r>
      <w:r>
        <w:rPr>
          <w:rFonts w:hint="eastAsia" w:ascii="宋体" w:hAnsi="宋体" w:cs="宋体"/>
          <w:sz w:val="24"/>
          <w:u w:val="single"/>
        </w:rPr>
        <w:t xml:space="preserve">                         </w:t>
      </w:r>
    </w:p>
    <w:p w14:paraId="2CCA9089">
      <w:pPr>
        <w:keepNext w:val="0"/>
        <w:keepLines w:val="0"/>
        <w:pageBreakBefore w:val="0"/>
        <w:widowControl w:val="0"/>
        <w:kinsoku/>
        <w:wordWrap/>
        <w:overflowPunct/>
        <w:topLinePunct w:val="0"/>
        <w:autoSpaceDE/>
        <w:autoSpaceDN/>
        <w:bidi w:val="0"/>
        <w:adjustRightInd/>
        <w:spacing w:line="400" w:lineRule="exact"/>
        <w:ind w:firstLine="435"/>
        <w:textAlignment w:val="auto"/>
        <w:rPr>
          <w:rFonts w:hint="eastAsia" w:ascii="宋体" w:hAnsi="宋体" w:cs="宋体"/>
          <w:sz w:val="24"/>
        </w:rPr>
      </w:pPr>
    </w:p>
    <w:p w14:paraId="5EE4E1C6">
      <w:pPr>
        <w:keepNext w:val="0"/>
        <w:keepLines w:val="0"/>
        <w:pageBreakBefore w:val="0"/>
        <w:widowControl w:val="0"/>
        <w:kinsoku/>
        <w:wordWrap/>
        <w:overflowPunct/>
        <w:topLinePunct w:val="0"/>
        <w:autoSpaceDE/>
        <w:autoSpaceDN/>
        <w:bidi w:val="0"/>
        <w:adjustRightInd/>
        <w:spacing w:line="400" w:lineRule="exact"/>
        <w:ind w:firstLine="435"/>
        <w:jc w:val="right"/>
        <w:textAlignment w:val="auto"/>
        <w:rPr>
          <w:rFonts w:hint="eastAsia" w:hAnsi="宋体"/>
          <w:b/>
          <w:sz w:val="24"/>
        </w:rPr>
      </w:pPr>
      <w:r>
        <w:rPr>
          <w:rFonts w:hint="eastAsia" w:ascii="宋体" w:hAnsi="宋体" w:cs="宋体"/>
          <w:sz w:val="24"/>
        </w:rPr>
        <w:t>日        期：</w:t>
      </w:r>
      <w:r>
        <w:rPr>
          <w:rFonts w:hint="eastAsia" w:ascii="宋体" w:hAnsi="宋体" w:cs="宋体"/>
          <w:sz w:val="24"/>
          <w:lang w:val="zh-CN"/>
        </w:rPr>
        <w:t xml:space="preserve">     年   月   日</w:t>
      </w:r>
    </w:p>
    <w:p w14:paraId="456F7360">
      <w:pPr>
        <w:sectPr>
          <w:pgSz w:w="11905" w:h="16838"/>
          <w:pgMar w:top="1440" w:right="1587" w:bottom="1440" w:left="1587" w:header="851" w:footer="992" w:gutter="0"/>
          <w:cols w:space="720" w:num="1"/>
          <w:docGrid w:type="lines" w:linePitch="303" w:charSpace="0"/>
        </w:sectPr>
      </w:pPr>
    </w:p>
    <w:bookmarkEnd w:id="141"/>
    <w:bookmarkEnd w:id="142"/>
    <w:p w14:paraId="3F72EB7E">
      <w:pPr>
        <w:spacing w:line="360" w:lineRule="auto"/>
        <w:rPr>
          <w:rFonts w:ascii="宋体" w:cs="宋体"/>
          <w:b/>
          <w:bCs/>
          <w:color w:val="auto"/>
          <w:sz w:val="24"/>
          <w:highlight w:val="none"/>
        </w:rPr>
      </w:pPr>
      <w:r>
        <w:rPr>
          <w:rFonts w:hint="eastAsia" w:ascii="宋体" w:hAnsi="宋体" w:cs="宋体"/>
          <w:b/>
          <w:bCs/>
          <w:color w:val="auto"/>
          <w:sz w:val="24"/>
          <w:highlight w:val="none"/>
        </w:rPr>
        <w:t>附件</w:t>
      </w:r>
      <w:r>
        <w:rPr>
          <w:rFonts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w:t>
      </w:r>
      <w:r>
        <w:rPr>
          <w:rFonts w:ascii="宋体" w:hAnsi="宋体" w:cs="宋体"/>
          <w:b/>
          <w:bCs/>
          <w:color w:val="auto"/>
          <w:sz w:val="24"/>
          <w:highlight w:val="none"/>
        </w:rPr>
        <w:t xml:space="preserve"> </w:t>
      </w:r>
    </w:p>
    <w:p w14:paraId="30640A95">
      <w:pPr>
        <w:pStyle w:val="26"/>
        <w:widowControl w:val="0"/>
        <w:spacing w:before="0" w:beforeAutospacing="0" w:after="0" w:afterAutospacing="0" w:line="360" w:lineRule="auto"/>
        <w:jc w:val="center"/>
        <w:outlineLvl w:val="1"/>
        <w:rPr>
          <w:rFonts w:hint="eastAsia" w:ascii="宋体" w:hAnsi="宋体"/>
          <w:b/>
          <w:sz w:val="32"/>
          <w:szCs w:val="32"/>
        </w:rPr>
      </w:pPr>
      <w:bookmarkStart w:id="143" w:name="_Toc7668_WPSOffice_Level2"/>
      <w:bookmarkStart w:id="144" w:name="_Toc28385"/>
      <w:bookmarkStart w:id="145" w:name="_Toc15857_WPSOffice_Level2"/>
      <w:r>
        <w:rPr>
          <w:rFonts w:hint="eastAsia" w:ascii="宋体" w:hAnsi="宋体"/>
          <w:b/>
          <w:sz w:val="32"/>
          <w:szCs w:val="32"/>
        </w:rPr>
        <w:t>停工证明</w:t>
      </w:r>
      <w:bookmarkEnd w:id="143"/>
      <w:bookmarkEnd w:id="144"/>
      <w:bookmarkEnd w:id="145"/>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C03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jc w:val="center"/>
        </w:trPr>
        <w:tc>
          <w:tcPr>
            <w:tcW w:w="8802" w:type="dxa"/>
            <w:noWrap w:val="0"/>
            <w:vAlign w:val="top"/>
          </w:tcPr>
          <w:p w14:paraId="4D48F8CF">
            <w:pPr>
              <w:spacing w:line="360" w:lineRule="auto"/>
              <w:jc w:val="left"/>
              <w:rPr>
                <w:rFonts w:hint="eastAsia" w:ascii="宋体" w:hAnsi="宋体" w:eastAsia="宋体" w:cs="宋体"/>
                <w:sz w:val="21"/>
                <w:szCs w:val="21"/>
              </w:rPr>
            </w:pPr>
            <w:r>
              <w:rPr>
                <w:rFonts w:hint="eastAsia" w:ascii="宋体" w:hAnsi="宋体" w:eastAsia="宋体" w:cs="宋体"/>
                <w:sz w:val="21"/>
                <w:szCs w:val="21"/>
              </w:rPr>
              <w:t>____________(原建设单位）：</w:t>
            </w:r>
          </w:p>
          <w:p w14:paraId="554FD76A">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5CA3CCEA">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特此报告。</w:t>
            </w:r>
          </w:p>
          <w:p w14:paraId="7215D0D1">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承包人（盖章）</w:t>
            </w:r>
          </w:p>
          <w:p w14:paraId="6F43FFDA">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___年___月___日</w:t>
            </w:r>
          </w:p>
        </w:tc>
      </w:tr>
      <w:tr w14:paraId="7A1C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8802" w:type="dxa"/>
            <w:noWrap w:val="0"/>
            <w:vAlign w:val="top"/>
          </w:tcPr>
          <w:p w14:paraId="3AF813F6">
            <w:pPr>
              <w:spacing w:line="360" w:lineRule="auto"/>
              <w:jc w:val="left"/>
              <w:rPr>
                <w:rFonts w:hint="eastAsia" w:ascii="宋体" w:hAnsi="宋体" w:eastAsia="宋体" w:cs="宋体"/>
                <w:sz w:val="21"/>
                <w:szCs w:val="21"/>
              </w:rPr>
            </w:pPr>
            <w:r>
              <w:rPr>
                <w:rFonts w:hint="eastAsia" w:ascii="宋体" w:hAnsi="宋体" w:eastAsia="宋体" w:cs="宋体"/>
                <w:sz w:val="21"/>
                <w:szCs w:val="21"/>
              </w:rPr>
              <w:t>原建设单位意见：</w:t>
            </w:r>
          </w:p>
          <w:p w14:paraId="08C66A75">
            <w:pPr>
              <w:spacing w:line="360" w:lineRule="auto"/>
              <w:jc w:val="left"/>
              <w:rPr>
                <w:rFonts w:hint="eastAsia" w:ascii="宋体" w:hAnsi="宋体" w:eastAsia="宋体" w:cs="宋体"/>
                <w:sz w:val="21"/>
                <w:szCs w:val="21"/>
              </w:rPr>
            </w:pPr>
          </w:p>
          <w:p w14:paraId="0103EE23">
            <w:pPr>
              <w:spacing w:line="360" w:lineRule="auto"/>
              <w:jc w:val="right"/>
              <w:rPr>
                <w:rFonts w:hint="eastAsia" w:ascii="宋体" w:hAnsi="宋体" w:eastAsia="宋体" w:cs="宋体"/>
                <w:sz w:val="21"/>
                <w:szCs w:val="21"/>
              </w:rPr>
            </w:pPr>
            <w:r>
              <w:rPr>
                <w:rFonts w:hint="eastAsia" w:ascii="宋体" w:hAnsi="宋体" w:eastAsia="宋体" w:cs="宋体"/>
                <w:sz w:val="21"/>
                <w:szCs w:val="21"/>
              </w:rPr>
              <w:t>原建设单位（盖章）：</w:t>
            </w:r>
          </w:p>
          <w:p w14:paraId="4BED0F5A">
            <w:pPr>
              <w:spacing w:line="360" w:lineRule="auto"/>
              <w:jc w:val="right"/>
              <w:rPr>
                <w:rFonts w:hint="eastAsia" w:ascii="宋体" w:hAnsi="宋体" w:eastAsia="宋体" w:cs="宋体"/>
                <w:sz w:val="21"/>
                <w:szCs w:val="21"/>
              </w:rPr>
            </w:pPr>
            <w:r>
              <w:rPr>
                <w:rFonts w:hint="eastAsia" w:ascii="宋体" w:hAnsi="宋体" w:eastAsia="宋体" w:cs="宋体"/>
                <w:sz w:val="21"/>
                <w:szCs w:val="21"/>
              </w:rPr>
              <w:t>___年___月___日</w:t>
            </w:r>
          </w:p>
          <w:p w14:paraId="36C6741B">
            <w:pPr>
              <w:spacing w:line="360" w:lineRule="auto"/>
              <w:jc w:val="left"/>
              <w:rPr>
                <w:rFonts w:hint="eastAsia" w:ascii="宋体" w:hAnsi="宋体" w:eastAsia="宋体" w:cs="宋体"/>
                <w:sz w:val="21"/>
                <w:szCs w:val="21"/>
              </w:rPr>
            </w:pPr>
          </w:p>
        </w:tc>
      </w:tr>
      <w:tr w14:paraId="5D9A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2" w:type="dxa"/>
            <w:noWrap w:val="0"/>
            <w:vAlign w:val="top"/>
          </w:tcPr>
          <w:p w14:paraId="50C80255">
            <w:pPr>
              <w:spacing w:line="360" w:lineRule="auto"/>
              <w:jc w:val="left"/>
              <w:rPr>
                <w:rFonts w:hint="eastAsia" w:ascii="宋体" w:hAnsi="宋体" w:eastAsia="宋体" w:cs="宋体"/>
                <w:sz w:val="21"/>
                <w:szCs w:val="21"/>
              </w:rPr>
            </w:pPr>
            <w:r>
              <w:rPr>
                <w:rFonts w:hint="eastAsia" w:ascii="宋体" w:hAnsi="宋体" w:eastAsia="宋体" w:cs="宋体"/>
                <w:sz w:val="21"/>
                <w:szCs w:val="21"/>
              </w:rPr>
              <w:t>行政主管部门证明：</w:t>
            </w:r>
          </w:p>
          <w:p w14:paraId="4FEDE9C8">
            <w:pPr>
              <w:spacing w:line="360" w:lineRule="auto"/>
              <w:jc w:val="right"/>
              <w:rPr>
                <w:rFonts w:hint="eastAsia" w:ascii="宋体" w:hAnsi="宋体" w:eastAsia="宋体" w:cs="宋体"/>
                <w:sz w:val="21"/>
                <w:szCs w:val="21"/>
              </w:rPr>
            </w:pPr>
            <w:r>
              <w:rPr>
                <w:rFonts w:hint="eastAsia" w:ascii="宋体" w:hAnsi="宋体" w:eastAsia="宋体" w:cs="宋体"/>
                <w:sz w:val="21"/>
                <w:szCs w:val="21"/>
              </w:rPr>
              <w:t>自___年___月___日开始停工，至今已超过120天。情况属实。</w:t>
            </w:r>
          </w:p>
          <w:p w14:paraId="61F66F20">
            <w:pPr>
              <w:spacing w:line="360" w:lineRule="auto"/>
              <w:jc w:val="right"/>
              <w:rPr>
                <w:rFonts w:hint="eastAsia" w:ascii="宋体" w:hAnsi="宋体" w:eastAsia="宋体" w:cs="宋体"/>
                <w:sz w:val="21"/>
                <w:szCs w:val="21"/>
              </w:rPr>
            </w:pPr>
          </w:p>
          <w:p w14:paraId="06E4CC65">
            <w:pPr>
              <w:spacing w:line="360" w:lineRule="auto"/>
              <w:jc w:val="right"/>
              <w:rPr>
                <w:rFonts w:hint="eastAsia" w:ascii="宋体" w:hAnsi="宋体" w:eastAsia="宋体" w:cs="宋体"/>
                <w:sz w:val="21"/>
                <w:szCs w:val="21"/>
              </w:rPr>
            </w:pPr>
            <w:r>
              <w:rPr>
                <w:rFonts w:hint="eastAsia" w:ascii="宋体" w:hAnsi="宋体" w:eastAsia="宋体" w:cs="宋体"/>
                <w:sz w:val="21"/>
                <w:szCs w:val="21"/>
              </w:rPr>
              <w:t>行政主管部门（盖章）：</w:t>
            </w:r>
          </w:p>
          <w:p w14:paraId="4CFD26AF">
            <w:pPr>
              <w:spacing w:line="360" w:lineRule="auto"/>
              <w:jc w:val="right"/>
              <w:rPr>
                <w:rFonts w:hint="eastAsia" w:ascii="宋体" w:hAnsi="宋体" w:eastAsia="宋体" w:cs="宋体"/>
                <w:sz w:val="21"/>
                <w:szCs w:val="21"/>
              </w:rPr>
            </w:pPr>
            <w:r>
              <w:rPr>
                <w:rFonts w:hint="eastAsia" w:ascii="宋体" w:hAnsi="宋体" w:eastAsia="宋体" w:cs="宋体"/>
                <w:sz w:val="21"/>
                <w:szCs w:val="21"/>
              </w:rPr>
              <w:t>___年___月___日</w:t>
            </w:r>
          </w:p>
        </w:tc>
      </w:tr>
    </w:tbl>
    <w:p w14:paraId="1E218E47">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注：在承接新项目时原承接的项目仍处于连续停工状态。若原承接项目已复工的本《证明》不得使用。</w:t>
      </w:r>
    </w:p>
    <w:p w14:paraId="1F012BB0">
      <w:pPr>
        <w:pStyle w:val="26"/>
        <w:widowControl w:val="0"/>
        <w:spacing w:before="0" w:beforeAutospacing="0" w:after="0" w:afterAutospacing="0" w:line="360" w:lineRule="auto"/>
        <w:jc w:val="both"/>
        <w:outlineLvl w:val="1"/>
        <w:rPr>
          <w:rFonts w:hint="eastAsia" w:eastAsia="宋体"/>
          <w:b/>
          <w:color w:val="000000"/>
          <w:kern w:val="2"/>
          <w:szCs w:val="20"/>
          <w:lang w:val="en-US" w:eastAsia="zh-CN" w:bidi="ar"/>
        </w:rPr>
      </w:pPr>
      <w:r>
        <w:rPr>
          <w:rFonts w:hint="eastAsia" w:eastAsia="宋体"/>
          <w:b/>
          <w:color w:val="000000"/>
          <w:kern w:val="2"/>
          <w:szCs w:val="20"/>
          <w:lang w:val="en-US" w:eastAsia="zh-CN" w:bidi="ar"/>
        </w:rPr>
        <w:t xml:space="preserve"> </w:t>
      </w:r>
    </w:p>
    <w:p w14:paraId="41E99264">
      <w:pPr>
        <w:rPr>
          <w:rFonts w:hint="eastAsia" w:eastAsia="宋体"/>
          <w:b/>
          <w:color w:val="000000"/>
          <w:kern w:val="2"/>
          <w:szCs w:val="20"/>
          <w:lang w:val="en-US" w:eastAsia="zh-CN" w:bidi="ar"/>
        </w:rPr>
      </w:pPr>
      <w:r>
        <w:rPr>
          <w:rFonts w:hint="eastAsia" w:eastAsia="宋体"/>
          <w:b/>
          <w:color w:val="000000"/>
          <w:kern w:val="2"/>
          <w:szCs w:val="20"/>
          <w:lang w:val="en-US" w:eastAsia="zh-CN" w:bidi="ar"/>
        </w:rPr>
        <w:br w:type="page"/>
      </w:r>
    </w:p>
    <w:p w14:paraId="3A724F54">
      <w:pPr>
        <w:spacing w:line="360" w:lineRule="auto"/>
        <w:rPr>
          <w:rFonts w:ascii="宋体" w:cs="宋体"/>
          <w:b/>
          <w:bCs/>
          <w:color w:val="auto"/>
          <w:sz w:val="24"/>
          <w:highlight w:val="none"/>
        </w:rPr>
      </w:pPr>
      <w:r>
        <w:rPr>
          <w:rFonts w:hint="eastAsia" w:ascii="宋体" w:hAnsi="宋体" w:cs="宋体"/>
          <w:b/>
          <w:bCs/>
          <w:color w:val="auto"/>
          <w:sz w:val="24"/>
          <w:highlight w:val="none"/>
        </w:rPr>
        <w:t>附件</w:t>
      </w:r>
      <w:r>
        <w:rPr>
          <w:rFonts w:ascii="宋体" w:hAnsi="宋体" w:cs="宋体"/>
          <w:b/>
          <w:bCs/>
          <w:color w:val="auto"/>
          <w:sz w:val="24"/>
          <w:highlight w:val="none"/>
        </w:rPr>
        <w:t>1</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ascii="宋体" w:hAnsi="宋体" w:cs="宋体"/>
          <w:b/>
          <w:bCs/>
          <w:color w:val="auto"/>
          <w:sz w:val="24"/>
          <w:highlight w:val="none"/>
        </w:rPr>
        <w:t xml:space="preserve"> </w:t>
      </w:r>
    </w:p>
    <w:p w14:paraId="1EF36215">
      <w:pPr>
        <w:pStyle w:val="26"/>
        <w:widowControl w:val="0"/>
        <w:spacing w:before="0" w:beforeAutospacing="0" w:after="0" w:afterAutospacing="0" w:line="360" w:lineRule="auto"/>
        <w:jc w:val="both"/>
        <w:outlineLvl w:val="1"/>
        <w:rPr>
          <w:rFonts w:hint="eastAsia" w:ascii="宋体" w:hAnsi="宋体" w:eastAsia="宋体" w:cs="宋体"/>
          <w:b/>
          <w:bCs/>
          <w:color w:val="auto"/>
          <w:sz w:val="21"/>
          <w:szCs w:val="21"/>
        </w:rPr>
      </w:pPr>
    </w:p>
    <w:p w14:paraId="43C3F22F">
      <w:pPr>
        <w:keepNext/>
        <w:keepLines/>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2"/>
        <w:rPr>
          <w:rFonts w:hint="eastAsia"/>
          <w:b/>
          <w:bCs/>
          <w:sz w:val="32"/>
          <w:szCs w:val="32"/>
        </w:rPr>
      </w:pPr>
      <w:bookmarkStart w:id="146" w:name="_Toc31745_WPSOffice_Level2"/>
      <w:bookmarkStart w:id="147" w:name="_Toc11543"/>
      <w:bookmarkStart w:id="148" w:name="_Toc19422_WPSOffice_Level2"/>
      <w:r>
        <w:rPr>
          <w:rFonts w:hint="eastAsia"/>
          <w:b/>
          <w:bCs/>
          <w:sz w:val="32"/>
          <w:szCs w:val="32"/>
        </w:rPr>
        <w:t>未验收证明</w:t>
      </w:r>
      <w:bookmarkEnd w:id="146"/>
      <w:bookmarkEnd w:id="147"/>
      <w:bookmarkEnd w:id="148"/>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50B1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2" w:hRule="atLeast"/>
          <w:jc w:val="center"/>
        </w:trPr>
        <w:tc>
          <w:tcPr>
            <w:tcW w:w="8522" w:type="dxa"/>
            <w:noWrap w:val="0"/>
            <w:vAlign w:val="top"/>
          </w:tcPr>
          <w:p w14:paraId="1AC494DB">
            <w:pPr>
              <w:spacing w:line="360" w:lineRule="auto"/>
              <w:jc w:val="left"/>
              <w:rPr>
                <w:rFonts w:hint="eastAsia" w:ascii="宋体" w:hAnsi="宋体" w:eastAsia="宋体" w:cs="宋体"/>
                <w:sz w:val="21"/>
                <w:szCs w:val="21"/>
              </w:rPr>
            </w:pPr>
            <w:r>
              <w:rPr>
                <w:rFonts w:hint="eastAsia" w:ascii="宋体" w:hAnsi="宋体" w:eastAsia="宋体" w:cs="宋体"/>
                <w:sz w:val="21"/>
                <w:szCs w:val="21"/>
              </w:rPr>
              <w:t>____________(原建设单位）：</w:t>
            </w:r>
          </w:p>
          <w:p w14:paraId="1AA29125">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我公司承接的____________(原工程项目名称）于___年___月___日竣工（交工），并于___年___月___日向贵单位提交竣工（交工）报告。但非我承包人原因至今已超过120天未进行该项目的竣工（交工）验收。特申请同意我公司项目负责人__________（项目负责人名字）承接其他项目。</w:t>
            </w:r>
          </w:p>
          <w:p w14:paraId="5305FEA9">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特此报告。</w:t>
            </w:r>
          </w:p>
          <w:p w14:paraId="030242C0">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承包人（盖章）</w:t>
            </w:r>
          </w:p>
          <w:p w14:paraId="492C3B6D">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___年___月___日</w:t>
            </w:r>
          </w:p>
        </w:tc>
      </w:tr>
      <w:tr w14:paraId="4154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8522" w:type="dxa"/>
            <w:noWrap w:val="0"/>
            <w:vAlign w:val="top"/>
          </w:tcPr>
          <w:p w14:paraId="1785E32D">
            <w:pPr>
              <w:spacing w:line="360" w:lineRule="auto"/>
              <w:jc w:val="left"/>
              <w:rPr>
                <w:rFonts w:hint="eastAsia" w:ascii="宋体" w:hAnsi="宋体" w:eastAsia="宋体" w:cs="宋体"/>
                <w:sz w:val="21"/>
                <w:szCs w:val="21"/>
              </w:rPr>
            </w:pPr>
            <w:r>
              <w:rPr>
                <w:rFonts w:hint="eastAsia" w:ascii="宋体" w:hAnsi="宋体" w:eastAsia="宋体" w:cs="宋体"/>
                <w:sz w:val="21"/>
                <w:szCs w:val="21"/>
              </w:rPr>
              <w:t>原建设单位意见：</w:t>
            </w:r>
          </w:p>
          <w:p w14:paraId="247BD748">
            <w:pPr>
              <w:spacing w:line="360" w:lineRule="auto"/>
              <w:jc w:val="left"/>
              <w:rPr>
                <w:rFonts w:hint="eastAsia" w:ascii="宋体" w:hAnsi="宋体" w:eastAsia="宋体" w:cs="宋体"/>
                <w:sz w:val="21"/>
                <w:szCs w:val="21"/>
              </w:rPr>
            </w:pPr>
          </w:p>
          <w:p w14:paraId="63F5FF39">
            <w:pPr>
              <w:spacing w:line="360" w:lineRule="auto"/>
              <w:jc w:val="right"/>
              <w:rPr>
                <w:rFonts w:hint="eastAsia" w:ascii="宋体" w:hAnsi="宋体" w:eastAsia="宋体" w:cs="宋体"/>
                <w:sz w:val="21"/>
                <w:szCs w:val="21"/>
              </w:rPr>
            </w:pPr>
            <w:r>
              <w:rPr>
                <w:rFonts w:hint="eastAsia" w:ascii="宋体" w:hAnsi="宋体" w:eastAsia="宋体" w:cs="宋体"/>
                <w:sz w:val="21"/>
                <w:szCs w:val="21"/>
              </w:rPr>
              <w:t>原建设单位（盖章）：</w:t>
            </w:r>
          </w:p>
          <w:p w14:paraId="751760A4">
            <w:pPr>
              <w:spacing w:line="360" w:lineRule="auto"/>
              <w:jc w:val="right"/>
              <w:rPr>
                <w:rFonts w:hint="eastAsia" w:ascii="宋体" w:hAnsi="宋体" w:eastAsia="宋体" w:cs="宋体"/>
                <w:sz w:val="21"/>
                <w:szCs w:val="21"/>
              </w:rPr>
            </w:pPr>
            <w:r>
              <w:rPr>
                <w:rFonts w:hint="eastAsia" w:ascii="宋体" w:hAnsi="宋体" w:eastAsia="宋体" w:cs="宋体"/>
                <w:sz w:val="21"/>
                <w:szCs w:val="21"/>
              </w:rPr>
              <w:t>___年___月___日</w:t>
            </w:r>
          </w:p>
        </w:tc>
      </w:tr>
      <w:tr w14:paraId="7F30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8522" w:type="dxa"/>
            <w:noWrap w:val="0"/>
            <w:vAlign w:val="top"/>
          </w:tcPr>
          <w:p w14:paraId="6F4FE6CD">
            <w:pPr>
              <w:spacing w:line="360" w:lineRule="auto"/>
              <w:jc w:val="left"/>
              <w:rPr>
                <w:rFonts w:hint="eastAsia" w:ascii="宋体" w:hAnsi="宋体" w:eastAsia="宋体" w:cs="宋体"/>
                <w:sz w:val="21"/>
                <w:szCs w:val="21"/>
              </w:rPr>
            </w:pPr>
            <w:r>
              <w:rPr>
                <w:rFonts w:hint="eastAsia" w:ascii="宋体" w:hAnsi="宋体" w:eastAsia="宋体" w:cs="宋体"/>
                <w:sz w:val="21"/>
                <w:szCs w:val="21"/>
              </w:rPr>
              <w:t>行政主管部门证明：</w:t>
            </w:r>
          </w:p>
          <w:p w14:paraId="5815AECB">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承包人向原建设单位提交了竣工（交工）报告至今已超过120天。情况属实。</w:t>
            </w:r>
          </w:p>
          <w:p w14:paraId="3CD0F9B0">
            <w:pPr>
              <w:spacing w:line="360" w:lineRule="auto"/>
              <w:jc w:val="left"/>
              <w:rPr>
                <w:rFonts w:hint="eastAsia" w:ascii="宋体" w:hAnsi="宋体" w:eastAsia="宋体" w:cs="宋体"/>
                <w:sz w:val="21"/>
                <w:szCs w:val="21"/>
              </w:rPr>
            </w:pPr>
          </w:p>
          <w:p w14:paraId="28291990">
            <w:pPr>
              <w:spacing w:line="360" w:lineRule="auto"/>
              <w:jc w:val="right"/>
              <w:rPr>
                <w:rFonts w:hint="eastAsia" w:ascii="宋体" w:hAnsi="宋体" w:eastAsia="宋体" w:cs="宋体"/>
                <w:sz w:val="21"/>
                <w:szCs w:val="21"/>
              </w:rPr>
            </w:pPr>
            <w:r>
              <w:rPr>
                <w:rFonts w:hint="eastAsia" w:ascii="宋体" w:hAnsi="宋体" w:eastAsia="宋体" w:cs="宋体"/>
                <w:sz w:val="21"/>
                <w:szCs w:val="21"/>
              </w:rPr>
              <w:t>行政主管部门（盖章）：</w:t>
            </w:r>
          </w:p>
          <w:p w14:paraId="402A85BD">
            <w:pPr>
              <w:spacing w:line="360" w:lineRule="auto"/>
              <w:jc w:val="right"/>
              <w:rPr>
                <w:rFonts w:hint="eastAsia" w:ascii="宋体" w:hAnsi="宋体" w:eastAsia="宋体" w:cs="宋体"/>
                <w:sz w:val="21"/>
                <w:szCs w:val="21"/>
              </w:rPr>
            </w:pPr>
            <w:r>
              <w:rPr>
                <w:rFonts w:hint="eastAsia" w:ascii="宋体" w:hAnsi="宋体" w:eastAsia="宋体" w:cs="宋体"/>
                <w:sz w:val="21"/>
                <w:szCs w:val="21"/>
              </w:rPr>
              <w:t>___年___月___日</w:t>
            </w:r>
          </w:p>
        </w:tc>
      </w:tr>
    </w:tbl>
    <w:p w14:paraId="07DAC395">
      <w:pPr>
        <w:pStyle w:val="26"/>
        <w:widowControl w:val="0"/>
        <w:spacing w:before="0" w:beforeAutospacing="0" w:after="0" w:afterAutospacing="0" w:line="360" w:lineRule="auto"/>
        <w:jc w:val="both"/>
        <w:outlineLvl w:val="1"/>
        <w:rPr>
          <w:rFonts w:hint="eastAsia"/>
          <w:sz w:val="21"/>
          <w:szCs w:val="21"/>
        </w:rPr>
      </w:pPr>
      <w:r>
        <w:rPr>
          <w:rFonts w:hint="eastAsia"/>
          <w:sz w:val="21"/>
          <w:szCs w:val="21"/>
        </w:rPr>
        <w:t>注：在承接新项目时原承接的项目已经竣工验收的，本《证明》不得使用。</w:t>
      </w:r>
    </w:p>
    <w:p w14:paraId="64E9BE26">
      <w:pPr>
        <w:rPr>
          <w:rFonts w:hint="eastAsia" w:cs="宋体"/>
          <w:b/>
          <w:bCs/>
          <w:color w:val="auto"/>
          <w:sz w:val="21"/>
          <w:szCs w:val="21"/>
          <w:highlight w:val="none"/>
        </w:rPr>
      </w:pPr>
      <w:r>
        <w:rPr>
          <w:rFonts w:hint="eastAsia" w:cs="宋体"/>
          <w:b/>
          <w:bCs/>
          <w:color w:val="auto"/>
          <w:sz w:val="21"/>
          <w:szCs w:val="21"/>
          <w:highlight w:val="none"/>
        </w:rPr>
        <w:br w:type="page"/>
      </w:r>
    </w:p>
    <w:p w14:paraId="09DB29A1">
      <w:pPr>
        <w:spacing w:line="360" w:lineRule="auto"/>
        <w:rPr>
          <w:rFonts w:ascii="宋体" w:cs="宋体"/>
          <w:b/>
          <w:bCs/>
          <w:color w:val="auto"/>
          <w:sz w:val="24"/>
          <w:highlight w:val="none"/>
        </w:rPr>
      </w:pPr>
      <w:r>
        <w:rPr>
          <w:rFonts w:hint="eastAsia" w:ascii="宋体" w:hAnsi="宋体" w:cs="宋体"/>
          <w:b/>
          <w:bCs/>
          <w:color w:val="auto"/>
          <w:sz w:val="24"/>
          <w:highlight w:val="none"/>
        </w:rPr>
        <w:t>附件</w:t>
      </w:r>
      <w:r>
        <w:rPr>
          <w:rFonts w:ascii="宋体" w:hAnsi="宋体" w:cs="宋体"/>
          <w:b/>
          <w:bCs/>
          <w:color w:val="auto"/>
          <w:sz w:val="24"/>
          <w:highlight w:val="none"/>
        </w:rPr>
        <w:t>1</w:t>
      </w:r>
      <w:r>
        <w:rPr>
          <w:rFonts w:hint="eastAsia" w:ascii="宋体" w:hAnsi="宋体" w:cs="宋体"/>
          <w:b/>
          <w:bCs/>
          <w:color w:val="auto"/>
          <w:sz w:val="24"/>
          <w:highlight w:val="none"/>
          <w:lang w:val="en-US" w:eastAsia="zh-CN"/>
        </w:rPr>
        <w:t>7（二选一）</w:t>
      </w:r>
      <w:r>
        <w:rPr>
          <w:rFonts w:hint="eastAsia" w:ascii="宋体" w:hAnsi="宋体" w:cs="宋体"/>
          <w:b/>
          <w:bCs/>
          <w:color w:val="auto"/>
          <w:sz w:val="24"/>
          <w:highlight w:val="none"/>
        </w:rPr>
        <w:t>：</w:t>
      </w:r>
      <w:r>
        <w:rPr>
          <w:rFonts w:ascii="宋体" w:hAnsi="宋体" w:cs="宋体"/>
          <w:b/>
          <w:bCs/>
          <w:color w:val="auto"/>
          <w:sz w:val="24"/>
          <w:highlight w:val="none"/>
        </w:rPr>
        <w:t xml:space="preserve"> </w:t>
      </w:r>
    </w:p>
    <w:p w14:paraId="3D4F7EE4">
      <w:pPr>
        <w:pStyle w:val="63"/>
        <w:snapToGrid w:val="0"/>
        <w:spacing w:line="500" w:lineRule="exact"/>
        <w:jc w:val="center"/>
        <w:rPr>
          <w:rFonts w:hint="eastAsia" w:cs="宋体"/>
          <w:color w:val="auto"/>
          <w:sz w:val="21"/>
          <w:szCs w:val="21"/>
          <w:highlight w:val="none"/>
        </w:rPr>
      </w:pPr>
      <w:r>
        <w:rPr>
          <w:rFonts w:hint="eastAsia" w:cs="宋体"/>
          <w:b/>
          <w:bCs/>
          <w:color w:val="auto"/>
          <w:sz w:val="21"/>
          <w:szCs w:val="21"/>
          <w:highlight w:val="none"/>
        </w:rPr>
        <w:t>政府采购活动现</w:t>
      </w:r>
      <w:r>
        <w:rPr>
          <w:rFonts w:hint="eastAsia" w:cs="宋体"/>
          <w:b/>
          <w:color w:val="auto"/>
          <w:sz w:val="21"/>
          <w:szCs w:val="21"/>
          <w:highlight w:val="none"/>
        </w:rPr>
        <w:t>场确认声明书（被授权人）</w:t>
      </w:r>
    </w:p>
    <w:p w14:paraId="79B1DD49">
      <w:pPr>
        <w:pStyle w:val="63"/>
        <w:snapToGrid w:val="0"/>
        <w:spacing w:line="500" w:lineRule="exact"/>
        <w:rPr>
          <w:rFonts w:hint="eastAsia" w:cs="宋体"/>
          <w:b/>
          <w:color w:val="auto"/>
          <w:sz w:val="21"/>
          <w:szCs w:val="21"/>
          <w:highlight w:val="none"/>
        </w:rPr>
      </w:pPr>
      <w:r>
        <w:rPr>
          <w:rFonts w:cs="宋体"/>
          <w:color w:val="auto"/>
          <w:kern w:val="0"/>
          <w:sz w:val="21"/>
          <w:szCs w:val="21"/>
          <w:highlight w:val="none"/>
          <w:u w:val="single"/>
        </w:rPr>
        <w:t xml:space="preserve"> </w:t>
      </w:r>
      <w:r>
        <w:rPr>
          <w:rFonts w:hint="eastAsia" w:cs="宋体"/>
          <w:color w:val="auto"/>
          <w:kern w:val="0"/>
          <w:sz w:val="21"/>
          <w:szCs w:val="21"/>
          <w:highlight w:val="none"/>
          <w:u w:val="single"/>
        </w:rPr>
        <w:t>浙江聚信工程管理有限公司</w:t>
      </w:r>
      <w:r>
        <w:rPr>
          <w:rFonts w:cs="宋体"/>
          <w:color w:val="auto"/>
          <w:kern w:val="0"/>
          <w:sz w:val="21"/>
          <w:szCs w:val="21"/>
          <w:highlight w:val="none"/>
          <w:u w:val="single"/>
        </w:rPr>
        <w:t xml:space="preserve">  </w:t>
      </w:r>
      <w:r>
        <w:rPr>
          <w:rFonts w:hint="eastAsia" w:cs="宋体"/>
          <w:color w:val="auto"/>
          <w:kern w:val="0"/>
          <w:sz w:val="21"/>
          <w:szCs w:val="21"/>
          <w:highlight w:val="none"/>
        </w:rPr>
        <w:t>（采购组织机构名称）：</w:t>
      </w:r>
    </w:p>
    <w:p w14:paraId="6593734B">
      <w:pPr>
        <w:pStyle w:val="63"/>
        <w:snapToGrid w:val="0"/>
        <w:spacing w:line="500" w:lineRule="exact"/>
        <w:ind w:firstLine="444" w:firstLineChars="200"/>
        <w:rPr>
          <w:rFonts w:hint="eastAsia" w:cs="宋体"/>
          <w:color w:val="auto"/>
          <w:spacing w:val="6"/>
          <w:sz w:val="21"/>
          <w:szCs w:val="21"/>
          <w:highlight w:val="none"/>
        </w:rPr>
      </w:pPr>
      <w:r>
        <w:rPr>
          <w:rFonts w:hint="eastAsia" w:cs="宋体"/>
          <w:color w:val="auto"/>
          <w:spacing w:val="6"/>
          <w:sz w:val="21"/>
          <w:szCs w:val="21"/>
          <w:highlight w:val="none"/>
        </w:rPr>
        <w:t>本人</w:t>
      </w:r>
      <w:r>
        <w:rPr>
          <w:rFonts w:cs="宋体"/>
          <w:color w:val="auto"/>
          <w:spacing w:val="6"/>
          <w:sz w:val="21"/>
          <w:szCs w:val="21"/>
          <w:highlight w:val="none"/>
          <w:u w:val="single"/>
        </w:rPr>
        <w:t xml:space="preserve">        </w:t>
      </w:r>
      <w:r>
        <w:rPr>
          <w:rFonts w:hint="eastAsia" w:cs="宋体"/>
          <w:color w:val="auto"/>
          <w:spacing w:val="6"/>
          <w:sz w:val="21"/>
          <w:szCs w:val="21"/>
          <w:highlight w:val="none"/>
          <w:u w:val="single"/>
        </w:rPr>
        <w:t>（姓名）</w:t>
      </w:r>
      <w:r>
        <w:rPr>
          <w:rFonts w:hint="eastAsia" w:cs="宋体"/>
          <w:color w:val="auto"/>
          <w:spacing w:val="6"/>
          <w:sz w:val="21"/>
          <w:szCs w:val="21"/>
          <w:highlight w:val="none"/>
        </w:rPr>
        <w:t>经由</w:t>
      </w:r>
      <w:r>
        <w:rPr>
          <w:rFonts w:cs="宋体"/>
          <w:color w:val="auto"/>
          <w:spacing w:val="6"/>
          <w:sz w:val="21"/>
          <w:szCs w:val="21"/>
          <w:highlight w:val="none"/>
          <w:u w:val="single"/>
        </w:rPr>
        <w:t xml:space="preserve"> </w:t>
      </w:r>
      <w:r>
        <w:rPr>
          <w:rFonts w:cs="宋体"/>
          <w:color w:val="auto"/>
          <w:kern w:val="0"/>
          <w:sz w:val="21"/>
          <w:szCs w:val="21"/>
          <w:highlight w:val="none"/>
          <w:u w:val="single"/>
        </w:rPr>
        <w:t xml:space="preserve">               </w:t>
      </w:r>
      <w:r>
        <w:rPr>
          <w:rFonts w:hint="eastAsia" w:cs="宋体"/>
          <w:color w:val="auto"/>
          <w:spacing w:val="6"/>
          <w:sz w:val="21"/>
          <w:szCs w:val="21"/>
          <w:highlight w:val="none"/>
          <w:u w:val="single"/>
        </w:rPr>
        <w:t>（单位）</w:t>
      </w:r>
      <w:r>
        <w:rPr>
          <w:rFonts w:hint="eastAsia" w:cs="宋体"/>
          <w:color w:val="auto"/>
          <w:spacing w:val="6"/>
          <w:sz w:val="21"/>
          <w:szCs w:val="21"/>
          <w:highlight w:val="none"/>
        </w:rPr>
        <w:t>负责人</w:t>
      </w:r>
      <w:r>
        <w:rPr>
          <w:rFonts w:cs="宋体"/>
          <w:color w:val="auto"/>
          <w:spacing w:val="6"/>
          <w:sz w:val="21"/>
          <w:szCs w:val="21"/>
          <w:highlight w:val="none"/>
          <w:u w:val="single"/>
        </w:rPr>
        <w:t xml:space="preserve">       </w:t>
      </w:r>
      <w:r>
        <w:rPr>
          <w:rFonts w:hint="eastAsia" w:cs="宋体"/>
          <w:color w:val="auto"/>
          <w:spacing w:val="6"/>
          <w:sz w:val="21"/>
          <w:szCs w:val="21"/>
          <w:highlight w:val="none"/>
          <w:u w:val="single"/>
        </w:rPr>
        <w:t>（姓名）</w:t>
      </w:r>
      <w:r>
        <w:rPr>
          <w:rFonts w:hint="eastAsia" w:cs="宋体"/>
          <w:color w:val="auto"/>
          <w:spacing w:val="6"/>
          <w:sz w:val="21"/>
          <w:szCs w:val="21"/>
          <w:highlight w:val="none"/>
        </w:rPr>
        <w:t>合法授权参加</w:t>
      </w:r>
      <w:r>
        <w:rPr>
          <w:rFonts w:cs="宋体"/>
          <w:color w:val="auto"/>
          <w:spacing w:val="6"/>
          <w:sz w:val="21"/>
          <w:szCs w:val="21"/>
          <w:highlight w:val="none"/>
          <w:u w:val="single"/>
        </w:rPr>
        <w:t xml:space="preserve">              </w:t>
      </w:r>
      <w:r>
        <w:rPr>
          <w:rFonts w:hint="eastAsia" w:cs="宋体"/>
          <w:color w:val="auto"/>
          <w:spacing w:val="6"/>
          <w:sz w:val="21"/>
          <w:szCs w:val="21"/>
          <w:highlight w:val="none"/>
        </w:rPr>
        <w:t>（编号：</w:t>
      </w:r>
      <w:r>
        <w:rPr>
          <w:rFonts w:cs="宋体"/>
          <w:color w:val="auto"/>
          <w:spacing w:val="6"/>
          <w:sz w:val="21"/>
          <w:szCs w:val="21"/>
          <w:highlight w:val="none"/>
          <w:u w:val="single"/>
        </w:rPr>
        <w:t xml:space="preserve">               </w:t>
      </w:r>
      <w:r>
        <w:rPr>
          <w:rFonts w:hint="eastAsia" w:cs="宋体"/>
          <w:color w:val="auto"/>
          <w:spacing w:val="6"/>
          <w:sz w:val="21"/>
          <w:szCs w:val="21"/>
          <w:highlight w:val="none"/>
        </w:rPr>
        <w:t>）政府采购活动，经与本单位法人代表（负责人）联系确认，现就有关公平竞争事项郑重声明如下：</w:t>
      </w:r>
      <w:r>
        <w:rPr>
          <w:rFonts w:cs="宋体"/>
          <w:color w:val="auto"/>
          <w:spacing w:val="6"/>
          <w:sz w:val="21"/>
          <w:szCs w:val="21"/>
          <w:highlight w:val="none"/>
        </w:rPr>
        <w:t xml:space="preserve"> </w:t>
      </w:r>
    </w:p>
    <w:p w14:paraId="21410413">
      <w:pPr>
        <w:pStyle w:val="64"/>
        <w:widowControl/>
        <w:numPr>
          <w:ilvl w:val="0"/>
          <w:numId w:val="16"/>
        </w:numPr>
        <w:snapToGrid w:val="0"/>
        <w:spacing w:line="500" w:lineRule="exact"/>
        <w:ind w:firstLine="396" w:firstLineChars="189"/>
        <w:rPr>
          <w:rFonts w:ascii="宋体" w:cs="宋体"/>
          <w:color w:val="auto"/>
          <w:kern w:val="0"/>
          <w:szCs w:val="21"/>
          <w:highlight w:val="none"/>
        </w:rPr>
      </w:pPr>
      <w:r>
        <w:rPr>
          <w:rFonts w:hint="eastAsia" w:ascii="宋体" w:hAnsi="宋体" w:cs="宋体"/>
          <w:color w:val="auto"/>
          <w:kern w:val="0"/>
          <w:szCs w:val="21"/>
          <w:highlight w:val="none"/>
        </w:rPr>
        <w:t>本单位与采购人之间</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□不存在利害关系</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□存在下列利害关系</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FDB6BF5">
      <w:pPr>
        <w:pStyle w:val="64"/>
        <w:widowControl/>
        <w:snapToGrid w:val="0"/>
        <w:spacing w:line="500" w:lineRule="exact"/>
        <w:rPr>
          <w:rFonts w:ascii="宋体" w:cs="宋体"/>
          <w:color w:val="auto"/>
          <w:kern w:val="0"/>
          <w:szCs w:val="21"/>
          <w:highlight w:val="none"/>
        </w:rPr>
      </w:pPr>
      <w:r>
        <w:rPr>
          <w:rFonts w:ascii="宋体" w:hAnsi="宋体" w:cs="宋体"/>
          <w:color w:val="auto"/>
          <w:kern w:val="0"/>
          <w:szCs w:val="21"/>
          <w:highlight w:val="none"/>
        </w:rPr>
        <w:t xml:space="preserve">  A.</w:t>
      </w:r>
      <w:r>
        <w:rPr>
          <w:rFonts w:hint="eastAsia" w:ascii="宋体" w:hAnsi="宋体" w:cs="宋体"/>
          <w:color w:val="auto"/>
          <w:kern w:val="0"/>
          <w:szCs w:val="21"/>
          <w:highlight w:val="none"/>
        </w:rPr>
        <w:t>投资关系</w:t>
      </w:r>
      <w:r>
        <w:rPr>
          <w:rFonts w:ascii="宋体" w:hAnsi="宋体" w:cs="宋体"/>
          <w:color w:val="auto"/>
          <w:kern w:val="0"/>
          <w:szCs w:val="21"/>
          <w:highlight w:val="none"/>
        </w:rPr>
        <w:t xml:space="preserve">    B.</w:t>
      </w:r>
      <w:r>
        <w:rPr>
          <w:rFonts w:hint="eastAsia" w:ascii="宋体" w:hAnsi="宋体" w:cs="宋体"/>
          <w:color w:val="auto"/>
          <w:kern w:val="0"/>
          <w:szCs w:val="21"/>
          <w:highlight w:val="none"/>
        </w:rPr>
        <w:t>行政隶属关系</w:t>
      </w:r>
      <w:r>
        <w:rPr>
          <w:rFonts w:ascii="宋体" w:hAnsi="宋体" w:cs="宋体"/>
          <w:color w:val="auto"/>
          <w:kern w:val="0"/>
          <w:szCs w:val="21"/>
          <w:highlight w:val="none"/>
        </w:rPr>
        <w:t xml:space="preserve">    C.</w:t>
      </w:r>
      <w:r>
        <w:rPr>
          <w:rFonts w:hint="eastAsia" w:ascii="宋体" w:hAnsi="宋体" w:cs="宋体"/>
          <w:color w:val="auto"/>
          <w:kern w:val="0"/>
          <w:szCs w:val="21"/>
          <w:highlight w:val="none"/>
        </w:rPr>
        <w:t>业务指导关系</w:t>
      </w:r>
    </w:p>
    <w:p w14:paraId="64A11A24">
      <w:pPr>
        <w:pStyle w:val="64"/>
        <w:widowControl/>
        <w:snapToGrid w:val="0"/>
        <w:spacing w:line="500" w:lineRule="exact"/>
        <w:rPr>
          <w:rFonts w:ascii="宋体" w:cs="宋体"/>
          <w:color w:val="auto"/>
          <w:kern w:val="0"/>
          <w:szCs w:val="21"/>
          <w:highlight w:val="none"/>
        </w:rPr>
      </w:pPr>
      <w:r>
        <w:rPr>
          <w:rFonts w:ascii="宋体" w:hAnsi="宋体" w:cs="宋体"/>
          <w:color w:val="auto"/>
          <w:kern w:val="0"/>
          <w:szCs w:val="21"/>
          <w:highlight w:val="none"/>
        </w:rPr>
        <w:t xml:space="preserve">  D.</w:t>
      </w:r>
      <w:r>
        <w:rPr>
          <w:rFonts w:hint="eastAsia" w:ascii="宋体" w:hAnsi="宋体" w:cs="宋体"/>
          <w:color w:val="auto"/>
          <w:kern w:val="0"/>
          <w:szCs w:val="21"/>
          <w:highlight w:val="none"/>
        </w:rPr>
        <w:t>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利害关系</w:t>
      </w:r>
      <w:r>
        <w:rPr>
          <w:rFonts w:hint="eastAsia" w:ascii="宋体" w:hAnsi="宋体" w:cs="宋体"/>
          <w:color w:val="auto"/>
          <w:kern w:val="0"/>
          <w:szCs w:val="21"/>
          <w:highlight w:val="none"/>
          <w:u w:val="single"/>
        </w:rPr>
        <w:t>（如有，请如实说明）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AD20328">
      <w:pPr>
        <w:pStyle w:val="64"/>
        <w:widowControl/>
        <w:snapToGrid w:val="0"/>
        <w:spacing w:line="500" w:lineRule="exact"/>
        <w:rPr>
          <w:rFonts w:ascii="宋体" w:cs="宋体"/>
          <w:color w:val="auto"/>
          <w:kern w:val="0"/>
          <w:szCs w:val="21"/>
          <w:highlight w:val="none"/>
        </w:rPr>
      </w:pPr>
      <w:r>
        <w:rPr>
          <w:rFonts w:ascii="宋体" w:hAnsi="宋体" w:cs="宋体"/>
          <w:color w:val="auto"/>
          <w:spacing w:val="6"/>
          <w:szCs w:val="21"/>
          <w:highlight w:val="none"/>
        </w:rPr>
        <w:t xml:space="preserve">  </w:t>
      </w:r>
      <w:r>
        <w:rPr>
          <w:rFonts w:hint="eastAsia" w:ascii="宋体" w:hAnsi="宋体" w:cs="宋体"/>
          <w:color w:val="auto"/>
          <w:spacing w:val="6"/>
          <w:szCs w:val="21"/>
          <w:highlight w:val="none"/>
        </w:rPr>
        <w:t>二、</w:t>
      </w:r>
      <w:r>
        <w:rPr>
          <w:rFonts w:hint="eastAsia" w:ascii="宋体" w:hAnsi="宋体" w:cs="宋体"/>
          <w:color w:val="auto"/>
          <w:kern w:val="0"/>
          <w:szCs w:val="21"/>
          <w:highlight w:val="none"/>
        </w:rPr>
        <w:t>现已清楚知道参加本项目采购活动的其他所有供应商名称，本单位</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□与其他所有供应商之间均不存在利害关系</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（供应商名称）</w:t>
      </w:r>
      <w:r>
        <w:rPr>
          <w:rFonts w:hint="eastAsia"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C1EFF83">
      <w:pPr>
        <w:pStyle w:val="63"/>
        <w:snapToGrid w:val="0"/>
        <w:spacing w:line="500" w:lineRule="exact"/>
        <w:rPr>
          <w:rFonts w:hint="eastAsia" w:cs="宋体"/>
          <w:color w:val="auto"/>
          <w:kern w:val="0"/>
          <w:sz w:val="21"/>
          <w:szCs w:val="21"/>
          <w:highlight w:val="none"/>
        </w:rPr>
      </w:pPr>
      <w:r>
        <w:rPr>
          <w:rFonts w:cs="宋体"/>
          <w:color w:val="auto"/>
          <w:kern w:val="0"/>
          <w:sz w:val="21"/>
          <w:szCs w:val="21"/>
          <w:highlight w:val="none"/>
        </w:rPr>
        <w:t xml:space="preserve">  A.</w:t>
      </w:r>
      <w:r>
        <w:rPr>
          <w:rFonts w:hint="eastAsia" w:cs="宋体"/>
          <w:color w:val="auto"/>
          <w:kern w:val="0"/>
          <w:sz w:val="21"/>
          <w:szCs w:val="21"/>
          <w:highlight w:val="none"/>
        </w:rPr>
        <w:t>法定代表人或负责人或实际控制人是同一人</w:t>
      </w:r>
    </w:p>
    <w:p w14:paraId="04EBBC31">
      <w:pPr>
        <w:pStyle w:val="63"/>
        <w:snapToGrid w:val="0"/>
        <w:spacing w:line="500" w:lineRule="exact"/>
        <w:rPr>
          <w:rFonts w:hint="eastAsia" w:cs="宋体"/>
          <w:color w:val="auto"/>
          <w:spacing w:val="6"/>
          <w:sz w:val="21"/>
          <w:szCs w:val="21"/>
          <w:highlight w:val="none"/>
        </w:rPr>
      </w:pPr>
      <w:r>
        <w:rPr>
          <w:rFonts w:cs="宋体"/>
          <w:color w:val="auto"/>
          <w:kern w:val="0"/>
          <w:sz w:val="21"/>
          <w:szCs w:val="21"/>
          <w:highlight w:val="none"/>
        </w:rPr>
        <w:t xml:space="preserve">  B.</w:t>
      </w:r>
      <w:r>
        <w:rPr>
          <w:rFonts w:hint="eastAsia" w:cs="宋体"/>
          <w:color w:val="auto"/>
          <w:kern w:val="0"/>
          <w:sz w:val="21"/>
          <w:szCs w:val="21"/>
          <w:highlight w:val="none"/>
        </w:rPr>
        <w:t>法定代表人或负责人或实际控制人是夫妻关系</w:t>
      </w:r>
    </w:p>
    <w:p w14:paraId="5A8709BF">
      <w:pPr>
        <w:pStyle w:val="63"/>
        <w:snapToGrid w:val="0"/>
        <w:spacing w:line="500" w:lineRule="exact"/>
        <w:rPr>
          <w:rFonts w:hint="eastAsia" w:cs="宋体"/>
          <w:color w:val="auto"/>
          <w:spacing w:val="6"/>
          <w:sz w:val="21"/>
          <w:szCs w:val="21"/>
          <w:highlight w:val="none"/>
        </w:rPr>
      </w:pPr>
      <w:r>
        <w:rPr>
          <w:rFonts w:cs="宋体"/>
          <w:color w:val="auto"/>
          <w:kern w:val="0"/>
          <w:sz w:val="21"/>
          <w:szCs w:val="21"/>
          <w:highlight w:val="none"/>
        </w:rPr>
        <w:t xml:space="preserve">  C.</w:t>
      </w:r>
      <w:r>
        <w:rPr>
          <w:rFonts w:hint="eastAsia" w:cs="宋体"/>
          <w:color w:val="auto"/>
          <w:kern w:val="0"/>
          <w:sz w:val="21"/>
          <w:szCs w:val="21"/>
          <w:highlight w:val="none"/>
        </w:rPr>
        <w:t>法定代表人或负责人或实际控制人是直系血亲关系</w:t>
      </w:r>
    </w:p>
    <w:p w14:paraId="6AD5246C">
      <w:pPr>
        <w:pStyle w:val="63"/>
        <w:snapToGrid w:val="0"/>
        <w:spacing w:line="500" w:lineRule="exact"/>
        <w:rPr>
          <w:rFonts w:hint="eastAsia" w:cs="宋体"/>
          <w:color w:val="auto"/>
          <w:spacing w:val="6"/>
          <w:sz w:val="21"/>
          <w:szCs w:val="21"/>
          <w:highlight w:val="none"/>
        </w:rPr>
      </w:pPr>
      <w:r>
        <w:rPr>
          <w:rFonts w:cs="宋体"/>
          <w:color w:val="auto"/>
          <w:kern w:val="0"/>
          <w:sz w:val="21"/>
          <w:szCs w:val="21"/>
          <w:highlight w:val="none"/>
        </w:rPr>
        <w:t xml:space="preserve">  D.</w:t>
      </w:r>
      <w:r>
        <w:rPr>
          <w:rFonts w:hint="eastAsia" w:cs="宋体"/>
          <w:color w:val="auto"/>
          <w:kern w:val="0"/>
          <w:sz w:val="21"/>
          <w:szCs w:val="21"/>
          <w:highlight w:val="none"/>
        </w:rPr>
        <w:t>法定代表人或负责人或实际控制人存在三代以内旁系血亲关系</w:t>
      </w:r>
    </w:p>
    <w:p w14:paraId="76ADC6AA">
      <w:pPr>
        <w:pStyle w:val="63"/>
        <w:snapToGrid w:val="0"/>
        <w:spacing w:line="500" w:lineRule="exact"/>
        <w:rPr>
          <w:rFonts w:hint="eastAsia" w:cs="宋体"/>
          <w:color w:val="auto"/>
          <w:kern w:val="0"/>
          <w:sz w:val="21"/>
          <w:szCs w:val="21"/>
          <w:highlight w:val="none"/>
        </w:rPr>
      </w:pPr>
      <w:r>
        <w:rPr>
          <w:rFonts w:cs="宋体"/>
          <w:color w:val="auto"/>
          <w:kern w:val="0"/>
          <w:sz w:val="21"/>
          <w:szCs w:val="21"/>
          <w:highlight w:val="none"/>
        </w:rPr>
        <w:t xml:space="preserve">  E.</w:t>
      </w:r>
      <w:r>
        <w:rPr>
          <w:rFonts w:hint="eastAsia" w:cs="宋体"/>
          <w:color w:val="auto"/>
          <w:kern w:val="0"/>
          <w:sz w:val="21"/>
          <w:szCs w:val="21"/>
          <w:highlight w:val="none"/>
        </w:rPr>
        <w:t>法定代表人或负责人或实际控制人存在近姻亲关系</w:t>
      </w:r>
    </w:p>
    <w:p w14:paraId="71AD77A8">
      <w:pPr>
        <w:pStyle w:val="63"/>
        <w:snapToGrid w:val="0"/>
        <w:spacing w:line="500" w:lineRule="exact"/>
        <w:rPr>
          <w:rFonts w:hint="eastAsia" w:cs="宋体"/>
          <w:color w:val="auto"/>
          <w:kern w:val="0"/>
          <w:sz w:val="21"/>
          <w:szCs w:val="21"/>
          <w:highlight w:val="none"/>
        </w:rPr>
      </w:pPr>
      <w:r>
        <w:rPr>
          <w:rFonts w:cs="宋体"/>
          <w:color w:val="auto"/>
          <w:kern w:val="0"/>
          <w:sz w:val="21"/>
          <w:szCs w:val="21"/>
          <w:highlight w:val="none"/>
        </w:rPr>
        <w:t xml:space="preserve">  F.</w:t>
      </w:r>
      <w:r>
        <w:rPr>
          <w:rFonts w:hint="eastAsia" w:cs="宋体"/>
          <w:color w:val="auto"/>
          <w:kern w:val="0"/>
          <w:sz w:val="21"/>
          <w:szCs w:val="21"/>
          <w:highlight w:val="none"/>
        </w:rPr>
        <w:t>法定代表人或负责人或实际控制人存在股份控制或实际控制关系</w:t>
      </w:r>
    </w:p>
    <w:p w14:paraId="600D6208">
      <w:pPr>
        <w:pStyle w:val="63"/>
        <w:snapToGrid w:val="0"/>
        <w:spacing w:line="500" w:lineRule="exact"/>
        <w:outlineLvl w:val="0"/>
        <w:rPr>
          <w:rFonts w:hint="eastAsia" w:cs="宋体"/>
          <w:color w:val="auto"/>
          <w:kern w:val="0"/>
          <w:sz w:val="21"/>
          <w:szCs w:val="21"/>
          <w:highlight w:val="none"/>
        </w:rPr>
      </w:pPr>
      <w:r>
        <w:rPr>
          <w:rFonts w:cs="宋体"/>
          <w:color w:val="auto"/>
          <w:kern w:val="0"/>
          <w:sz w:val="21"/>
          <w:szCs w:val="21"/>
          <w:highlight w:val="none"/>
        </w:rPr>
        <w:t xml:space="preserve">  </w:t>
      </w:r>
      <w:bookmarkStart w:id="149" w:name="_Toc9934"/>
      <w:bookmarkStart w:id="150" w:name="_Toc13822"/>
      <w:r>
        <w:rPr>
          <w:rFonts w:cs="宋体"/>
          <w:color w:val="auto"/>
          <w:kern w:val="0"/>
          <w:sz w:val="21"/>
          <w:szCs w:val="21"/>
          <w:highlight w:val="none"/>
        </w:rPr>
        <w:t>G.</w:t>
      </w:r>
      <w:r>
        <w:rPr>
          <w:rFonts w:hint="eastAsia" w:cs="宋体"/>
          <w:color w:val="auto"/>
          <w:kern w:val="0"/>
          <w:sz w:val="21"/>
          <w:szCs w:val="21"/>
          <w:highlight w:val="none"/>
        </w:rPr>
        <w:t>存在共同直接或间接投资设立子公司、联营企业和合营企业情况</w:t>
      </w:r>
      <w:bookmarkEnd w:id="149"/>
      <w:bookmarkEnd w:id="150"/>
    </w:p>
    <w:p w14:paraId="5147676F">
      <w:pPr>
        <w:pStyle w:val="63"/>
        <w:snapToGrid w:val="0"/>
        <w:spacing w:line="500" w:lineRule="exact"/>
        <w:rPr>
          <w:rFonts w:hint="eastAsia" w:cs="宋体"/>
          <w:color w:val="auto"/>
          <w:sz w:val="21"/>
          <w:szCs w:val="21"/>
          <w:highlight w:val="none"/>
        </w:rPr>
      </w:pPr>
      <w:r>
        <w:rPr>
          <w:rFonts w:cs="宋体"/>
          <w:color w:val="auto"/>
          <w:kern w:val="0"/>
          <w:sz w:val="21"/>
          <w:szCs w:val="21"/>
          <w:highlight w:val="none"/>
        </w:rPr>
        <w:t xml:space="preserve">  H.</w:t>
      </w:r>
      <w:r>
        <w:rPr>
          <w:rFonts w:hint="eastAsia" w:cs="宋体"/>
          <w:color w:val="auto"/>
          <w:kern w:val="0"/>
          <w:sz w:val="21"/>
          <w:szCs w:val="21"/>
          <w:highlight w:val="none"/>
        </w:rPr>
        <w:t>存在分级代理或代销关系、同一生产制造商关系、</w:t>
      </w:r>
      <w:r>
        <w:rPr>
          <w:rFonts w:hint="eastAsia" w:cs="宋体"/>
          <w:color w:val="auto"/>
          <w:sz w:val="21"/>
          <w:szCs w:val="21"/>
          <w:highlight w:val="none"/>
        </w:rPr>
        <w:t>管理关系、重要业务（占主营业务收入</w:t>
      </w:r>
      <w:r>
        <w:rPr>
          <w:rFonts w:cs="宋体"/>
          <w:color w:val="auto"/>
          <w:sz w:val="21"/>
          <w:szCs w:val="21"/>
          <w:highlight w:val="none"/>
        </w:rPr>
        <w:t>50%</w:t>
      </w:r>
      <w:r>
        <w:rPr>
          <w:rFonts w:hint="eastAsia" w:cs="宋体"/>
          <w:color w:val="auto"/>
          <w:sz w:val="21"/>
          <w:szCs w:val="21"/>
          <w:highlight w:val="none"/>
        </w:rPr>
        <w:t>以上）或重要财务往来关系（如融资）等其他实质性控制关系</w:t>
      </w:r>
    </w:p>
    <w:p w14:paraId="072A92E1">
      <w:pPr>
        <w:pStyle w:val="63"/>
        <w:snapToGrid w:val="0"/>
        <w:spacing w:line="500" w:lineRule="exact"/>
        <w:rPr>
          <w:rFonts w:hint="eastAsia" w:cs="宋体"/>
          <w:color w:val="auto"/>
          <w:spacing w:val="6"/>
          <w:sz w:val="21"/>
          <w:szCs w:val="21"/>
          <w:highlight w:val="none"/>
        </w:rPr>
      </w:pPr>
      <w:r>
        <w:rPr>
          <w:rFonts w:cs="宋体"/>
          <w:color w:val="auto"/>
          <w:sz w:val="21"/>
          <w:szCs w:val="21"/>
          <w:highlight w:val="none"/>
        </w:rPr>
        <w:t xml:space="preserve">  I</w:t>
      </w:r>
      <w:r>
        <w:rPr>
          <w:rFonts w:cs="宋体"/>
          <w:color w:val="auto"/>
          <w:kern w:val="0"/>
          <w:sz w:val="21"/>
          <w:szCs w:val="21"/>
          <w:highlight w:val="none"/>
        </w:rPr>
        <w:t>.</w:t>
      </w:r>
      <w:r>
        <w:rPr>
          <w:rFonts w:hint="eastAsia" w:cs="宋体"/>
          <w:color w:val="auto"/>
          <w:sz w:val="21"/>
          <w:szCs w:val="21"/>
          <w:highlight w:val="none"/>
        </w:rPr>
        <w:t>其他利害关系情况</w:t>
      </w:r>
      <w:r>
        <w:rPr>
          <w:rFonts w:cs="宋体"/>
          <w:color w:val="auto"/>
          <w:sz w:val="21"/>
          <w:szCs w:val="21"/>
          <w:highlight w:val="none"/>
          <w:u w:val="single"/>
        </w:rPr>
        <w:t xml:space="preserve">                              </w:t>
      </w:r>
      <w:r>
        <w:rPr>
          <w:rFonts w:hint="eastAsia" w:cs="宋体"/>
          <w:color w:val="auto"/>
          <w:kern w:val="0"/>
          <w:sz w:val="21"/>
          <w:szCs w:val="21"/>
          <w:highlight w:val="none"/>
        </w:rPr>
        <w:t>。</w:t>
      </w:r>
    </w:p>
    <w:p w14:paraId="622B2D36">
      <w:pPr>
        <w:pStyle w:val="64"/>
        <w:widowControl/>
        <w:numPr>
          <w:ilvl w:val="0"/>
          <w:numId w:val="17"/>
        </w:numPr>
        <w:snapToGrid w:val="0"/>
        <w:spacing w:line="500" w:lineRule="exact"/>
        <w:ind w:firstLine="396" w:firstLineChars="189"/>
        <w:rPr>
          <w:rFonts w:asci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04D4CAE4">
      <w:pPr>
        <w:pStyle w:val="64"/>
        <w:widowControl/>
        <w:numPr>
          <w:ilvl w:val="0"/>
          <w:numId w:val="17"/>
        </w:numPr>
        <w:snapToGrid w:val="0"/>
        <w:spacing w:line="500" w:lineRule="exact"/>
        <w:ind w:firstLine="396" w:firstLineChars="189"/>
        <w:rPr>
          <w:rFonts w:ascii="宋体" w:cs="宋体"/>
          <w:color w:val="auto"/>
          <w:kern w:val="0"/>
          <w:szCs w:val="21"/>
          <w:highlight w:val="none"/>
        </w:rPr>
      </w:pPr>
      <w:r>
        <w:rPr>
          <w:rFonts w:hint="eastAsia"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14:paraId="7BB80AE5">
      <w:pPr>
        <w:pStyle w:val="63"/>
        <w:snapToGrid w:val="0"/>
        <w:spacing w:line="500" w:lineRule="exact"/>
        <w:rPr>
          <w:rFonts w:hint="eastAsia" w:cs="宋体"/>
          <w:color w:val="auto"/>
          <w:sz w:val="21"/>
          <w:szCs w:val="21"/>
          <w:highlight w:val="none"/>
        </w:rPr>
      </w:pPr>
      <w:r>
        <w:rPr>
          <w:rFonts w:cs="宋体"/>
          <w:color w:val="auto"/>
          <w:sz w:val="21"/>
          <w:szCs w:val="21"/>
          <w:highlight w:val="none"/>
        </w:rPr>
        <w:t xml:space="preserve">                                        </w:t>
      </w:r>
      <w:r>
        <w:rPr>
          <w:rFonts w:hint="eastAsia" w:cs="宋体"/>
          <w:color w:val="auto"/>
          <w:sz w:val="21"/>
          <w:szCs w:val="21"/>
          <w:highlight w:val="none"/>
        </w:rPr>
        <w:t>供应商代表签名：</w:t>
      </w:r>
    </w:p>
    <w:p w14:paraId="4700B202">
      <w:pPr>
        <w:spacing w:after="297" w:afterLines="100" w:line="600" w:lineRule="exact"/>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14:paraId="4655CE4B">
      <w:pPr>
        <w:pStyle w:val="63"/>
        <w:snapToGrid w:val="0"/>
        <w:spacing w:line="500" w:lineRule="exact"/>
        <w:jc w:val="center"/>
        <w:rPr>
          <w:rFonts w:hint="eastAsia" w:cs="宋体"/>
          <w:b/>
          <w:bCs/>
          <w:color w:val="auto"/>
          <w:sz w:val="21"/>
          <w:szCs w:val="21"/>
          <w:highlight w:val="none"/>
        </w:rPr>
        <w:sectPr>
          <w:pgSz w:w="11905" w:h="16838"/>
          <w:pgMar w:top="1417" w:right="1587" w:bottom="1417" w:left="1587" w:header="851" w:footer="992" w:gutter="0"/>
          <w:cols w:space="720" w:num="1"/>
          <w:docGrid w:type="lines" w:linePitch="297" w:charSpace="0"/>
        </w:sectPr>
      </w:pPr>
    </w:p>
    <w:p w14:paraId="75FAA1F3">
      <w:pPr>
        <w:pStyle w:val="63"/>
        <w:adjustRightInd/>
        <w:spacing w:before="156" w:beforeLines="50" w:after="156" w:afterLines="50"/>
        <w:jc w:val="center"/>
        <w:rPr>
          <w:rFonts w:hint="eastAsia" w:cs="宋体"/>
          <w:color w:val="auto"/>
          <w:sz w:val="21"/>
          <w:szCs w:val="21"/>
          <w:highlight w:val="none"/>
        </w:rPr>
      </w:pPr>
      <w:r>
        <w:rPr>
          <w:rFonts w:hint="eastAsia" w:cs="宋体"/>
          <w:b/>
          <w:bCs/>
          <w:color w:val="auto"/>
          <w:sz w:val="21"/>
          <w:szCs w:val="21"/>
          <w:highlight w:val="none"/>
        </w:rPr>
        <w:t>政府采购活动现</w:t>
      </w:r>
      <w:r>
        <w:rPr>
          <w:rFonts w:hint="eastAsia" w:cs="宋体"/>
          <w:b/>
          <w:color w:val="auto"/>
          <w:sz w:val="21"/>
          <w:szCs w:val="21"/>
          <w:highlight w:val="none"/>
        </w:rPr>
        <w:t>场确认声明书（法人）</w:t>
      </w:r>
    </w:p>
    <w:p w14:paraId="3D350BFF">
      <w:pPr>
        <w:pStyle w:val="63"/>
        <w:snapToGrid w:val="0"/>
        <w:spacing w:line="500" w:lineRule="exact"/>
        <w:rPr>
          <w:rFonts w:hint="eastAsia" w:cs="宋体"/>
          <w:b/>
          <w:color w:val="auto"/>
          <w:sz w:val="21"/>
          <w:szCs w:val="21"/>
          <w:highlight w:val="none"/>
        </w:rPr>
      </w:pPr>
      <w:r>
        <w:rPr>
          <w:rFonts w:cs="宋体"/>
          <w:color w:val="auto"/>
          <w:kern w:val="0"/>
          <w:sz w:val="21"/>
          <w:szCs w:val="21"/>
          <w:highlight w:val="none"/>
          <w:u w:val="single"/>
        </w:rPr>
        <w:t xml:space="preserve"> </w:t>
      </w:r>
      <w:r>
        <w:rPr>
          <w:rFonts w:hint="eastAsia" w:cs="宋体"/>
          <w:color w:val="auto"/>
          <w:kern w:val="0"/>
          <w:sz w:val="21"/>
          <w:szCs w:val="21"/>
          <w:highlight w:val="none"/>
          <w:u w:val="single"/>
        </w:rPr>
        <w:t>浙江聚信工程管理有限公司</w:t>
      </w:r>
      <w:r>
        <w:rPr>
          <w:rFonts w:cs="宋体"/>
          <w:color w:val="auto"/>
          <w:kern w:val="0"/>
          <w:sz w:val="21"/>
          <w:szCs w:val="21"/>
          <w:highlight w:val="none"/>
          <w:u w:val="single"/>
        </w:rPr>
        <w:t xml:space="preserve">  </w:t>
      </w:r>
      <w:r>
        <w:rPr>
          <w:rFonts w:hint="eastAsia" w:cs="宋体"/>
          <w:color w:val="auto"/>
          <w:kern w:val="0"/>
          <w:sz w:val="21"/>
          <w:szCs w:val="21"/>
          <w:highlight w:val="none"/>
        </w:rPr>
        <w:t>（采购组织机构名称）：</w:t>
      </w:r>
    </w:p>
    <w:p w14:paraId="4B5963C1">
      <w:pPr>
        <w:pStyle w:val="63"/>
        <w:snapToGrid w:val="0"/>
        <w:spacing w:line="500" w:lineRule="exact"/>
        <w:ind w:firstLine="444" w:firstLineChars="200"/>
        <w:rPr>
          <w:rFonts w:hint="eastAsia" w:cs="宋体"/>
          <w:color w:val="auto"/>
          <w:spacing w:val="6"/>
          <w:sz w:val="21"/>
          <w:szCs w:val="21"/>
          <w:highlight w:val="none"/>
        </w:rPr>
      </w:pPr>
      <w:r>
        <w:rPr>
          <w:rFonts w:hint="eastAsia" w:cs="宋体"/>
          <w:color w:val="auto"/>
          <w:spacing w:val="6"/>
          <w:sz w:val="21"/>
          <w:szCs w:val="21"/>
          <w:highlight w:val="none"/>
        </w:rPr>
        <w:t>本人</w:t>
      </w:r>
      <w:r>
        <w:rPr>
          <w:rFonts w:cs="宋体"/>
          <w:color w:val="auto"/>
          <w:spacing w:val="6"/>
          <w:sz w:val="21"/>
          <w:szCs w:val="21"/>
          <w:highlight w:val="none"/>
          <w:u w:val="single"/>
        </w:rPr>
        <w:t xml:space="preserve">        </w:t>
      </w:r>
      <w:r>
        <w:rPr>
          <w:rFonts w:hint="eastAsia" w:cs="宋体"/>
          <w:color w:val="auto"/>
          <w:spacing w:val="6"/>
          <w:sz w:val="21"/>
          <w:szCs w:val="21"/>
          <w:highlight w:val="none"/>
          <w:u w:val="single"/>
        </w:rPr>
        <w:t>（姓名）</w:t>
      </w:r>
      <w:r>
        <w:rPr>
          <w:rFonts w:hint="eastAsia" w:cs="宋体"/>
          <w:color w:val="auto"/>
          <w:spacing w:val="6"/>
          <w:sz w:val="21"/>
          <w:szCs w:val="21"/>
          <w:highlight w:val="none"/>
        </w:rPr>
        <w:t>为</w:t>
      </w:r>
      <w:r>
        <w:rPr>
          <w:rFonts w:cs="宋体"/>
          <w:color w:val="auto"/>
          <w:spacing w:val="6"/>
          <w:sz w:val="21"/>
          <w:szCs w:val="21"/>
          <w:highlight w:val="none"/>
          <w:u w:val="single"/>
        </w:rPr>
        <w:t xml:space="preserve"> </w:t>
      </w:r>
      <w:r>
        <w:rPr>
          <w:rFonts w:cs="宋体"/>
          <w:color w:val="auto"/>
          <w:kern w:val="0"/>
          <w:sz w:val="21"/>
          <w:szCs w:val="21"/>
          <w:highlight w:val="none"/>
          <w:u w:val="single"/>
        </w:rPr>
        <w:t xml:space="preserve">                </w:t>
      </w:r>
      <w:r>
        <w:rPr>
          <w:rFonts w:hint="eastAsia" w:cs="宋体"/>
          <w:color w:val="auto"/>
          <w:spacing w:val="6"/>
          <w:sz w:val="21"/>
          <w:szCs w:val="21"/>
          <w:highlight w:val="none"/>
          <w:u w:val="single"/>
        </w:rPr>
        <w:t>（单位）</w:t>
      </w:r>
      <w:r>
        <w:rPr>
          <w:rFonts w:hint="eastAsia" w:cs="宋体"/>
          <w:color w:val="auto"/>
          <w:spacing w:val="6"/>
          <w:sz w:val="21"/>
          <w:szCs w:val="21"/>
          <w:highlight w:val="none"/>
        </w:rPr>
        <w:t>负责人参加</w:t>
      </w:r>
      <w:r>
        <w:rPr>
          <w:rFonts w:cs="宋体"/>
          <w:color w:val="auto"/>
          <w:spacing w:val="6"/>
          <w:sz w:val="21"/>
          <w:szCs w:val="21"/>
          <w:highlight w:val="none"/>
          <w:u w:val="single"/>
        </w:rPr>
        <w:t xml:space="preserve">           </w:t>
      </w:r>
      <w:r>
        <w:rPr>
          <w:rFonts w:hint="eastAsia" w:cs="宋体"/>
          <w:color w:val="auto"/>
          <w:spacing w:val="6"/>
          <w:sz w:val="21"/>
          <w:szCs w:val="21"/>
          <w:highlight w:val="none"/>
        </w:rPr>
        <w:t>（编号：</w:t>
      </w:r>
      <w:r>
        <w:rPr>
          <w:rFonts w:cs="宋体"/>
          <w:color w:val="auto"/>
          <w:spacing w:val="6"/>
          <w:sz w:val="21"/>
          <w:szCs w:val="21"/>
          <w:highlight w:val="none"/>
          <w:u w:val="single"/>
        </w:rPr>
        <w:t xml:space="preserve">     </w:t>
      </w:r>
      <w:r>
        <w:rPr>
          <w:rFonts w:hint="eastAsia" w:cs="宋体"/>
          <w:color w:val="auto"/>
          <w:spacing w:val="6"/>
          <w:sz w:val="21"/>
          <w:szCs w:val="21"/>
          <w:highlight w:val="none"/>
        </w:rPr>
        <w:t>）政府采购活动，现就有关公平竞争事项郑重声明如下：</w:t>
      </w:r>
      <w:r>
        <w:rPr>
          <w:rFonts w:cs="宋体"/>
          <w:color w:val="auto"/>
          <w:spacing w:val="6"/>
          <w:sz w:val="21"/>
          <w:szCs w:val="21"/>
          <w:highlight w:val="none"/>
        </w:rPr>
        <w:t xml:space="preserve"> </w:t>
      </w:r>
    </w:p>
    <w:p w14:paraId="7A9FBC4C">
      <w:pPr>
        <w:pStyle w:val="64"/>
        <w:widowControl/>
        <w:numPr>
          <w:ilvl w:val="0"/>
          <w:numId w:val="16"/>
        </w:numPr>
        <w:snapToGrid w:val="0"/>
        <w:spacing w:line="500" w:lineRule="exact"/>
        <w:ind w:firstLine="396" w:firstLineChars="189"/>
        <w:rPr>
          <w:rFonts w:ascii="宋体" w:cs="宋体"/>
          <w:color w:val="auto"/>
          <w:kern w:val="0"/>
          <w:szCs w:val="21"/>
          <w:highlight w:val="none"/>
        </w:rPr>
      </w:pPr>
      <w:r>
        <w:rPr>
          <w:rFonts w:hint="eastAsia" w:ascii="宋体" w:hAnsi="宋体" w:cs="宋体"/>
          <w:color w:val="auto"/>
          <w:kern w:val="0"/>
          <w:szCs w:val="21"/>
          <w:highlight w:val="none"/>
        </w:rPr>
        <w:t>本单位与采购人之间</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□不存在利害关系</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□存在下列利害关系</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CB7199E">
      <w:pPr>
        <w:pStyle w:val="64"/>
        <w:widowControl/>
        <w:snapToGrid w:val="0"/>
        <w:spacing w:line="500" w:lineRule="exact"/>
        <w:rPr>
          <w:rFonts w:ascii="宋体" w:cs="宋体"/>
          <w:color w:val="auto"/>
          <w:kern w:val="0"/>
          <w:szCs w:val="21"/>
          <w:highlight w:val="none"/>
        </w:rPr>
      </w:pPr>
      <w:r>
        <w:rPr>
          <w:rFonts w:ascii="宋体" w:hAnsi="宋体" w:cs="宋体"/>
          <w:color w:val="auto"/>
          <w:kern w:val="0"/>
          <w:szCs w:val="21"/>
          <w:highlight w:val="none"/>
        </w:rPr>
        <w:t xml:space="preserve">  A.</w:t>
      </w:r>
      <w:r>
        <w:rPr>
          <w:rFonts w:hint="eastAsia" w:ascii="宋体" w:hAnsi="宋体" w:cs="宋体"/>
          <w:color w:val="auto"/>
          <w:kern w:val="0"/>
          <w:szCs w:val="21"/>
          <w:highlight w:val="none"/>
        </w:rPr>
        <w:t>投资关系</w:t>
      </w:r>
      <w:r>
        <w:rPr>
          <w:rFonts w:ascii="宋体" w:hAnsi="宋体" w:cs="宋体"/>
          <w:color w:val="auto"/>
          <w:kern w:val="0"/>
          <w:szCs w:val="21"/>
          <w:highlight w:val="none"/>
        </w:rPr>
        <w:t xml:space="preserve">    B.</w:t>
      </w:r>
      <w:r>
        <w:rPr>
          <w:rFonts w:hint="eastAsia" w:ascii="宋体" w:hAnsi="宋体" w:cs="宋体"/>
          <w:color w:val="auto"/>
          <w:kern w:val="0"/>
          <w:szCs w:val="21"/>
          <w:highlight w:val="none"/>
        </w:rPr>
        <w:t>行政隶属关系</w:t>
      </w:r>
      <w:r>
        <w:rPr>
          <w:rFonts w:ascii="宋体" w:hAnsi="宋体" w:cs="宋体"/>
          <w:color w:val="auto"/>
          <w:kern w:val="0"/>
          <w:szCs w:val="21"/>
          <w:highlight w:val="none"/>
        </w:rPr>
        <w:t xml:space="preserve">    C.</w:t>
      </w:r>
      <w:r>
        <w:rPr>
          <w:rFonts w:hint="eastAsia" w:ascii="宋体" w:hAnsi="宋体" w:cs="宋体"/>
          <w:color w:val="auto"/>
          <w:kern w:val="0"/>
          <w:szCs w:val="21"/>
          <w:highlight w:val="none"/>
        </w:rPr>
        <w:t>业务指导关系</w:t>
      </w:r>
    </w:p>
    <w:p w14:paraId="391A13D2">
      <w:pPr>
        <w:pStyle w:val="64"/>
        <w:widowControl/>
        <w:snapToGrid w:val="0"/>
        <w:spacing w:line="500" w:lineRule="exact"/>
        <w:rPr>
          <w:rFonts w:ascii="宋体" w:cs="宋体"/>
          <w:color w:val="auto"/>
          <w:kern w:val="0"/>
          <w:szCs w:val="21"/>
          <w:highlight w:val="none"/>
        </w:rPr>
      </w:pPr>
      <w:r>
        <w:rPr>
          <w:rFonts w:ascii="宋体" w:hAnsi="宋体" w:cs="宋体"/>
          <w:color w:val="auto"/>
          <w:kern w:val="0"/>
          <w:szCs w:val="21"/>
          <w:highlight w:val="none"/>
        </w:rPr>
        <w:t xml:space="preserve">  D.</w:t>
      </w:r>
      <w:r>
        <w:rPr>
          <w:rFonts w:hint="eastAsia" w:ascii="宋体" w:hAnsi="宋体" w:cs="宋体"/>
          <w:color w:val="auto"/>
          <w:kern w:val="0"/>
          <w:szCs w:val="21"/>
          <w:highlight w:val="none"/>
        </w:rPr>
        <w:t>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利害关系</w:t>
      </w:r>
      <w:r>
        <w:rPr>
          <w:rFonts w:hint="eastAsia" w:ascii="宋体" w:hAnsi="宋体" w:cs="宋体"/>
          <w:color w:val="auto"/>
          <w:kern w:val="0"/>
          <w:szCs w:val="21"/>
          <w:highlight w:val="none"/>
          <w:u w:val="single"/>
        </w:rPr>
        <w:t>（如有，请如实说明）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102CE4D">
      <w:pPr>
        <w:pStyle w:val="64"/>
        <w:widowControl/>
        <w:snapToGrid w:val="0"/>
        <w:spacing w:line="500" w:lineRule="exact"/>
        <w:rPr>
          <w:rFonts w:ascii="宋体" w:cs="宋体"/>
          <w:color w:val="auto"/>
          <w:kern w:val="0"/>
          <w:szCs w:val="21"/>
          <w:highlight w:val="none"/>
        </w:rPr>
      </w:pPr>
      <w:r>
        <w:rPr>
          <w:rFonts w:ascii="宋体" w:hAnsi="宋体" w:cs="宋体"/>
          <w:color w:val="auto"/>
          <w:spacing w:val="6"/>
          <w:szCs w:val="21"/>
          <w:highlight w:val="none"/>
        </w:rPr>
        <w:t xml:space="preserve">  </w:t>
      </w:r>
      <w:r>
        <w:rPr>
          <w:rFonts w:hint="eastAsia" w:ascii="宋体" w:hAnsi="宋体" w:cs="宋体"/>
          <w:color w:val="auto"/>
          <w:spacing w:val="6"/>
          <w:szCs w:val="21"/>
          <w:highlight w:val="none"/>
        </w:rPr>
        <w:t>二、</w:t>
      </w:r>
      <w:r>
        <w:rPr>
          <w:rFonts w:hint="eastAsia" w:ascii="宋体" w:hAnsi="宋体" w:cs="宋体"/>
          <w:color w:val="auto"/>
          <w:kern w:val="0"/>
          <w:szCs w:val="21"/>
          <w:highlight w:val="none"/>
        </w:rPr>
        <w:t>现已清楚知道参加本项目采购活动的其他所有供应商名称，本单位</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□与其他所有供应商之间均不存在利害关系</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（供应商名称）</w:t>
      </w:r>
      <w:r>
        <w:rPr>
          <w:rFonts w:hint="eastAsia"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3EBD704">
      <w:pPr>
        <w:pStyle w:val="63"/>
        <w:snapToGrid w:val="0"/>
        <w:spacing w:line="500" w:lineRule="exact"/>
        <w:rPr>
          <w:rFonts w:hint="eastAsia" w:cs="宋体"/>
          <w:color w:val="auto"/>
          <w:kern w:val="0"/>
          <w:sz w:val="21"/>
          <w:szCs w:val="21"/>
          <w:highlight w:val="none"/>
        </w:rPr>
      </w:pPr>
      <w:r>
        <w:rPr>
          <w:rFonts w:cs="宋体"/>
          <w:color w:val="auto"/>
          <w:kern w:val="0"/>
          <w:sz w:val="21"/>
          <w:szCs w:val="21"/>
          <w:highlight w:val="none"/>
        </w:rPr>
        <w:t xml:space="preserve">  A.</w:t>
      </w:r>
      <w:r>
        <w:rPr>
          <w:rFonts w:hint="eastAsia" w:cs="宋体"/>
          <w:color w:val="auto"/>
          <w:kern w:val="0"/>
          <w:sz w:val="21"/>
          <w:szCs w:val="21"/>
          <w:highlight w:val="none"/>
        </w:rPr>
        <w:t>法定代表人或负责人或实际控制人是同一人</w:t>
      </w:r>
    </w:p>
    <w:p w14:paraId="0C3BCCBE">
      <w:pPr>
        <w:pStyle w:val="63"/>
        <w:snapToGrid w:val="0"/>
        <w:spacing w:line="500" w:lineRule="exact"/>
        <w:rPr>
          <w:rFonts w:hint="eastAsia" w:cs="宋体"/>
          <w:color w:val="auto"/>
          <w:spacing w:val="6"/>
          <w:sz w:val="21"/>
          <w:szCs w:val="21"/>
          <w:highlight w:val="none"/>
        </w:rPr>
      </w:pPr>
      <w:r>
        <w:rPr>
          <w:rFonts w:cs="宋体"/>
          <w:color w:val="auto"/>
          <w:kern w:val="0"/>
          <w:sz w:val="21"/>
          <w:szCs w:val="21"/>
          <w:highlight w:val="none"/>
        </w:rPr>
        <w:t xml:space="preserve">  B.</w:t>
      </w:r>
      <w:r>
        <w:rPr>
          <w:rFonts w:hint="eastAsia" w:cs="宋体"/>
          <w:color w:val="auto"/>
          <w:kern w:val="0"/>
          <w:sz w:val="21"/>
          <w:szCs w:val="21"/>
          <w:highlight w:val="none"/>
        </w:rPr>
        <w:t>法定代表人或负责人或实际控制人是夫妻关系</w:t>
      </w:r>
    </w:p>
    <w:p w14:paraId="67F848F0">
      <w:pPr>
        <w:pStyle w:val="63"/>
        <w:snapToGrid w:val="0"/>
        <w:spacing w:line="500" w:lineRule="exact"/>
        <w:rPr>
          <w:rFonts w:hint="eastAsia" w:cs="宋体"/>
          <w:color w:val="auto"/>
          <w:spacing w:val="6"/>
          <w:sz w:val="21"/>
          <w:szCs w:val="21"/>
          <w:highlight w:val="none"/>
        </w:rPr>
      </w:pPr>
      <w:r>
        <w:rPr>
          <w:rFonts w:cs="宋体"/>
          <w:color w:val="auto"/>
          <w:kern w:val="0"/>
          <w:sz w:val="21"/>
          <w:szCs w:val="21"/>
          <w:highlight w:val="none"/>
        </w:rPr>
        <w:t xml:space="preserve">  C.</w:t>
      </w:r>
      <w:r>
        <w:rPr>
          <w:rFonts w:hint="eastAsia" w:cs="宋体"/>
          <w:color w:val="auto"/>
          <w:kern w:val="0"/>
          <w:sz w:val="21"/>
          <w:szCs w:val="21"/>
          <w:highlight w:val="none"/>
        </w:rPr>
        <w:t>法定代表人或负责人或实际控制人是直系血亲关系</w:t>
      </w:r>
    </w:p>
    <w:p w14:paraId="713BF95D">
      <w:pPr>
        <w:pStyle w:val="63"/>
        <w:snapToGrid w:val="0"/>
        <w:spacing w:line="500" w:lineRule="exact"/>
        <w:rPr>
          <w:rFonts w:hint="eastAsia" w:cs="宋体"/>
          <w:color w:val="auto"/>
          <w:spacing w:val="6"/>
          <w:sz w:val="21"/>
          <w:szCs w:val="21"/>
          <w:highlight w:val="none"/>
        </w:rPr>
      </w:pPr>
      <w:r>
        <w:rPr>
          <w:rFonts w:cs="宋体"/>
          <w:color w:val="auto"/>
          <w:kern w:val="0"/>
          <w:sz w:val="21"/>
          <w:szCs w:val="21"/>
          <w:highlight w:val="none"/>
        </w:rPr>
        <w:t xml:space="preserve">  D.</w:t>
      </w:r>
      <w:r>
        <w:rPr>
          <w:rFonts w:hint="eastAsia" w:cs="宋体"/>
          <w:color w:val="auto"/>
          <w:kern w:val="0"/>
          <w:sz w:val="21"/>
          <w:szCs w:val="21"/>
          <w:highlight w:val="none"/>
        </w:rPr>
        <w:t>法定代表人或负责人或实际控制人存在三代以内旁系血亲关系</w:t>
      </w:r>
    </w:p>
    <w:p w14:paraId="0A997C0B">
      <w:pPr>
        <w:pStyle w:val="63"/>
        <w:snapToGrid w:val="0"/>
        <w:spacing w:line="500" w:lineRule="exact"/>
        <w:rPr>
          <w:rFonts w:hint="eastAsia" w:cs="宋体"/>
          <w:color w:val="auto"/>
          <w:kern w:val="0"/>
          <w:sz w:val="21"/>
          <w:szCs w:val="21"/>
          <w:highlight w:val="none"/>
        </w:rPr>
      </w:pPr>
      <w:r>
        <w:rPr>
          <w:rFonts w:cs="宋体"/>
          <w:color w:val="auto"/>
          <w:kern w:val="0"/>
          <w:sz w:val="21"/>
          <w:szCs w:val="21"/>
          <w:highlight w:val="none"/>
        </w:rPr>
        <w:t xml:space="preserve">  E.</w:t>
      </w:r>
      <w:r>
        <w:rPr>
          <w:rFonts w:hint="eastAsia" w:cs="宋体"/>
          <w:color w:val="auto"/>
          <w:kern w:val="0"/>
          <w:sz w:val="21"/>
          <w:szCs w:val="21"/>
          <w:highlight w:val="none"/>
        </w:rPr>
        <w:t>法定代表人或负责人或实际控制人存在近姻亲关系</w:t>
      </w:r>
    </w:p>
    <w:p w14:paraId="51339E7E">
      <w:pPr>
        <w:pStyle w:val="63"/>
        <w:snapToGrid w:val="0"/>
        <w:spacing w:line="500" w:lineRule="exact"/>
        <w:rPr>
          <w:rFonts w:hint="eastAsia" w:cs="宋体"/>
          <w:color w:val="auto"/>
          <w:kern w:val="0"/>
          <w:sz w:val="21"/>
          <w:szCs w:val="21"/>
          <w:highlight w:val="none"/>
        </w:rPr>
      </w:pPr>
      <w:r>
        <w:rPr>
          <w:rFonts w:cs="宋体"/>
          <w:color w:val="auto"/>
          <w:kern w:val="0"/>
          <w:sz w:val="21"/>
          <w:szCs w:val="21"/>
          <w:highlight w:val="none"/>
        </w:rPr>
        <w:t xml:space="preserve">  F.</w:t>
      </w:r>
      <w:r>
        <w:rPr>
          <w:rFonts w:hint="eastAsia" w:cs="宋体"/>
          <w:color w:val="auto"/>
          <w:kern w:val="0"/>
          <w:sz w:val="21"/>
          <w:szCs w:val="21"/>
          <w:highlight w:val="none"/>
        </w:rPr>
        <w:t>法定代表人或负责人或实际控制人存在股份控制或实际控制关系</w:t>
      </w:r>
    </w:p>
    <w:p w14:paraId="1699B971">
      <w:pPr>
        <w:pStyle w:val="63"/>
        <w:snapToGrid w:val="0"/>
        <w:spacing w:line="500" w:lineRule="exact"/>
        <w:outlineLvl w:val="0"/>
        <w:rPr>
          <w:rFonts w:hint="eastAsia" w:cs="宋体"/>
          <w:color w:val="auto"/>
          <w:kern w:val="0"/>
          <w:sz w:val="21"/>
          <w:szCs w:val="21"/>
          <w:highlight w:val="none"/>
        </w:rPr>
      </w:pPr>
      <w:r>
        <w:rPr>
          <w:rFonts w:cs="宋体"/>
          <w:color w:val="auto"/>
          <w:kern w:val="0"/>
          <w:sz w:val="21"/>
          <w:szCs w:val="21"/>
          <w:highlight w:val="none"/>
        </w:rPr>
        <w:t xml:space="preserve">  </w:t>
      </w:r>
      <w:bookmarkStart w:id="151" w:name="_Toc1661"/>
      <w:bookmarkStart w:id="152" w:name="_Toc4469"/>
      <w:r>
        <w:rPr>
          <w:rFonts w:cs="宋体"/>
          <w:color w:val="auto"/>
          <w:kern w:val="0"/>
          <w:sz w:val="21"/>
          <w:szCs w:val="21"/>
          <w:highlight w:val="none"/>
        </w:rPr>
        <w:t>G.</w:t>
      </w:r>
      <w:r>
        <w:rPr>
          <w:rFonts w:hint="eastAsia" w:cs="宋体"/>
          <w:color w:val="auto"/>
          <w:kern w:val="0"/>
          <w:sz w:val="21"/>
          <w:szCs w:val="21"/>
          <w:highlight w:val="none"/>
        </w:rPr>
        <w:t>存在共同直接或间接投资设立子公司、联营企业和合营企业情况</w:t>
      </w:r>
      <w:bookmarkEnd w:id="151"/>
      <w:bookmarkEnd w:id="152"/>
    </w:p>
    <w:p w14:paraId="1F712396">
      <w:pPr>
        <w:pStyle w:val="63"/>
        <w:snapToGrid w:val="0"/>
        <w:spacing w:line="500" w:lineRule="exact"/>
        <w:rPr>
          <w:rFonts w:hint="eastAsia" w:cs="宋体"/>
          <w:color w:val="auto"/>
          <w:sz w:val="21"/>
          <w:szCs w:val="21"/>
          <w:highlight w:val="none"/>
        </w:rPr>
      </w:pPr>
      <w:r>
        <w:rPr>
          <w:rFonts w:cs="宋体"/>
          <w:color w:val="auto"/>
          <w:kern w:val="0"/>
          <w:sz w:val="21"/>
          <w:szCs w:val="21"/>
          <w:highlight w:val="none"/>
        </w:rPr>
        <w:t xml:space="preserve">  H.</w:t>
      </w:r>
      <w:r>
        <w:rPr>
          <w:rFonts w:hint="eastAsia" w:cs="宋体"/>
          <w:color w:val="auto"/>
          <w:kern w:val="0"/>
          <w:sz w:val="21"/>
          <w:szCs w:val="21"/>
          <w:highlight w:val="none"/>
        </w:rPr>
        <w:t>存在分级代理或代销关系、同一生产制造商关系、</w:t>
      </w:r>
      <w:r>
        <w:rPr>
          <w:rFonts w:hint="eastAsia" w:cs="宋体"/>
          <w:color w:val="auto"/>
          <w:sz w:val="21"/>
          <w:szCs w:val="21"/>
          <w:highlight w:val="none"/>
        </w:rPr>
        <w:t>管理关系、重要业务（占主营业务收入</w:t>
      </w:r>
      <w:r>
        <w:rPr>
          <w:rFonts w:cs="宋体"/>
          <w:color w:val="auto"/>
          <w:sz w:val="21"/>
          <w:szCs w:val="21"/>
          <w:highlight w:val="none"/>
        </w:rPr>
        <w:t>50%</w:t>
      </w:r>
      <w:r>
        <w:rPr>
          <w:rFonts w:hint="eastAsia" w:cs="宋体"/>
          <w:color w:val="auto"/>
          <w:sz w:val="21"/>
          <w:szCs w:val="21"/>
          <w:highlight w:val="none"/>
        </w:rPr>
        <w:t>以上）或重要财务往来关系（如融资）等其他实质性控制关系</w:t>
      </w:r>
    </w:p>
    <w:p w14:paraId="3DB30D07">
      <w:pPr>
        <w:pStyle w:val="63"/>
        <w:snapToGrid w:val="0"/>
        <w:spacing w:line="500" w:lineRule="exact"/>
        <w:rPr>
          <w:rFonts w:hint="eastAsia" w:cs="宋体"/>
          <w:color w:val="auto"/>
          <w:spacing w:val="6"/>
          <w:sz w:val="21"/>
          <w:szCs w:val="21"/>
          <w:highlight w:val="none"/>
        </w:rPr>
      </w:pPr>
      <w:r>
        <w:rPr>
          <w:rFonts w:cs="宋体"/>
          <w:color w:val="auto"/>
          <w:sz w:val="21"/>
          <w:szCs w:val="21"/>
          <w:highlight w:val="none"/>
        </w:rPr>
        <w:t xml:space="preserve">  I</w:t>
      </w:r>
      <w:r>
        <w:rPr>
          <w:rFonts w:cs="宋体"/>
          <w:color w:val="auto"/>
          <w:kern w:val="0"/>
          <w:sz w:val="21"/>
          <w:szCs w:val="21"/>
          <w:highlight w:val="none"/>
        </w:rPr>
        <w:t>.</w:t>
      </w:r>
      <w:r>
        <w:rPr>
          <w:rFonts w:hint="eastAsia" w:cs="宋体"/>
          <w:color w:val="auto"/>
          <w:sz w:val="21"/>
          <w:szCs w:val="21"/>
          <w:highlight w:val="none"/>
        </w:rPr>
        <w:t>其他利害关系情况</w:t>
      </w:r>
      <w:r>
        <w:rPr>
          <w:rFonts w:cs="宋体"/>
          <w:color w:val="auto"/>
          <w:sz w:val="21"/>
          <w:szCs w:val="21"/>
          <w:highlight w:val="none"/>
          <w:u w:val="single"/>
        </w:rPr>
        <w:t xml:space="preserve">                              </w:t>
      </w:r>
      <w:r>
        <w:rPr>
          <w:rFonts w:hint="eastAsia" w:cs="宋体"/>
          <w:color w:val="auto"/>
          <w:kern w:val="0"/>
          <w:sz w:val="21"/>
          <w:szCs w:val="21"/>
          <w:highlight w:val="none"/>
        </w:rPr>
        <w:t>。</w:t>
      </w:r>
    </w:p>
    <w:p w14:paraId="2A5F8CA6">
      <w:pPr>
        <w:pStyle w:val="64"/>
        <w:widowControl/>
        <w:numPr>
          <w:ilvl w:val="0"/>
          <w:numId w:val="17"/>
        </w:numPr>
        <w:snapToGrid w:val="0"/>
        <w:spacing w:line="500" w:lineRule="exact"/>
        <w:ind w:firstLine="396" w:firstLineChars="189"/>
        <w:rPr>
          <w:rFonts w:asci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5FFA564E">
      <w:pPr>
        <w:pStyle w:val="64"/>
        <w:widowControl/>
        <w:numPr>
          <w:ilvl w:val="0"/>
          <w:numId w:val="17"/>
        </w:numPr>
        <w:snapToGrid w:val="0"/>
        <w:spacing w:line="500" w:lineRule="exact"/>
        <w:ind w:firstLine="396" w:firstLineChars="189"/>
        <w:rPr>
          <w:rFonts w:ascii="宋体" w:cs="宋体"/>
          <w:color w:val="auto"/>
          <w:kern w:val="0"/>
          <w:szCs w:val="21"/>
          <w:highlight w:val="none"/>
        </w:rPr>
      </w:pPr>
      <w:r>
        <w:rPr>
          <w:rFonts w:hint="eastAsia" w:ascii="宋体" w:hAnsi="宋体" w:cs="宋体"/>
          <w:color w:val="auto"/>
          <w:kern w:val="0"/>
          <w:szCs w:val="21"/>
          <w:highlight w:val="none"/>
          <w:u w:val="single"/>
        </w:rPr>
        <w:t>我发现</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14:paraId="00C30463">
      <w:pPr>
        <w:pStyle w:val="63"/>
        <w:snapToGrid w:val="0"/>
        <w:spacing w:line="500" w:lineRule="exact"/>
        <w:rPr>
          <w:rFonts w:hint="eastAsia" w:cs="宋体"/>
          <w:color w:val="auto"/>
          <w:sz w:val="21"/>
          <w:szCs w:val="21"/>
          <w:highlight w:val="none"/>
        </w:rPr>
      </w:pPr>
      <w:r>
        <w:rPr>
          <w:rFonts w:cs="宋体"/>
          <w:color w:val="auto"/>
          <w:sz w:val="21"/>
          <w:szCs w:val="21"/>
          <w:highlight w:val="none"/>
        </w:rPr>
        <w:t xml:space="preserve">                                        </w:t>
      </w:r>
      <w:r>
        <w:rPr>
          <w:rFonts w:hint="eastAsia" w:cs="宋体"/>
          <w:color w:val="auto"/>
          <w:sz w:val="21"/>
          <w:szCs w:val="21"/>
          <w:highlight w:val="none"/>
        </w:rPr>
        <w:t>供应商代表签名：</w:t>
      </w:r>
    </w:p>
    <w:p w14:paraId="663CD4DA">
      <w:pPr>
        <w:spacing w:after="156" w:afterLines="50" w:line="360" w:lineRule="auto"/>
        <w:jc w:val="center"/>
        <w:rPr>
          <w:b/>
          <w:bCs/>
          <w:color w:val="auto"/>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14:paraId="243278EB">
      <w:pPr>
        <w:pStyle w:val="9"/>
        <w:spacing w:after="0"/>
        <w:rPr>
          <w:color w:val="auto"/>
          <w:sz w:val="18"/>
          <w:szCs w:val="18"/>
          <w:highlight w:val="none"/>
        </w:rPr>
      </w:pPr>
      <w:r>
        <w:rPr>
          <w:rFonts w:hint="eastAsia"/>
          <w:color w:val="auto"/>
          <w:sz w:val="18"/>
          <w:szCs w:val="18"/>
          <w:highlight w:val="none"/>
        </w:rPr>
        <w:t>注：</w:t>
      </w:r>
      <w:r>
        <w:rPr>
          <w:color w:val="auto"/>
          <w:sz w:val="18"/>
          <w:szCs w:val="18"/>
          <w:highlight w:val="none"/>
        </w:rPr>
        <w:t>1</w:t>
      </w:r>
      <w:r>
        <w:rPr>
          <w:rFonts w:hint="eastAsia"/>
          <w:color w:val="auto"/>
          <w:sz w:val="18"/>
          <w:szCs w:val="18"/>
          <w:highlight w:val="none"/>
        </w:rPr>
        <w:t>、本声明书非响应文件的组成内容，无须在响应文件中提供。</w:t>
      </w:r>
    </w:p>
    <w:p w14:paraId="181A746B">
      <w:pPr>
        <w:pStyle w:val="9"/>
        <w:spacing w:after="0"/>
        <w:rPr>
          <w:color w:val="auto"/>
          <w:highlight w:val="none"/>
        </w:rPr>
      </w:pPr>
      <w:r>
        <w:rPr>
          <w:color w:val="auto"/>
          <w:sz w:val="18"/>
          <w:szCs w:val="18"/>
          <w:highlight w:val="none"/>
        </w:rPr>
        <w:t xml:space="preserve">    2</w:t>
      </w:r>
      <w:r>
        <w:rPr>
          <w:rFonts w:hint="eastAsia"/>
          <w:color w:val="auto"/>
          <w:sz w:val="18"/>
          <w:szCs w:val="18"/>
          <w:highlight w:val="none"/>
        </w:rPr>
        <w:t>、各供应商提前打印本表，待标书件解密结束后，签署完毕后上传至政采云平台。上传途径由采购组织机构发起在线（询标）通知后，供应商按时上传递交。</w:t>
      </w:r>
      <w:bookmarkEnd w:id="25"/>
      <w:bookmarkEnd w:id="1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5DAF6">
    <w:pPr>
      <w:pStyle w:val="18"/>
      <w:jc w:val="right"/>
      <w:rPr>
        <w:rFonts w:ascii="宋体" w:cs="宋体"/>
      </w:rPr>
    </w:pPr>
    <w:r>
      <w:rPr>
        <w:rFonts w:ascii="宋体" w:hAnsi="宋体" w:cs="宋体"/>
      </w:rPr>
      <w:fldChar w:fldCharType="begin"/>
    </w:r>
    <w:r>
      <w:rPr>
        <w:rFonts w:ascii="宋体" w:hAnsi="宋体" w:cs="宋体"/>
      </w:rPr>
      <w:instrText xml:space="preserve">PAGE   \* MERGEFORMAT</w:instrText>
    </w:r>
    <w:r>
      <w:rPr>
        <w:rFonts w:ascii="宋体" w:hAnsi="宋体" w:cs="宋体"/>
      </w:rPr>
      <w:fldChar w:fldCharType="separate"/>
    </w:r>
    <w:r>
      <w:rPr>
        <w:rFonts w:ascii="宋体" w:hAnsi="宋体" w:cs="宋体"/>
        <w:lang w:val="zh-CN"/>
      </w:rPr>
      <w:t>10</w:t>
    </w:r>
    <w:r>
      <w:rPr>
        <w:rFonts w:ascii="宋体" w:hAnsi="宋体" w:cs="宋体"/>
      </w:rPr>
      <w:fldChar w:fldCharType="end"/>
    </w:r>
  </w:p>
  <w:p w14:paraId="04F774E3">
    <w:pPr>
      <w:pStyle w:val="18"/>
      <w:pBdr>
        <w:top w:val="single" w:color="auto" w:sz="4" w:space="1"/>
      </w:pBdr>
      <w:ind w:right="360"/>
      <w:rPr>
        <w:rFonts w:ascii="宋体" w:cs="宋体"/>
        <w:color w:val="000099"/>
        <w:sz w:val="15"/>
        <w:szCs w:val="15"/>
      </w:rPr>
    </w:pPr>
    <w:r>
      <w:rPr>
        <w:rFonts w:hint="eastAsia"/>
        <w:color w:val="000099"/>
        <w:sz w:val="15"/>
        <w:szCs w:val="15"/>
      </w:rPr>
      <w:t>浙江聚信工程管理有限公司</w:t>
    </w:r>
    <w:r>
      <w:rPr>
        <w:rFonts w:hint="eastAsia" w:ascii="宋体" w:hAnsi="宋体" w:cs="宋体"/>
        <w:color w:val="000099"/>
        <w:sz w:val="15"/>
        <w:szCs w:val="15"/>
      </w:rPr>
      <w:t>（仙居县光明西路</w:t>
    </w:r>
    <w:r>
      <w:rPr>
        <w:rFonts w:ascii="宋体" w:hAnsi="宋体" w:cs="宋体"/>
        <w:color w:val="000099"/>
        <w:sz w:val="15"/>
        <w:szCs w:val="15"/>
      </w:rPr>
      <w:t>434</w:t>
    </w:r>
    <w:r>
      <w:rPr>
        <w:rFonts w:hint="eastAsia" w:ascii="宋体" w:hAnsi="宋体" w:cs="宋体"/>
        <w:color w:val="000099"/>
        <w:sz w:val="15"/>
        <w:szCs w:val="15"/>
      </w:rPr>
      <w:t>号</w:t>
    </w:r>
    <w:r>
      <w:rPr>
        <w:rFonts w:ascii="宋体" w:hAnsi="宋体" w:cs="宋体"/>
        <w:color w:val="000099"/>
        <w:sz w:val="15"/>
        <w:szCs w:val="15"/>
      </w:rPr>
      <w:t xml:space="preserve"> </w:t>
    </w:r>
    <w:r>
      <w:rPr>
        <w:rFonts w:hint="eastAsia" w:ascii="宋体" w:hAnsi="宋体" w:cs="宋体"/>
        <w:color w:val="000099"/>
        <w:sz w:val="15"/>
        <w:szCs w:val="15"/>
      </w:rPr>
      <w:t>电话：</w:t>
    </w:r>
    <w:r>
      <w:rPr>
        <w:rFonts w:ascii="宋体" w:hAnsi="宋体" w:cs="宋体"/>
        <w:color w:val="000099"/>
        <w:sz w:val="15"/>
        <w:szCs w:val="15"/>
      </w:rPr>
      <w:t>0576-87785155</w:t>
    </w:r>
    <w:r>
      <w:rPr>
        <w:rFonts w:hint="eastAsia" w:ascii="宋体" w:hAnsi="宋体" w:cs="宋体"/>
        <w:color w:val="000099"/>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FE8C">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5BF2">
    <w:pPr>
      <w:pStyle w:val="18"/>
      <w:jc w:val="right"/>
      <w:rPr>
        <w:rFonts w:ascii="宋体" w:cs="宋体"/>
      </w:rPr>
    </w:pPr>
    <w:r>
      <w:rPr>
        <w:rFonts w:ascii="宋体" w:hAnsi="宋体" w:cs="宋体"/>
      </w:rPr>
      <w:fldChar w:fldCharType="begin"/>
    </w:r>
    <w:r>
      <w:rPr>
        <w:rFonts w:ascii="宋体" w:hAnsi="宋体" w:cs="宋体"/>
      </w:rPr>
      <w:instrText xml:space="preserve">PAGE   \* MERGEFORMAT</w:instrText>
    </w:r>
    <w:r>
      <w:rPr>
        <w:rFonts w:ascii="宋体" w:hAnsi="宋体" w:cs="宋体"/>
      </w:rPr>
      <w:fldChar w:fldCharType="separate"/>
    </w:r>
    <w:r>
      <w:rPr>
        <w:rFonts w:ascii="宋体" w:hAnsi="宋体" w:cs="宋体"/>
        <w:lang w:val="zh-CN"/>
      </w:rPr>
      <w:t>10</w:t>
    </w:r>
    <w:r>
      <w:rPr>
        <w:rFonts w:ascii="宋体" w:hAnsi="宋体" w:cs="宋体"/>
      </w:rPr>
      <w:fldChar w:fldCharType="end"/>
    </w:r>
  </w:p>
  <w:p w14:paraId="4EF2223E">
    <w:pPr>
      <w:pStyle w:val="18"/>
      <w:pBdr>
        <w:top w:val="single" w:color="auto" w:sz="4" w:space="1"/>
      </w:pBdr>
      <w:ind w:right="360"/>
      <w:rPr>
        <w:rFonts w:ascii="宋体" w:cs="宋体"/>
        <w:color w:val="000099"/>
        <w:sz w:val="15"/>
        <w:szCs w:val="15"/>
      </w:rPr>
    </w:pPr>
    <w:r>
      <w:rPr>
        <w:rFonts w:hint="eastAsia"/>
        <w:color w:val="000099"/>
        <w:sz w:val="15"/>
        <w:szCs w:val="15"/>
      </w:rPr>
      <w:t>浙江聚信工程管理有限公司</w:t>
    </w:r>
    <w:r>
      <w:rPr>
        <w:rFonts w:hint="eastAsia" w:ascii="宋体" w:hAnsi="宋体" w:cs="宋体"/>
        <w:color w:val="000099"/>
        <w:sz w:val="15"/>
        <w:szCs w:val="15"/>
      </w:rPr>
      <w:t>（仙居县光明西路</w:t>
    </w:r>
    <w:r>
      <w:rPr>
        <w:rFonts w:ascii="宋体" w:hAnsi="宋体" w:cs="宋体"/>
        <w:color w:val="000099"/>
        <w:sz w:val="15"/>
        <w:szCs w:val="15"/>
      </w:rPr>
      <w:t>434</w:t>
    </w:r>
    <w:r>
      <w:rPr>
        <w:rFonts w:hint="eastAsia" w:ascii="宋体" w:hAnsi="宋体" w:cs="宋体"/>
        <w:color w:val="000099"/>
        <w:sz w:val="15"/>
        <w:szCs w:val="15"/>
      </w:rPr>
      <w:t>号</w:t>
    </w:r>
    <w:r>
      <w:rPr>
        <w:rFonts w:ascii="宋体" w:hAnsi="宋体" w:cs="宋体"/>
        <w:color w:val="000099"/>
        <w:sz w:val="15"/>
        <w:szCs w:val="15"/>
      </w:rPr>
      <w:t xml:space="preserve"> </w:t>
    </w:r>
    <w:r>
      <w:rPr>
        <w:rFonts w:hint="eastAsia" w:ascii="宋体" w:hAnsi="宋体" w:cs="宋体"/>
        <w:color w:val="000099"/>
        <w:sz w:val="15"/>
        <w:szCs w:val="15"/>
      </w:rPr>
      <w:t>电话：</w:t>
    </w:r>
    <w:r>
      <w:rPr>
        <w:rFonts w:ascii="宋体" w:hAnsi="宋体" w:cs="宋体"/>
        <w:color w:val="000099"/>
        <w:sz w:val="15"/>
        <w:szCs w:val="15"/>
      </w:rPr>
      <w:t>0576-87785155</w:t>
    </w:r>
    <w:r>
      <w:rPr>
        <w:rFonts w:hint="eastAsia" w:ascii="宋体" w:hAnsi="宋体" w:cs="宋体"/>
        <w:color w:val="000099"/>
        <w:sz w:val="15"/>
        <w:szCs w:val="1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BE79">
    <w:pPr>
      <w:pStyle w:val="22"/>
      <w:framePr w:wrap="around" w:vAnchor="text" w:hAnchor="page" w:x="5897" w:y="97"/>
      <w:rPr>
        <w:rStyle w:val="32"/>
      </w:rPr>
    </w:pPr>
    <w:r>
      <w:fldChar w:fldCharType="begin"/>
    </w:r>
    <w:r>
      <w:rPr>
        <w:rStyle w:val="32"/>
      </w:rPr>
      <w:instrText xml:space="preserve">PAGE  </w:instrText>
    </w:r>
    <w:r>
      <w:fldChar w:fldCharType="separate"/>
    </w:r>
    <w:r>
      <w:rPr>
        <w:rStyle w:val="32"/>
      </w:rPr>
      <w:t>70</w:t>
    </w:r>
    <w:r>
      <w:fldChar w:fldCharType="end"/>
    </w:r>
  </w:p>
  <w:p w14:paraId="742A6884">
    <w:pPr>
      <w:pStyle w:val="2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7855">
    <w:pPr>
      <w:pStyle w:val="18"/>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5CBB43">
                          <w:pPr>
                            <w:pStyle w:val="18"/>
                          </w:pPr>
                          <w:r>
                            <w:fldChar w:fldCharType="begin"/>
                          </w:r>
                          <w:r>
                            <w:instrText xml:space="preserve"> PAGE  \* MERGEFORMAT </w:instrText>
                          </w:r>
                          <w:r>
                            <w:fldChar w:fldCharType="separate"/>
                          </w:r>
                          <w:r>
                            <w:t>76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B5CBB43">
                    <w:pPr>
                      <w:pStyle w:val="1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3FF42">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B37A99">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DB37A9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72AC5">
    <w:pPr>
      <w:pStyle w:val="19"/>
      <w:pBdr>
        <w:bottom w:val="single" w:color="auto" w:sz="4" w:space="1"/>
      </w:pBdr>
      <w:jc w:val="right"/>
      <w:rPr>
        <w:rFonts w:ascii="宋体" w:cs="宋体"/>
      </w:rPr>
    </w:pPr>
    <w:r>
      <w:rPr>
        <w:rFonts w:hint="eastAsia" w:ascii="宋体" w:hAnsi="宋体" w:cs="宋体"/>
        <w:lang w:eastAsia="zh-CN"/>
      </w:rPr>
      <w:t>神仙居5A景区镇基础设施提升项目-游客集散中心（景区集散点）项目（重新招标）</w:t>
    </w:r>
    <w:r>
      <w:rPr>
        <w:rFonts w:ascii="宋体" w:cs="宋体"/>
      </w:rPr>
      <w:t>-</w:t>
    </w:r>
    <w:r>
      <w:rPr>
        <w:rFonts w:hint="eastAsia" w:ascii="宋体" w:hAnsi="宋体" w:cs="宋体"/>
      </w:rPr>
      <w:t>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AF47A">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0644">
    <w:pPr>
      <w:pStyle w:val="19"/>
      <w:pBdr>
        <w:bottom w:val="single" w:color="auto" w:sz="4" w:space="1"/>
      </w:pBdr>
      <w:jc w:val="right"/>
      <w:rPr>
        <w:sz w:val="18"/>
        <w:szCs w:val="18"/>
        <w:u w:val="single"/>
      </w:rPr>
    </w:pPr>
    <w:r>
      <w:rPr>
        <w:rFonts w:hint="eastAsia" w:ascii="宋体" w:cs="宋体"/>
      </w:rPr>
      <w:t>神仙居5A景区镇基础设施提升项目-游客集散中心（景区集散点）项目（重新招标）</w:t>
    </w:r>
    <w:r>
      <w:rPr>
        <w:rFonts w:ascii="宋体" w:cs="宋体"/>
      </w:rPr>
      <w:t>-</w:t>
    </w:r>
    <w:r>
      <w:rPr>
        <w:rFonts w:hint="eastAsia" w:ascii="宋体" w:hAnsi="宋体" w:cs="宋体"/>
      </w:rPr>
      <w:t>招标（采购）文件</w:t>
    </w:r>
    <w:r>
      <w:rPr>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95851"/>
    <w:multiLevelType w:val="multilevel"/>
    <w:tmpl w:val="83D95851"/>
    <w:lvl w:ilvl="0" w:tentative="0">
      <w:start w:val="1"/>
      <w:numFmt w:val="decimal"/>
      <w:suff w:val="space"/>
      <w:lvlText w:val="(%1)"/>
      <w:lvlJc w:val="left"/>
      <w:pPr>
        <w:tabs>
          <w:tab w:val="left" w:pos="0"/>
        </w:tabs>
        <w:ind w:left="425" w:hanging="425"/>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A03D974A"/>
    <w:multiLevelType w:val="multilevel"/>
    <w:tmpl w:val="A03D974A"/>
    <w:lvl w:ilvl="0" w:tentative="0">
      <w:start w:val="1"/>
      <w:numFmt w:val="decimal"/>
      <w:suff w:val="space"/>
      <w:lvlText w:val="(%1)"/>
      <w:lvlJc w:val="left"/>
      <w:pPr>
        <w:tabs>
          <w:tab w:val="left" w:pos="0"/>
        </w:tabs>
        <w:ind w:left="425" w:hanging="425"/>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A100D1F2"/>
    <w:multiLevelType w:val="singleLevel"/>
    <w:tmpl w:val="A100D1F2"/>
    <w:lvl w:ilvl="0" w:tentative="0">
      <w:start w:val="1"/>
      <w:numFmt w:val="decimal"/>
      <w:lvlText w:val="%1."/>
      <w:lvlJc w:val="left"/>
      <w:pPr>
        <w:tabs>
          <w:tab w:val="left" w:pos="312"/>
        </w:tabs>
      </w:pPr>
      <w:rPr>
        <w:rFonts w:cs="Times New Roman"/>
      </w:rPr>
    </w:lvl>
  </w:abstractNum>
  <w:abstractNum w:abstractNumId="3">
    <w:nsid w:val="A807E937"/>
    <w:multiLevelType w:val="singleLevel"/>
    <w:tmpl w:val="A807E937"/>
    <w:lvl w:ilvl="0" w:tentative="0">
      <w:start w:val="1"/>
      <w:numFmt w:val="decimal"/>
      <w:suff w:val="nothing"/>
      <w:lvlText w:val="（%1）"/>
      <w:lvlJc w:val="left"/>
      <w:rPr>
        <w:rFonts w:cs="Times New Roman"/>
      </w:rPr>
    </w:lvl>
  </w:abstractNum>
  <w:abstractNum w:abstractNumId="4">
    <w:nsid w:val="C29A69D4"/>
    <w:multiLevelType w:val="multilevel"/>
    <w:tmpl w:val="C29A69D4"/>
    <w:lvl w:ilvl="0" w:tentative="0">
      <w:start w:val="1"/>
      <w:numFmt w:val="decimal"/>
      <w:suff w:val="space"/>
      <w:lvlText w:val="%1."/>
      <w:lvlJc w:val="center"/>
      <w:pPr>
        <w:tabs>
          <w:tab w:val="left" w:pos="0"/>
        </w:tabs>
        <w:ind w:left="425" w:hanging="425"/>
      </w:pPr>
      <w:rPr>
        <w:rFonts w:hint="eastAsia" w:cs="Times New Roman"/>
      </w:rPr>
    </w:lvl>
    <w:lvl w:ilvl="1" w:tentative="0">
      <w:start w:val="1"/>
      <w:numFmt w:val="decimal"/>
      <w:suff w:val="space"/>
      <w:lvlText w:val="%1.%2"/>
      <w:lvlJc w:val="left"/>
      <w:pPr>
        <w:tabs>
          <w:tab w:val="left" w:pos="0"/>
        </w:tabs>
      </w:pPr>
      <w:rPr>
        <w:rFonts w:hint="default" w:ascii="Times New Roman" w:hAnsi="Times New Roman" w:cs="Times New Roman"/>
        <w:sz w:val="20"/>
        <w:szCs w:val="20"/>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5">
    <w:nsid w:val="DCAA9869"/>
    <w:multiLevelType w:val="singleLevel"/>
    <w:tmpl w:val="DCAA9869"/>
    <w:lvl w:ilvl="0" w:tentative="0">
      <w:start w:val="1"/>
      <w:numFmt w:val="decimal"/>
      <w:suff w:val="nothing"/>
      <w:lvlText w:val="（%1）"/>
      <w:lvlJc w:val="left"/>
      <w:rPr>
        <w:rFonts w:cs="Times New Roman"/>
      </w:rPr>
    </w:lvl>
  </w:abstractNum>
  <w:abstractNum w:abstractNumId="6">
    <w:nsid w:val="E569491F"/>
    <w:multiLevelType w:val="multilevel"/>
    <w:tmpl w:val="E569491F"/>
    <w:lvl w:ilvl="0" w:tentative="0">
      <w:start w:val="1"/>
      <w:numFmt w:val="chineseCountingThousand"/>
      <w:lvlText w:val="%1、"/>
      <w:lvlJc w:val="left"/>
      <w:pPr>
        <w:tabs>
          <w:tab w:val="left" w:pos="0"/>
        </w:tabs>
        <w:ind w:left="420" w:hanging="420"/>
      </w:pPr>
      <w:rPr>
        <w:rFonts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7">
    <w:nsid w:val="32B19C35"/>
    <w:multiLevelType w:val="singleLevel"/>
    <w:tmpl w:val="32B19C35"/>
    <w:lvl w:ilvl="0" w:tentative="0">
      <w:start w:val="1"/>
      <w:numFmt w:val="decimal"/>
      <w:suff w:val="nothing"/>
      <w:lvlText w:val="%1）"/>
      <w:lvlJc w:val="left"/>
      <w:rPr>
        <w:rFonts w:cs="Times New Roman"/>
      </w:rPr>
    </w:lvl>
  </w:abstractNum>
  <w:abstractNum w:abstractNumId="8">
    <w:nsid w:val="3E5A8E3D"/>
    <w:multiLevelType w:val="singleLevel"/>
    <w:tmpl w:val="3E5A8E3D"/>
    <w:lvl w:ilvl="0" w:tentative="0">
      <w:start w:val="2"/>
      <w:numFmt w:val="decimal"/>
      <w:suff w:val="nothing"/>
      <w:lvlText w:val="（%1）"/>
      <w:lvlJc w:val="left"/>
    </w:lvl>
  </w:abstractNum>
  <w:abstractNum w:abstractNumId="9">
    <w:nsid w:val="3EAC3C66"/>
    <w:multiLevelType w:val="singleLevel"/>
    <w:tmpl w:val="3EAC3C66"/>
    <w:lvl w:ilvl="0" w:tentative="0">
      <w:start w:val="1"/>
      <w:numFmt w:val="decimal"/>
      <w:suff w:val="nothing"/>
      <w:lvlText w:val="（%1）"/>
      <w:lvlJc w:val="left"/>
      <w:rPr>
        <w:rFonts w:cs="Times New Roman"/>
      </w:rPr>
    </w:lvl>
  </w:abstractNum>
  <w:abstractNum w:abstractNumId="10">
    <w:nsid w:val="4168066A"/>
    <w:multiLevelType w:val="singleLevel"/>
    <w:tmpl w:val="4168066A"/>
    <w:lvl w:ilvl="0" w:tentative="0">
      <w:start w:val="1"/>
      <w:numFmt w:val="chineseCounting"/>
      <w:suff w:val="nothing"/>
      <w:lvlText w:val="%1、"/>
      <w:lvlJc w:val="left"/>
      <w:pPr>
        <w:ind w:firstLine="420"/>
      </w:pPr>
      <w:rPr>
        <w:rFonts w:hint="eastAsia" w:cs="Times New Roman"/>
      </w:rPr>
    </w:lvl>
  </w:abstractNum>
  <w:abstractNum w:abstractNumId="11">
    <w:nsid w:val="54F403B5"/>
    <w:multiLevelType w:val="singleLevel"/>
    <w:tmpl w:val="54F403B5"/>
    <w:lvl w:ilvl="0" w:tentative="0">
      <w:start w:val="1"/>
      <w:numFmt w:val="chineseCounting"/>
      <w:suff w:val="nothing"/>
      <w:lvlText w:val="%1、"/>
      <w:lvlJc w:val="left"/>
      <w:rPr>
        <w:rFonts w:cs="Times New Roman"/>
      </w:rPr>
    </w:lvl>
  </w:abstractNum>
  <w:abstractNum w:abstractNumId="12">
    <w:nsid w:val="557FD3DA"/>
    <w:multiLevelType w:val="singleLevel"/>
    <w:tmpl w:val="557FD3DA"/>
    <w:lvl w:ilvl="0" w:tentative="0">
      <w:start w:val="3"/>
      <w:numFmt w:val="chineseCounting"/>
      <w:suff w:val="nothing"/>
      <w:lvlText w:val="%1、"/>
      <w:lvlJc w:val="left"/>
      <w:rPr>
        <w:rFonts w:cs="Times New Roman"/>
      </w:rPr>
    </w:lvl>
  </w:abstractNum>
  <w:abstractNum w:abstractNumId="13">
    <w:nsid w:val="5785A662"/>
    <w:multiLevelType w:val="singleLevel"/>
    <w:tmpl w:val="5785A662"/>
    <w:lvl w:ilvl="0" w:tentative="0">
      <w:start w:val="2"/>
      <w:numFmt w:val="decimal"/>
      <w:suff w:val="nothing"/>
      <w:lvlText w:val="%1."/>
      <w:lvlJc w:val="left"/>
    </w:lvl>
  </w:abstractNum>
  <w:abstractNum w:abstractNumId="14">
    <w:nsid w:val="591A6E74"/>
    <w:multiLevelType w:val="singleLevel"/>
    <w:tmpl w:val="591A6E74"/>
    <w:lvl w:ilvl="0" w:tentative="0">
      <w:start w:val="6"/>
      <w:numFmt w:val="chineseCounting"/>
      <w:suff w:val="nothing"/>
      <w:lvlText w:val="%1、"/>
      <w:lvlJc w:val="left"/>
    </w:lvl>
  </w:abstractNum>
  <w:abstractNum w:abstractNumId="15">
    <w:nsid w:val="5A205BE0"/>
    <w:multiLevelType w:val="singleLevel"/>
    <w:tmpl w:val="5A205BE0"/>
    <w:lvl w:ilvl="0" w:tentative="0">
      <w:start w:val="1"/>
      <w:numFmt w:val="decimal"/>
      <w:suff w:val="space"/>
      <w:lvlText w:val="%1."/>
      <w:lvlJc w:val="left"/>
      <w:rPr>
        <w:rFonts w:cs="Times New Roman"/>
      </w:rPr>
    </w:lvl>
  </w:abstractNum>
  <w:abstractNum w:abstractNumId="16">
    <w:nsid w:val="5AAF6F7C"/>
    <w:multiLevelType w:val="singleLevel"/>
    <w:tmpl w:val="5AAF6F7C"/>
    <w:lvl w:ilvl="0" w:tentative="0">
      <w:start w:val="1"/>
      <w:numFmt w:val="chineseCounting"/>
      <w:suff w:val="nothing"/>
      <w:lvlText w:val="%1、"/>
      <w:lvlJc w:val="left"/>
      <w:pPr>
        <w:ind w:left="420" w:firstLine="420"/>
      </w:pPr>
      <w:rPr>
        <w:rFonts w:hint="eastAsia" w:cs="Times New Roman"/>
      </w:rPr>
    </w:lvl>
  </w:abstractNum>
  <w:num w:numId="1">
    <w:abstractNumId w:val="6"/>
    <w:lvlOverride w:ilvl="0">
      <w:lvl w:ilvl="0" w:tentative="1">
        <w:start w:val="1"/>
        <w:numFmt w:val="chineseCountingThousand"/>
        <w:suff w:val="space"/>
        <w:lvlText w:val="%1、"/>
        <w:lvlJc w:val="left"/>
        <w:pPr>
          <w:ind w:left="420" w:hanging="420"/>
        </w:pPr>
        <w:rPr>
          <w:rFonts w:hint="eastAsia" w:cs="Times New Roman"/>
          <w:b/>
          <w:bCs/>
          <w:color w:val="auto"/>
        </w:rPr>
      </w:lvl>
    </w:lvlOverride>
    <w:lvlOverride w:ilvl="1">
      <w:lvl w:ilvl="1" w:tentative="1">
        <w:start w:val="1"/>
        <w:numFmt w:val="lowerLetter"/>
        <w:lvlRestart w:val="0"/>
        <w:lvlText w:val="%2)"/>
        <w:lvlJc w:val="left"/>
        <w:pPr>
          <w:ind w:left="840" w:hanging="420"/>
        </w:pPr>
        <w:rPr>
          <w:rFonts w:cs="Times New Roman"/>
        </w:rPr>
      </w:lvl>
    </w:lvlOverride>
    <w:lvlOverride w:ilvl="2">
      <w:lvl w:ilvl="2" w:tentative="1">
        <w:start w:val="1"/>
        <w:numFmt w:val="lowerRoman"/>
        <w:lvlRestart w:val="0"/>
        <w:lvlText w:val="%3."/>
        <w:lvlJc w:val="right"/>
        <w:pPr>
          <w:ind w:left="1260" w:hanging="420"/>
        </w:pPr>
        <w:rPr>
          <w:rFonts w:cs="Times New Roman"/>
        </w:rPr>
      </w:lvl>
    </w:lvlOverride>
    <w:lvlOverride w:ilvl="3">
      <w:lvl w:ilvl="3" w:tentative="1">
        <w:start w:val="1"/>
        <w:numFmt w:val="decimal"/>
        <w:lvlRestart w:val="0"/>
        <w:lvlText w:val="%4."/>
        <w:lvlJc w:val="left"/>
        <w:pPr>
          <w:ind w:left="1680" w:hanging="420"/>
        </w:pPr>
        <w:rPr>
          <w:rFonts w:cs="Times New Roman"/>
        </w:rPr>
      </w:lvl>
    </w:lvlOverride>
    <w:lvlOverride w:ilvl="4">
      <w:lvl w:ilvl="4" w:tentative="1">
        <w:start w:val="1"/>
        <w:numFmt w:val="lowerLetter"/>
        <w:lvlRestart w:val="0"/>
        <w:lvlText w:val="%5)"/>
        <w:lvlJc w:val="left"/>
        <w:pPr>
          <w:ind w:left="2100" w:hanging="420"/>
        </w:pPr>
        <w:rPr>
          <w:rFonts w:cs="Times New Roman"/>
        </w:rPr>
      </w:lvl>
    </w:lvlOverride>
    <w:lvlOverride w:ilvl="5">
      <w:lvl w:ilvl="5" w:tentative="1">
        <w:start w:val="1"/>
        <w:numFmt w:val="lowerRoman"/>
        <w:lvlRestart w:val="0"/>
        <w:lvlText w:val="%6."/>
        <w:lvlJc w:val="right"/>
        <w:pPr>
          <w:ind w:left="2520" w:hanging="420"/>
        </w:pPr>
        <w:rPr>
          <w:rFonts w:cs="Times New Roman"/>
        </w:rPr>
      </w:lvl>
    </w:lvlOverride>
    <w:lvlOverride w:ilvl="6">
      <w:lvl w:ilvl="6" w:tentative="1">
        <w:start w:val="1"/>
        <w:numFmt w:val="decimal"/>
        <w:lvlRestart w:val="0"/>
        <w:lvlText w:val="%7."/>
        <w:lvlJc w:val="left"/>
        <w:pPr>
          <w:ind w:left="2940" w:hanging="420"/>
        </w:pPr>
        <w:rPr>
          <w:rFonts w:cs="Times New Roman"/>
        </w:rPr>
      </w:lvl>
    </w:lvlOverride>
    <w:lvlOverride w:ilvl="7">
      <w:lvl w:ilvl="7" w:tentative="1">
        <w:start w:val="1"/>
        <w:numFmt w:val="lowerLetter"/>
        <w:lvlRestart w:val="0"/>
        <w:lvlText w:val="%8)"/>
        <w:lvlJc w:val="left"/>
        <w:pPr>
          <w:ind w:left="3360" w:hanging="420"/>
        </w:pPr>
        <w:rPr>
          <w:rFonts w:cs="Times New Roman"/>
        </w:rPr>
      </w:lvl>
    </w:lvlOverride>
    <w:lvlOverride w:ilvl="8">
      <w:lvl w:ilvl="8" w:tentative="1">
        <w:start w:val="1"/>
        <w:numFmt w:val="lowerRoman"/>
        <w:lvlRestart w:val="0"/>
        <w:lvlText w:val="%9."/>
        <w:lvlJc w:val="right"/>
        <w:pPr>
          <w:ind w:left="3780" w:hanging="420"/>
        </w:pPr>
        <w:rPr>
          <w:rFonts w:cs="Times New Roman"/>
        </w:rPr>
      </w:lvl>
    </w:lvlOverride>
  </w:num>
  <w:num w:numId="2">
    <w:abstractNumId w:val="2"/>
  </w:num>
  <w:num w:numId="3">
    <w:abstractNumId w:val="16"/>
  </w:num>
  <w:num w:numId="4">
    <w:abstractNumId w:val="4"/>
  </w:num>
  <w:num w:numId="5">
    <w:abstractNumId w:val="3"/>
  </w:num>
  <w:num w:numId="6">
    <w:abstractNumId w:val="7"/>
  </w:num>
  <w:num w:numId="7">
    <w:abstractNumId w:val="1"/>
  </w:num>
  <w:num w:numId="8">
    <w:abstractNumId w:val="0"/>
  </w:num>
  <w:num w:numId="9">
    <w:abstractNumId w:val="5"/>
  </w:num>
  <w:num w:numId="10">
    <w:abstractNumId w:val="9"/>
  </w:num>
  <w:num w:numId="11">
    <w:abstractNumId w:val="10"/>
  </w:num>
  <w:num w:numId="12">
    <w:abstractNumId w:val="13"/>
  </w:num>
  <w:num w:numId="13">
    <w:abstractNumId w:val="8"/>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mMGQyMmExNGQ4N2Y2YTdlYjA3Mjg5YWEyNThlMTQifQ=="/>
  </w:docVars>
  <w:rsids>
    <w:rsidRoot w:val="5A135A05"/>
    <w:rsid w:val="000F423F"/>
    <w:rsid w:val="00132B73"/>
    <w:rsid w:val="00284B6F"/>
    <w:rsid w:val="00326B80"/>
    <w:rsid w:val="004159E5"/>
    <w:rsid w:val="00721AF9"/>
    <w:rsid w:val="00726300"/>
    <w:rsid w:val="007613AC"/>
    <w:rsid w:val="00872CAB"/>
    <w:rsid w:val="009539AD"/>
    <w:rsid w:val="009611E3"/>
    <w:rsid w:val="00997D5A"/>
    <w:rsid w:val="00A6541C"/>
    <w:rsid w:val="00AA7D4D"/>
    <w:rsid w:val="00B0425F"/>
    <w:rsid w:val="00CA7CBA"/>
    <w:rsid w:val="00CD09E6"/>
    <w:rsid w:val="00D04788"/>
    <w:rsid w:val="00DF2434"/>
    <w:rsid w:val="00FC6C5A"/>
    <w:rsid w:val="00FD4DF5"/>
    <w:rsid w:val="01395070"/>
    <w:rsid w:val="01766C70"/>
    <w:rsid w:val="01A44C8B"/>
    <w:rsid w:val="028C4B22"/>
    <w:rsid w:val="02EB2811"/>
    <w:rsid w:val="02F0175E"/>
    <w:rsid w:val="034076C4"/>
    <w:rsid w:val="034735E2"/>
    <w:rsid w:val="034A3564"/>
    <w:rsid w:val="03684540"/>
    <w:rsid w:val="03E662ED"/>
    <w:rsid w:val="04123CC2"/>
    <w:rsid w:val="041651F4"/>
    <w:rsid w:val="04C8107D"/>
    <w:rsid w:val="056A3A4A"/>
    <w:rsid w:val="05726DA2"/>
    <w:rsid w:val="05B41169"/>
    <w:rsid w:val="05F257ED"/>
    <w:rsid w:val="06652463"/>
    <w:rsid w:val="068B16A8"/>
    <w:rsid w:val="06C158EB"/>
    <w:rsid w:val="06FB48C8"/>
    <w:rsid w:val="073C5E67"/>
    <w:rsid w:val="074B1659"/>
    <w:rsid w:val="07501AC7"/>
    <w:rsid w:val="0765096C"/>
    <w:rsid w:val="07762B7A"/>
    <w:rsid w:val="07990201"/>
    <w:rsid w:val="080F2686"/>
    <w:rsid w:val="082D6FB0"/>
    <w:rsid w:val="0842262E"/>
    <w:rsid w:val="089A2898"/>
    <w:rsid w:val="090F4EB6"/>
    <w:rsid w:val="0966297D"/>
    <w:rsid w:val="0A56459C"/>
    <w:rsid w:val="0A92263C"/>
    <w:rsid w:val="0AB17B97"/>
    <w:rsid w:val="0B5E6C0F"/>
    <w:rsid w:val="0C7379D9"/>
    <w:rsid w:val="0C740124"/>
    <w:rsid w:val="0CBE7343"/>
    <w:rsid w:val="0CC96775"/>
    <w:rsid w:val="0CE211EB"/>
    <w:rsid w:val="0D101598"/>
    <w:rsid w:val="0D1F5555"/>
    <w:rsid w:val="0D576FA9"/>
    <w:rsid w:val="0D7C2059"/>
    <w:rsid w:val="0E076ED3"/>
    <w:rsid w:val="0E3E7B9F"/>
    <w:rsid w:val="0E4709CC"/>
    <w:rsid w:val="0E5E02CF"/>
    <w:rsid w:val="0EB61C78"/>
    <w:rsid w:val="0EBE0ACB"/>
    <w:rsid w:val="0F680C0A"/>
    <w:rsid w:val="105C2B7D"/>
    <w:rsid w:val="10B16E58"/>
    <w:rsid w:val="10CF32FA"/>
    <w:rsid w:val="10D601E5"/>
    <w:rsid w:val="1109680C"/>
    <w:rsid w:val="11167DF6"/>
    <w:rsid w:val="11B17274"/>
    <w:rsid w:val="11BA18B5"/>
    <w:rsid w:val="11FF551A"/>
    <w:rsid w:val="12017849"/>
    <w:rsid w:val="121F3E0E"/>
    <w:rsid w:val="12B46EB1"/>
    <w:rsid w:val="130D1EB8"/>
    <w:rsid w:val="13846DE6"/>
    <w:rsid w:val="13BF31B2"/>
    <w:rsid w:val="13C25F02"/>
    <w:rsid w:val="140137CB"/>
    <w:rsid w:val="141602BC"/>
    <w:rsid w:val="14445DAD"/>
    <w:rsid w:val="1451004B"/>
    <w:rsid w:val="14D5183F"/>
    <w:rsid w:val="14DE58BA"/>
    <w:rsid w:val="154E21E4"/>
    <w:rsid w:val="15595889"/>
    <w:rsid w:val="155E3902"/>
    <w:rsid w:val="15945CB1"/>
    <w:rsid w:val="15A71C82"/>
    <w:rsid w:val="15C50F15"/>
    <w:rsid w:val="15CB0132"/>
    <w:rsid w:val="15DB44F0"/>
    <w:rsid w:val="16537F7D"/>
    <w:rsid w:val="16611797"/>
    <w:rsid w:val="16D74CB7"/>
    <w:rsid w:val="17B31280"/>
    <w:rsid w:val="17C84600"/>
    <w:rsid w:val="17D66F9D"/>
    <w:rsid w:val="17FC336F"/>
    <w:rsid w:val="185365BF"/>
    <w:rsid w:val="186F5C24"/>
    <w:rsid w:val="187F45BF"/>
    <w:rsid w:val="18804FF8"/>
    <w:rsid w:val="18CB3C55"/>
    <w:rsid w:val="18FA2EDF"/>
    <w:rsid w:val="191C10A7"/>
    <w:rsid w:val="192F4936"/>
    <w:rsid w:val="19434886"/>
    <w:rsid w:val="19A5109C"/>
    <w:rsid w:val="19D35C0A"/>
    <w:rsid w:val="19FD15B0"/>
    <w:rsid w:val="1A197394"/>
    <w:rsid w:val="1A5160A4"/>
    <w:rsid w:val="1A9232F1"/>
    <w:rsid w:val="1AF21191"/>
    <w:rsid w:val="1AF94EA4"/>
    <w:rsid w:val="1AFD2812"/>
    <w:rsid w:val="1B8E0706"/>
    <w:rsid w:val="1BFB4FA4"/>
    <w:rsid w:val="1CE26164"/>
    <w:rsid w:val="1D8A4A23"/>
    <w:rsid w:val="1D900790"/>
    <w:rsid w:val="1E390B4D"/>
    <w:rsid w:val="1E3E386E"/>
    <w:rsid w:val="1E79CB7E"/>
    <w:rsid w:val="1EA5569B"/>
    <w:rsid w:val="1EBF061E"/>
    <w:rsid w:val="1EC93137"/>
    <w:rsid w:val="1EFA6126"/>
    <w:rsid w:val="1F792DAF"/>
    <w:rsid w:val="1F8D0609"/>
    <w:rsid w:val="1FB7378B"/>
    <w:rsid w:val="1FC85AE5"/>
    <w:rsid w:val="1FCD7444"/>
    <w:rsid w:val="1FDE2C12"/>
    <w:rsid w:val="1FEF6BCD"/>
    <w:rsid w:val="206612BB"/>
    <w:rsid w:val="20671B3B"/>
    <w:rsid w:val="20C4005A"/>
    <w:rsid w:val="20C938C2"/>
    <w:rsid w:val="20E26732"/>
    <w:rsid w:val="21150CB8"/>
    <w:rsid w:val="21486EDD"/>
    <w:rsid w:val="217952E8"/>
    <w:rsid w:val="21871088"/>
    <w:rsid w:val="219C2D85"/>
    <w:rsid w:val="21A8293E"/>
    <w:rsid w:val="2267736C"/>
    <w:rsid w:val="228829BB"/>
    <w:rsid w:val="22B279B0"/>
    <w:rsid w:val="22E83DA8"/>
    <w:rsid w:val="22FB50D5"/>
    <w:rsid w:val="23333C83"/>
    <w:rsid w:val="234F4FBB"/>
    <w:rsid w:val="23623B5A"/>
    <w:rsid w:val="237D2740"/>
    <w:rsid w:val="23B646A9"/>
    <w:rsid w:val="23DF3620"/>
    <w:rsid w:val="242F7EE0"/>
    <w:rsid w:val="24C543A1"/>
    <w:rsid w:val="25BC38F1"/>
    <w:rsid w:val="25D02FFD"/>
    <w:rsid w:val="25DB056B"/>
    <w:rsid w:val="263246F4"/>
    <w:rsid w:val="26612E05"/>
    <w:rsid w:val="2661459D"/>
    <w:rsid w:val="2665408D"/>
    <w:rsid w:val="26B54422"/>
    <w:rsid w:val="26E36166"/>
    <w:rsid w:val="2707493A"/>
    <w:rsid w:val="27341B5F"/>
    <w:rsid w:val="27EE00B2"/>
    <w:rsid w:val="27F82CDF"/>
    <w:rsid w:val="27FA4D8F"/>
    <w:rsid w:val="283830DC"/>
    <w:rsid w:val="28436CDD"/>
    <w:rsid w:val="286B525F"/>
    <w:rsid w:val="28B5472C"/>
    <w:rsid w:val="29253660"/>
    <w:rsid w:val="292A19FE"/>
    <w:rsid w:val="292A336C"/>
    <w:rsid w:val="2A32096F"/>
    <w:rsid w:val="2A7F1496"/>
    <w:rsid w:val="2AC46EA9"/>
    <w:rsid w:val="2AEF4C89"/>
    <w:rsid w:val="2AFA578C"/>
    <w:rsid w:val="2B110340"/>
    <w:rsid w:val="2B6C7C6C"/>
    <w:rsid w:val="2B7D1B8B"/>
    <w:rsid w:val="2B7E720A"/>
    <w:rsid w:val="2BB46275"/>
    <w:rsid w:val="2BD6587C"/>
    <w:rsid w:val="2C0974A6"/>
    <w:rsid w:val="2D24757E"/>
    <w:rsid w:val="2D2D51D9"/>
    <w:rsid w:val="2D6F57F1"/>
    <w:rsid w:val="2D79500B"/>
    <w:rsid w:val="2E34285D"/>
    <w:rsid w:val="2E4D2271"/>
    <w:rsid w:val="2E666D96"/>
    <w:rsid w:val="2E825E24"/>
    <w:rsid w:val="2E9D68E4"/>
    <w:rsid w:val="2ED51684"/>
    <w:rsid w:val="2EDD0766"/>
    <w:rsid w:val="2EF52DE8"/>
    <w:rsid w:val="2F7075FF"/>
    <w:rsid w:val="2F9245EF"/>
    <w:rsid w:val="2FE25FBE"/>
    <w:rsid w:val="3044131B"/>
    <w:rsid w:val="30BD4AC6"/>
    <w:rsid w:val="30C41C15"/>
    <w:rsid w:val="30D36D6A"/>
    <w:rsid w:val="30D8449E"/>
    <w:rsid w:val="30F13F33"/>
    <w:rsid w:val="31592A40"/>
    <w:rsid w:val="316A23D4"/>
    <w:rsid w:val="3175714F"/>
    <w:rsid w:val="31AC1C27"/>
    <w:rsid w:val="31D85ACB"/>
    <w:rsid w:val="323B3EF4"/>
    <w:rsid w:val="32AB4C56"/>
    <w:rsid w:val="32E555C1"/>
    <w:rsid w:val="33264D72"/>
    <w:rsid w:val="33FB1EA4"/>
    <w:rsid w:val="342A754C"/>
    <w:rsid w:val="3474193F"/>
    <w:rsid w:val="34E92E3A"/>
    <w:rsid w:val="34F53753"/>
    <w:rsid w:val="34F848B8"/>
    <w:rsid w:val="34FA0097"/>
    <w:rsid w:val="34FD2B33"/>
    <w:rsid w:val="35185716"/>
    <w:rsid w:val="356B2D42"/>
    <w:rsid w:val="35AA5F8A"/>
    <w:rsid w:val="35D47F3E"/>
    <w:rsid w:val="3622410F"/>
    <w:rsid w:val="362D180C"/>
    <w:rsid w:val="36363112"/>
    <w:rsid w:val="36380816"/>
    <w:rsid w:val="3652180C"/>
    <w:rsid w:val="36A42C8E"/>
    <w:rsid w:val="36A93B22"/>
    <w:rsid w:val="36D36976"/>
    <w:rsid w:val="37240D05"/>
    <w:rsid w:val="374E0226"/>
    <w:rsid w:val="379A2814"/>
    <w:rsid w:val="383A5102"/>
    <w:rsid w:val="38741427"/>
    <w:rsid w:val="38D87AC0"/>
    <w:rsid w:val="38E20C40"/>
    <w:rsid w:val="38E24D30"/>
    <w:rsid w:val="390E2B7A"/>
    <w:rsid w:val="3922728F"/>
    <w:rsid w:val="394B67E8"/>
    <w:rsid w:val="394F0285"/>
    <w:rsid w:val="395C5838"/>
    <w:rsid w:val="398D772B"/>
    <w:rsid w:val="39C742BF"/>
    <w:rsid w:val="3A415917"/>
    <w:rsid w:val="3A57456D"/>
    <w:rsid w:val="3A596D1C"/>
    <w:rsid w:val="3AAD7119"/>
    <w:rsid w:val="3B602671"/>
    <w:rsid w:val="3B7B1805"/>
    <w:rsid w:val="3B8065B2"/>
    <w:rsid w:val="3B8E2828"/>
    <w:rsid w:val="3BA64AD4"/>
    <w:rsid w:val="3BDE564E"/>
    <w:rsid w:val="3BEA60AA"/>
    <w:rsid w:val="3C2F36BE"/>
    <w:rsid w:val="3C621D00"/>
    <w:rsid w:val="3C706E90"/>
    <w:rsid w:val="3C961075"/>
    <w:rsid w:val="3CA7387B"/>
    <w:rsid w:val="3CB52AF5"/>
    <w:rsid w:val="3D42082D"/>
    <w:rsid w:val="3D842BF3"/>
    <w:rsid w:val="3DA46DF1"/>
    <w:rsid w:val="3DBB238D"/>
    <w:rsid w:val="3DEE62BF"/>
    <w:rsid w:val="3E734F55"/>
    <w:rsid w:val="3EDE6ECA"/>
    <w:rsid w:val="3F3F538E"/>
    <w:rsid w:val="3F423D21"/>
    <w:rsid w:val="3F57E11C"/>
    <w:rsid w:val="3F8A2017"/>
    <w:rsid w:val="3F977902"/>
    <w:rsid w:val="3F9A4C3B"/>
    <w:rsid w:val="3FFA0E90"/>
    <w:rsid w:val="40356556"/>
    <w:rsid w:val="40377F4E"/>
    <w:rsid w:val="404D08E9"/>
    <w:rsid w:val="407A208B"/>
    <w:rsid w:val="40B57568"/>
    <w:rsid w:val="40E63BC5"/>
    <w:rsid w:val="41153317"/>
    <w:rsid w:val="41270465"/>
    <w:rsid w:val="41C23CEA"/>
    <w:rsid w:val="422F6EA6"/>
    <w:rsid w:val="424824FE"/>
    <w:rsid w:val="42526F39"/>
    <w:rsid w:val="4255690C"/>
    <w:rsid w:val="42734FE4"/>
    <w:rsid w:val="42D261AF"/>
    <w:rsid w:val="43164BA4"/>
    <w:rsid w:val="431C38CE"/>
    <w:rsid w:val="432D6778"/>
    <w:rsid w:val="43697CE0"/>
    <w:rsid w:val="438360FD"/>
    <w:rsid w:val="438F7B95"/>
    <w:rsid w:val="43994F1E"/>
    <w:rsid w:val="43AD11C7"/>
    <w:rsid w:val="43AD52A6"/>
    <w:rsid w:val="43BE18CD"/>
    <w:rsid w:val="43EF33F4"/>
    <w:rsid w:val="44755481"/>
    <w:rsid w:val="44B71B00"/>
    <w:rsid w:val="44B85878"/>
    <w:rsid w:val="44D24507"/>
    <w:rsid w:val="457F1EF2"/>
    <w:rsid w:val="460F3276"/>
    <w:rsid w:val="461F088C"/>
    <w:rsid w:val="46967346"/>
    <w:rsid w:val="46BE45FF"/>
    <w:rsid w:val="4729335E"/>
    <w:rsid w:val="475A49C5"/>
    <w:rsid w:val="47785445"/>
    <w:rsid w:val="478D08F6"/>
    <w:rsid w:val="484752C1"/>
    <w:rsid w:val="485D7F2A"/>
    <w:rsid w:val="487C2B03"/>
    <w:rsid w:val="489108BA"/>
    <w:rsid w:val="48B22379"/>
    <w:rsid w:val="48E54615"/>
    <w:rsid w:val="48F16A3B"/>
    <w:rsid w:val="490119FA"/>
    <w:rsid w:val="49033566"/>
    <w:rsid w:val="4931796E"/>
    <w:rsid w:val="49346374"/>
    <w:rsid w:val="494D47E1"/>
    <w:rsid w:val="495955CE"/>
    <w:rsid w:val="4A2F3EE7"/>
    <w:rsid w:val="4A3C3C76"/>
    <w:rsid w:val="4A82670C"/>
    <w:rsid w:val="4ADE4594"/>
    <w:rsid w:val="4B7C13AE"/>
    <w:rsid w:val="4BBF4900"/>
    <w:rsid w:val="4BFC429C"/>
    <w:rsid w:val="4BFF523D"/>
    <w:rsid w:val="4C0513A3"/>
    <w:rsid w:val="4C486160"/>
    <w:rsid w:val="4C5522E7"/>
    <w:rsid w:val="4C5668F1"/>
    <w:rsid w:val="4C5D11DF"/>
    <w:rsid w:val="4C893887"/>
    <w:rsid w:val="4C9132C7"/>
    <w:rsid w:val="4CD105FD"/>
    <w:rsid w:val="4CF3569F"/>
    <w:rsid w:val="4D0C050F"/>
    <w:rsid w:val="4D2166E2"/>
    <w:rsid w:val="4D5A127B"/>
    <w:rsid w:val="4D804879"/>
    <w:rsid w:val="4DF63A58"/>
    <w:rsid w:val="4EB90223"/>
    <w:rsid w:val="4EF028E1"/>
    <w:rsid w:val="4F1B4B59"/>
    <w:rsid w:val="4F6665FD"/>
    <w:rsid w:val="4F93316A"/>
    <w:rsid w:val="4F9E57F1"/>
    <w:rsid w:val="4FC03AB2"/>
    <w:rsid w:val="4FFA0AF3"/>
    <w:rsid w:val="50091115"/>
    <w:rsid w:val="50131BB5"/>
    <w:rsid w:val="507F724A"/>
    <w:rsid w:val="508B3E41"/>
    <w:rsid w:val="50A9222A"/>
    <w:rsid w:val="51910F50"/>
    <w:rsid w:val="51D5415B"/>
    <w:rsid w:val="52132340"/>
    <w:rsid w:val="52151C14"/>
    <w:rsid w:val="527A1ED7"/>
    <w:rsid w:val="52A01717"/>
    <w:rsid w:val="52CB4996"/>
    <w:rsid w:val="52EA30A1"/>
    <w:rsid w:val="53186CB2"/>
    <w:rsid w:val="535844AE"/>
    <w:rsid w:val="537A5052"/>
    <w:rsid w:val="53A5521A"/>
    <w:rsid w:val="53D55AFF"/>
    <w:rsid w:val="5458228C"/>
    <w:rsid w:val="54C76523"/>
    <w:rsid w:val="54D1276A"/>
    <w:rsid w:val="54E7478C"/>
    <w:rsid w:val="552705DC"/>
    <w:rsid w:val="552D3719"/>
    <w:rsid w:val="55382473"/>
    <w:rsid w:val="5571244B"/>
    <w:rsid w:val="5590521E"/>
    <w:rsid w:val="55BE30DF"/>
    <w:rsid w:val="56150435"/>
    <w:rsid w:val="56575206"/>
    <w:rsid w:val="569C3B78"/>
    <w:rsid w:val="56D54068"/>
    <w:rsid w:val="56D95906"/>
    <w:rsid w:val="572C44D0"/>
    <w:rsid w:val="576378C6"/>
    <w:rsid w:val="57D766A7"/>
    <w:rsid w:val="57DE14FE"/>
    <w:rsid w:val="58194C34"/>
    <w:rsid w:val="582C0C95"/>
    <w:rsid w:val="585711D8"/>
    <w:rsid w:val="585A65D3"/>
    <w:rsid w:val="58841391"/>
    <w:rsid w:val="58FD3B61"/>
    <w:rsid w:val="5900361E"/>
    <w:rsid w:val="59017396"/>
    <w:rsid w:val="59AC10B0"/>
    <w:rsid w:val="59D30430"/>
    <w:rsid w:val="59E26E21"/>
    <w:rsid w:val="59FF21EA"/>
    <w:rsid w:val="5A135A05"/>
    <w:rsid w:val="5A2055FA"/>
    <w:rsid w:val="5A470DD9"/>
    <w:rsid w:val="5A5B4884"/>
    <w:rsid w:val="5A7645E2"/>
    <w:rsid w:val="5AB12B07"/>
    <w:rsid w:val="5ADA71D9"/>
    <w:rsid w:val="5AE26AC3"/>
    <w:rsid w:val="5B0D1E59"/>
    <w:rsid w:val="5B50104F"/>
    <w:rsid w:val="5B5B6693"/>
    <w:rsid w:val="5BA30291"/>
    <w:rsid w:val="5BB4249E"/>
    <w:rsid w:val="5BC66E1D"/>
    <w:rsid w:val="5C150150"/>
    <w:rsid w:val="5C78796F"/>
    <w:rsid w:val="5CA45958"/>
    <w:rsid w:val="5CFC3A31"/>
    <w:rsid w:val="5D661248"/>
    <w:rsid w:val="5DE057CC"/>
    <w:rsid w:val="5EB629D1"/>
    <w:rsid w:val="5F1D58D9"/>
    <w:rsid w:val="5F5226F9"/>
    <w:rsid w:val="5F63375C"/>
    <w:rsid w:val="5F9747B2"/>
    <w:rsid w:val="5FB62011"/>
    <w:rsid w:val="5FE62498"/>
    <w:rsid w:val="600A2FD4"/>
    <w:rsid w:val="605057BE"/>
    <w:rsid w:val="60522285"/>
    <w:rsid w:val="606105A7"/>
    <w:rsid w:val="60A32AE1"/>
    <w:rsid w:val="60F670B5"/>
    <w:rsid w:val="6106379C"/>
    <w:rsid w:val="61BB3566"/>
    <w:rsid w:val="61EB2991"/>
    <w:rsid w:val="626C498B"/>
    <w:rsid w:val="627B5AC3"/>
    <w:rsid w:val="62BD3DF9"/>
    <w:rsid w:val="62F6339C"/>
    <w:rsid w:val="6320666B"/>
    <w:rsid w:val="633661A8"/>
    <w:rsid w:val="63473BF7"/>
    <w:rsid w:val="6389452F"/>
    <w:rsid w:val="646B0FC6"/>
    <w:rsid w:val="64946690"/>
    <w:rsid w:val="64B455E9"/>
    <w:rsid w:val="64C63465"/>
    <w:rsid w:val="65E24F34"/>
    <w:rsid w:val="65EC0A86"/>
    <w:rsid w:val="65F566EB"/>
    <w:rsid w:val="66062A8D"/>
    <w:rsid w:val="662625E3"/>
    <w:rsid w:val="66F9345B"/>
    <w:rsid w:val="66FE3167"/>
    <w:rsid w:val="6703310F"/>
    <w:rsid w:val="674C7A59"/>
    <w:rsid w:val="679D41BA"/>
    <w:rsid w:val="67A81409"/>
    <w:rsid w:val="67C25A33"/>
    <w:rsid w:val="67DB7004"/>
    <w:rsid w:val="682F7F51"/>
    <w:rsid w:val="68383CCC"/>
    <w:rsid w:val="68B0223F"/>
    <w:rsid w:val="68E22F2F"/>
    <w:rsid w:val="697A6FA0"/>
    <w:rsid w:val="69A262CD"/>
    <w:rsid w:val="69A267ED"/>
    <w:rsid w:val="69B800B4"/>
    <w:rsid w:val="69BD101F"/>
    <w:rsid w:val="69F557DF"/>
    <w:rsid w:val="6A1F767C"/>
    <w:rsid w:val="6A496345"/>
    <w:rsid w:val="6AB73D58"/>
    <w:rsid w:val="6B1637B6"/>
    <w:rsid w:val="6C225BB9"/>
    <w:rsid w:val="6C700663"/>
    <w:rsid w:val="6D3451EC"/>
    <w:rsid w:val="6D745521"/>
    <w:rsid w:val="6DF0480C"/>
    <w:rsid w:val="6E8809A4"/>
    <w:rsid w:val="6EAC34E1"/>
    <w:rsid w:val="6EC46A44"/>
    <w:rsid w:val="6ED8429D"/>
    <w:rsid w:val="6EDF4C32"/>
    <w:rsid w:val="6F7E447B"/>
    <w:rsid w:val="6FA34B0E"/>
    <w:rsid w:val="6FA465C6"/>
    <w:rsid w:val="6FBD69A5"/>
    <w:rsid w:val="6FC52E6D"/>
    <w:rsid w:val="6FC65B2A"/>
    <w:rsid w:val="7005533D"/>
    <w:rsid w:val="704A403A"/>
    <w:rsid w:val="704A7F86"/>
    <w:rsid w:val="70700FEC"/>
    <w:rsid w:val="70BE0057"/>
    <w:rsid w:val="719D1DDD"/>
    <w:rsid w:val="720B5E9F"/>
    <w:rsid w:val="726C7663"/>
    <w:rsid w:val="72B2730F"/>
    <w:rsid w:val="72D33542"/>
    <w:rsid w:val="72D54D7C"/>
    <w:rsid w:val="730B4C41"/>
    <w:rsid w:val="733C2BE0"/>
    <w:rsid w:val="7376008C"/>
    <w:rsid w:val="73760167"/>
    <w:rsid w:val="73FB2F08"/>
    <w:rsid w:val="74E50CA0"/>
    <w:rsid w:val="752C5223"/>
    <w:rsid w:val="76200A04"/>
    <w:rsid w:val="76254258"/>
    <w:rsid w:val="76B34F7A"/>
    <w:rsid w:val="76C40C69"/>
    <w:rsid w:val="778E082B"/>
    <w:rsid w:val="779A70ED"/>
    <w:rsid w:val="77C30C04"/>
    <w:rsid w:val="77EE1F9E"/>
    <w:rsid w:val="780172DC"/>
    <w:rsid w:val="78361D87"/>
    <w:rsid w:val="78782796"/>
    <w:rsid w:val="787B2197"/>
    <w:rsid w:val="78850274"/>
    <w:rsid w:val="78A94DBA"/>
    <w:rsid w:val="78F46178"/>
    <w:rsid w:val="78F6044D"/>
    <w:rsid w:val="79C25397"/>
    <w:rsid w:val="79DE4E5E"/>
    <w:rsid w:val="7A0B6C64"/>
    <w:rsid w:val="7A106FE1"/>
    <w:rsid w:val="7A884DCA"/>
    <w:rsid w:val="7AFFC7C9"/>
    <w:rsid w:val="7B045D1E"/>
    <w:rsid w:val="7B2D5DB9"/>
    <w:rsid w:val="7B416A71"/>
    <w:rsid w:val="7C030BAC"/>
    <w:rsid w:val="7C2428D0"/>
    <w:rsid w:val="7C34430E"/>
    <w:rsid w:val="7C417926"/>
    <w:rsid w:val="7C61520D"/>
    <w:rsid w:val="7C921F30"/>
    <w:rsid w:val="7C9712F4"/>
    <w:rsid w:val="7C9E5525"/>
    <w:rsid w:val="7CA852AF"/>
    <w:rsid w:val="7CE00EED"/>
    <w:rsid w:val="7D1B0177"/>
    <w:rsid w:val="7D3B6123"/>
    <w:rsid w:val="7D67516A"/>
    <w:rsid w:val="7D7F14D6"/>
    <w:rsid w:val="7D8C4BD1"/>
    <w:rsid w:val="7D957F29"/>
    <w:rsid w:val="7DDB3E5F"/>
    <w:rsid w:val="7DE205FA"/>
    <w:rsid w:val="7DFA4230"/>
    <w:rsid w:val="7E2117BD"/>
    <w:rsid w:val="7E503E50"/>
    <w:rsid w:val="7E7933A7"/>
    <w:rsid w:val="7EBC6B26"/>
    <w:rsid w:val="7F201A75"/>
    <w:rsid w:val="7F9F6E3D"/>
    <w:rsid w:val="7FAB3A34"/>
    <w:rsid w:val="7FBA28FD"/>
    <w:rsid w:val="7FBF51C7"/>
    <w:rsid w:val="7FDF2B7F"/>
    <w:rsid w:val="7FF8654D"/>
    <w:rsid w:val="7FFFFECA"/>
    <w:rsid w:val="AFEF6D50"/>
    <w:rsid w:val="E5FFEC19"/>
    <w:rsid w:val="EDEF57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99"/>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locked/>
    <w:uiPriority w:val="0"/>
    <w:pPr>
      <w:ind w:left="237"/>
      <w:outlineLvl w:val="3"/>
    </w:pPr>
    <w:rPr>
      <w:rFonts w:ascii="Cambria" w:hAnsi="Cambria"/>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3"/>
    <w:qFormat/>
    <w:uiPriority w:val="99"/>
    <w:pPr>
      <w:widowControl/>
      <w:overflowPunct w:val="0"/>
      <w:autoSpaceDE w:val="0"/>
      <w:autoSpaceDN w:val="0"/>
      <w:adjustRightInd w:val="0"/>
      <w:jc w:val="center"/>
      <w:textAlignment w:val="baseline"/>
    </w:pPr>
    <w:rPr>
      <w:b/>
      <w:kern w:val="0"/>
      <w:sz w:val="24"/>
      <w:szCs w:val="20"/>
      <w:lang w:val="en-GB"/>
    </w:rPr>
  </w:style>
  <w:style w:type="paragraph" w:styleId="6">
    <w:name w:val="table of authorities"/>
    <w:basedOn w:val="1"/>
    <w:next w:val="1"/>
    <w:qFormat/>
    <w:uiPriority w:val="99"/>
    <w:pPr>
      <w:ind w:left="420" w:leftChars="200"/>
    </w:pPr>
    <w:rPr>
      <w:rFonts w:ascii="Calibri" w:hAnsi="Calibri"/>
      <w:sz w:val="24"/>
      <w:szCs w:val="22"/>
    </w:rPr>
  </w:style>
  <w:style w:type="paragraph" w:styleId="7">
    <w:name w:val="Normal Indent"/>
    <w:basedOn w:val="1"/>
    <w:next w:val="1"/>
    <w:qFormat/>
    <w:uiPriority w:val="99"/>
    <w:pPr>
      <w:ind w:firstLine="420"/>
    </w:pPr>
    <w:rPr>
      <w:szCs w:val="20"/>
    </w:rPr>
  </w:style>
  <w:style w:type="paragraph" w:styleId="8">
    <w:name w:val="annotation text"/>
    <w:basedOn w:val="1"/>
    <w:link w:val="43"/>
    <w:qFormat/>
    <w:uiPriority w:val="99"/>
    <w:pPr>
      <w:jc w:val="left"/>
    </w:pPr>
  </w:style>
  <w:style w:type="paragraph" w:styleId="9">
    <w:name w:val="Body Text"/>
    <w:basedOn w:val="1"/>
    <w:next w:val="10"/>
    <w:link w:val="40"/>
    <w:qFormat/>
    <w:uiPriority w:val="99"/>
    <w:pPr>
      <w:spacing w:after="120"/>
    </w:pPr>
  </w:style>
  <w:style w:type="paragraph" w:styleId="10">
    <w:name w:val="Body Text First Indent"/>
    <w:basedOn w:val="9"/>
    <w:next w:val="11"/>
    <w:link w:val="41"/>
    <w:qFormat/>
    <w:uiPriority w:val="99"/>
    <w:pPr>
      <w:spacing w:line="360" w:lineRule="auto"/>
      <w:ind w:firstLine="200" w:firstLineChars="200"/>
      <w:jc w:val="left"/>
    </w:pPr>
  </w:style>
  <w:style w:type="paragraph" w:styleId="11">
    <w:name w:val="toc 6"/>
    <w:basedOn w:val="1"/>
    <w:next w:val="1"/>
    <w:qFormat/>
    <w:uiPriority w:val="99"/>
    <w:pPr>
      <w:ind w:left="1050"/>
      <w:jc w:val="left"/>
    </w:pPr>
    <w:rPr>
      <w:sz w:val="18"/>
      <w:szCs w:val="18"/>
    </w:rPr>
  </w:style>
  <w:style w:type="paragraph" w:styleId="12">
    <w:name w:val="Body Text Indent"/>
    <w:basedOn w:val="1"/>
    <w:next w:val="1"/>
    <w:link w:val="42"/>
    <w:qFormat/>
    <w:uiPriority w:val="99"/>
    <w:pPr>
      <w:spacing w:line="360" w:lineRule="auto"/>
      <w:ind w:firstLine="600" w:firstLineChars="200"/>
    </w:pPr>
    <w:rPr>
      <w:rFonts w:ascii="仿宋_GB2312" w:hAnsi="宋体" w:eastAsia="仿宋_GB2312"/>
      <w:sz w:val="30"/>
    </w:rPr>
  </w:style>
  <w:style w:type="paragraph" w:styleId="13">
    <w:name w:val="Block Text"/>
    <w:basedOn w:val="1"/>
    <w:qFormat/>
    <w:uiPriority w:val="0"/>
    <w:pPr>
      <w:tabs>
        <w:tab w:val="left" w:pos="7080"/>
        <w:tab w:val="left" w:pos="8700"/>
      </w:tabs>
      <w:spacing w:line="460" w:lineRule="atLeast"/>
      <w:ind w:left="113" w:right="3178" w:firstLine="467"/>
    </w:pPr>
    <w:rPr>
      <w:rFonts w:ascii="楷体_GB2312" w:eastAsia="楷体_GB2312"/>
      <w:sz w:val="52"/>
    </w:rPr>
  </w:style>
  <w:style w:type="paragraph" w:styleId="14">
    <w:name w:val="Plain Text"/>
    <w:basedOn w:val="1"/>
    <w:next w:val="15"/>
    <w:link w:val="44"/>
    <w:qFormat/>
    <w:uiPriority w:val="99"/>
    <w:pPr>
      <w:spacing w:beforeLines="50" w:afterLines="50" w:line="400" w:lineRule="exact"/>
    </w:pPr>
    <w:rPr>
      <w:rFonts w:ascii="宋体" w:hAnsi="Courier New"/>
      <w:sz w:val="24"/>
    </w:rPr>
  </w:style>
  <w:style w:type="paragraph" w:styleId="15">
    <w:name w:val="Date"/>
    <w:basedOn w:val="1"/>
    <w:next w:val="1"/>
    <w:link w:val="45"/>
    <w:qFormat/>
    <w:uiPriority w:val="99"/>
    <w:pPr>
      <w:ind w:left="100" w:leftChars="2500"/>
    </w:pPr>
  </w:style>
  <w:style w:type="paragraph" w:styleId="16">
    <w:name w:val="Body Text Indent 2"/>
    <w:basedOn w:val="1"/>
    <w:link w:val="46"/>
    <w:qFormat/>
    <w:uiPriority w:val="99"/>
    <w:pPr>
      <w:spacing w:after="120" w:line="480" w:lineRule="auto"/>
      <w:ind w:left="420" w:leftChars="200"/>
    </w:pPr>
  </w:style>
  <w:style w:type="paragraph" w:styleId="17">
    <w:name w:val="Balloon Text"/>
    <w:basedOn w:val="1"/>
    <w:link w:val="47"/>
    <w:qFormat/>
    <w:uiPriority w:val="99"/>
    <w:rPr>
      <w:sz w:val="18"/>
      <w:szCs w:val="18"/>
    </w:rPr>
  </w:style>
  <w:style w:type="paragraph" w:styleId="18">
    <w:name w:val="footer"/>
    <w:basedOn w:val="1"/>
    <w:link w:val="48"/>
    <w:qFormat/>
    <w:uiPriority w:val="99"/>
    <w:pPr>
      <w:tabs>
        <w:tab w:val="center" w:pos="4153"/>
        <w:tab w:val="right" w:pos="8306"/>
      </w:tabs>
      <w:snapToGrid w:val="0"/>
      <w:jc w:val="left"/>
    </w:pPr>
    <w:rPr>
      <w:sz w:val="18"/>
      <w:szCs w:val="18"/>
    </w:rPr>
  </w:style>
  <w:style w:type="paragraph" w:styleId="19">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tabs>
        <w:tab w:val="right" w:leader="dot" w:pos="8494"/>
      </w:tabs>
    </w:pPr>
    <w:rPr>
      <w:rFonts w:ascii="宋体" w:hAnsi="宋体"/>
      <w:sz w:val="32"/>
    </w:rPr>
  </w:style>
  <w:style w:type="paragraph" w:styleId="21">
    <w:name w:val="toc 4"/>
    <w:basedOn w:val="1"/>
    <w:next w:val="1"/>
    <w:qFormat/>
    <w:uiPriority w:val="99"/>
    <w:pPr>
      <w:ind w:left="630"/>
      <w:jc w:val="left"/>
    </w:pPr>
    <w:rPr>
      <w:sz w:val="18"/>
      <w:szCs w:val="18"/>
    </w:rPr>
  </w:style>
  <w:style w:type="paragraph" w:styleId="22">
    <w:name w:val="footnote text"/>
    <w:basedOn w:val="1"/>
    <w:qFormat/>
    <w:uiPriority w:val="0"/>
    <w:pPr>
      <w:snapToGrid w:val="0"/>
    </w:pPr>
    <w:rPr>
      <w:rFonts w:eastAsia="仿宋_GB2312"/>
      <w:sz w:val="18"/>
      <w:szCs w:val="20"/>
    </w:rPr>
  </w:style>
  <w:style w:type="paragraph" w:styleId="23">
    <w:name w:val="Body Text Indent 3"/>
    <w:basedOn w:val="1"/>
    <w:link w:val="51"/>
    <w:qFormat/>
    <w:uiPriority w:val="99"/>
    <w:pPr>
      <w:spacing w:after="120"/>
      <w:ind w:left="420" w:leftChars="200"/>
    </w:pPr>
    <w:rPr>
      <w:sz w:val="16"/>
      <w:szCs w:val="16"/>
    </w:rPr>
  </w:style>
  <w:style w:type="paragraph" w:styleId="24">
    <w:name w:val="toc 2"/>
    <w:basedOn w:val="1"/>
    <w:next w:val="1"/>
    <w:qFormat/>
    <w:uiPriority w:val="99"/>
    <w:pPr>
      <w:tabs>
        <w:tab w:val="right" w:leader="dot" w:pos="8494"/>
      </w:tabs>
    </w:pPr>
    <w:rPr>
      <w:sz w:val="30"/>
    </w:rPr>
  </w:style>
  <w:style w:type="paragraph" w:styleId="25">
    <w:name w:val="Body Text 2"/>
    <w:basedOn w:val="1"/>
    <w:link w:val="52"/>
    <w:qFormat/>
    <w:uiPriority w:val="99"/>
    <w:pPr>
      <w:autoSpaceDE w:val="0"/>
      <w:autoSpaceDN w:val="0"/>
      <w:adjustRightInd w:val="0"/>
    </w:pPr>
    <w:rPr>
      <w:color w:val="000000"/>
    </w:rPr>
  </w:style>
  <w:style w:type="paragraph" w:styleId="26">
    <w:name w:val="Normal (Web)"/>
    <w:basedOn w:val="1"/>
    <w:next w:val="24"/>
    <w:qFormat/>
    <w:uiPriority w:val="99"/>
    <w:pPr>
      <w:widowControl/>
      <w:spacing w:before="100" w:beforeAutospacing="1" w:after="100" w:afterAutospacing="1"/>
      <w:jc w:val="left"/>
    </w:pPr>
    <w:rPr>
      <w:rFonts w:ascii="宋体" w:hAnsi="宋体"/>
      <w:color w:val="000000"/>
      <w:kern w:val="0"/>
      <w:sz w:val="24"/>
    </w:rPr>
  </w:style>
  <w:style w:type="paragraph" w:styleId="27">
    <w:name w:val="Body Text First Indent 2"/>
    <w:basedOn w:val="12"/>
    <w:next w:val="13"/>
    <w:link w:val="49"/>
    <w:qFormat/>
    <w:uiPriority w:val="99"/>
    <w:pPr>
      <w:ind w:firstLine="420"/>
    </w:pPr>
  </w:style>
  <w:style w:type="table" w:styleId="29">
    <w:name w:val="Table Grid"/>
    <w:basedOn w:val="2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basedOn w:val="30"/>
    <w:qFormat/>
    <w:uiPriority w:val="99"/>
    <w:rPr>
      <w:rFonts w:cs="Times New Roman"/>
      <w:color w:val="0000FF"/>
      <w:u w:val="single"/>
    </w:rPr>
  </w:style>
  <w:style w:type="character" w:styleId="32">
    <w:name w:val="footnote reference"/>
    <w:qFormat/>
    <w:uiPriority w:val="0"/>
    <w:rPr>
      <w:vertAlign w:val="superscript"/>
    </w:rPr>
  </w:style>
  <w:style w:type="paragraph" w:customStyle="1" w:styleId="33">
    <w:name w:val="表格文字"/>
    <w:basedOn w:val="12"/>
    <w:next w:val="9"/>
    <w:qFormat/>
    <w:uiPriority w:val="99"/>
    <w:pPr>
      <w:spacing w:before="25" w:after="25"/>
      <w:jc w:val="left"/>
    </w:pPr>
    <w:rPr>
      <w:bCs/>
      <w:spacing w:val="10"/>
      <w:kern w:val="0"/>
      <w:sz w:val="24"/>
      <w:szCs w:val="20"/>
    </w:rPr>
  </w:style>
  <w:style w:type="paragraph" w:customStyle="1" w:styleId="34">
    <w:name w:val="Default"/>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6">
    <w:name w:val="正文首行缩进 21"/>
    <w:basedOn w:val="37"/>
    <w:qFormat/>
    <w:uiPriority w:val="99"/>
    <w:pPr>
      <w:ind w:firstLine="420"/>
    </w:pPr>
    <w:rPr>
      <w:rFonts w:cs="宋体"/>
    </w:rPr>
  </w:style>
  <w:style w:type="paragraph" w:customStyle="1" w:styleId="37">
    <w:name w:val="正文文本缩进1"/>
    <w:basedOn w:val="1"/>
    <w:next w:val="1"/>
    <w:qFormat/>
    <w:uiPriority w:val="99"/>
    <w:pPr>
      <w:ind w:left="420" w:leftChars="200"/>
    </w:pPr>
    <w:rPr>
      <w:color w:val="000000"/>
      <w:szCs w:val="21"/>
    </w:rPr>
  </w:style>
  <w:style w:type="character" w:customStyle="1" w:styleId="38">
    <w:name w:val="标题 1 字符"/>
    <w:basedOn w:val="30"/>
    <w:link w:val="3"/>
    <w:qFormat/>
    <w:locked/>
    <w:uiPriority w:val="99"/>
    <w:rPr>
      <w:b/>
      <w:kern w:val="44"/>
      <w:sz w:val="44"/>
    </w:rPr>
  </w:style>
  <w:style w:type="character" w:customStyle="1" w:styleId="39">
    <w:name w:val="标题 2 字符"/>
    <w:basedOn w:val="30"/>
    <w:link w:val="4"/>
    <w:semiHidden/>
    <w:qFormat/>
    <w:uiPriority w:val="9"/>
    <w:rPr>
      <w:rFonts w:asciiTheme="majorHAnsi" w:hAnsiTheme="majorHAnsi" w:eastAsiaTheme="majorEastAsia" w:cstheme="majorBidi"/>
      <w:b/>
      <w:bCs/>
      <w:sz w:val="32"/>
      <w:szCs w:val="32"/>
    </w:rPr>
  </w:style>
  <w:style w:type="character" w:customStyle="1" w:styleId="40">
    <w:name w:val="正文文本 字符"/>
    <w:basedOn w:val="30"/>
    <w:link w:val="9"/>
    <w:semiHidden/>
    <w:qFormat/>
    <w:uiPriority w:val="99"/>
    <w:rPr>
      <w:szCs w:val="24"/>
    </w:rPr>
  </w:style>
  <w:style w:type="character" w:customStyle="1" w:styleId="41">
    <w:name w:val="正文文本首行缩进 字符"/>
    <w:basedOn w:val="40"/>
    <w:link w:val="10"/>
    <w:semiHidden/>
    <w:qFormat/>
    <w:uiPriority w:val="99"/>
    <w:rPr>
      <w:szCs w:val="24"/>
    </w:rPr>
  </w:style>
  <w:style w:type="character" w:customStyle="1" w:styleId="42">
    <w:name w:val="正文文本缩进 字符"/>
    <w:basedOn w:val="30"/>
    <w:link w:val="12"/>
    <w:semiHidden/>
    <w:qFormat/>
    <w:uiPriority w:val="99"/>
    <w:rPr>
      <w:szCs w:val="24"/>
    </w:rPr>
  </w:style>
  <w:style w:type="character" w:customStyle="1" w:styleId="43">
    <w:name w:val="批注文字 字符"/>
    <w:basedOn w:val="30"/>
    <w:link w:val="8"/>
    <w:semiHidden/>
    <w:qFormat/>
    <w:uiPriority w:val="99"/>
    <w:rPr>
      <w:szCs w:val="24"/>
    </w:rPr>
  </w:style>
  <w:style w:type="character" w:customStyle="1" w:styleId="44">
    <w:name w:val="纯文本 字符"/>
    <w:basedOn w:val="30"/>
    <w:link w:val="14"/>
    <w:semiHidden/>
    <w:qFormat/>
    <w:uiPriority w:val="99"/>
    <w:rPr>
      <w:rFonts w:ascii="宋体" w:hAnsi="Courier New" w:cs="Courier New"/>
      <w:szCs w:val="21"/>
    </w:rPr>
  </w:style>
  <w:style w:type="character" w:customStyle="1" w:styleId="45">
    <w:name w:val="日期 字符"/>
    <w:basedOn w:val="30"/>
    <w:link w:val="15"/>
    <w:semiHidden/>
    <w:qFormat/>
    <w:uiPriority w:val="99"/>
    <w:rPr>
      <w:szCs w:val="24"/>
    </w:rPr>
  </w:style>
  <w:style w:type="character" w:customStyle="1" w:styleId="46">
    <w:name w:val="正文文本缩进 2 字符"/>
    <w:basedOn w:val="30"/>
    <w:link w:val="16"/>
    <w:semiHidden/>
    <w:qFormat/>
    <w:uiPriority w:val="99"/>
    <w:rPr>
      <w:szCs w:val="24"/>
    </w:rPr>
  </w:style>
  <w:style w:type="character" w:customStyle="1" w:styleId="47">
    <w:name w:val="批注框文本 字符"/>
    <w:basedOn w:val="30"/>
    <w:link w:val="17"/>
    <w:semiHidden/>
    <w:qFormat/>
    <w:uiPriority w:val="99"/>
    <w:rPr>
      <w:sz w:val="0"/>
      <w:szCs w:val="0"/>
    </w:rPr>
  </w:style>
  <w:style w:type="character" w:customStyle="1" w:styleId="48">
    <w:name w:val="页脚 字符"/>
    <w:basedOn w:val="30"/>
    <w:link w:val="18"/>
    <w:semiHidden/>
    <w:qFormat/>
    <w:uiPriority w:val="99"/>
    <w:rPr>
      <w:sz w:val="18"/>
      <w:szCs w:val="18"/>
    </w:rPr>
  </w:style>
  <w:style w:type="character" w:customStyle="1" w:styleId="49">
    <w:name w:val="正文文本首行缩进 2 字符"/>
    <w:basedOn w:val="42"/>
    <w:link w:val="27"/>
    <w:semiHidden/>
    <w:qFormat/>
    <w:uiPriority w:val="99"/>
    <w:rPr>
      <w:szCs w:val="24"/>
    </w:rPr>
  </w:style>
  <w:style w:type="character" w:customStyle="1" w:styleId="50">
    <w:name w:val="页眉 字符"/>
    <w:basedOn w:val="30"/>
    <w:link w:val="19"/>
    <w:semiHidden/>
    <w:qFormat/>
    <w:uiPriority w:val="99"/>
    <w:rPr>
      <w:sz w:val="18"/>
      <w:szCs w:val="18"/>
    </w:rPr>
  </w:style>
  <w:style w:type="character" w:customStyle="1" w:styleId="51">
    <w:name w:val="正文文本缩进 3 字符"/>
    <w:basedOn w:val="30"/>
    <w:link w:val="23"/>
    <w:semiHidden/>
    <w:qFormat/>
    <w:uiPriority w:val="99"/>
    <w:rPr>
      <w:sz w:val="16"/>
      <w:szCs w:val="16"/>
    </w:rPr>
  </w:style>
  <w:style w:type="character" w:customStyle="1" w:styleId="52">
    <w:name w:val="正文文本 2 字符"/>
    <w:basedOn w:val="30"/>
    <w:link w:val="25"/>
    <w:semiHidden/>
    <w:qFormat/>
    <w:uiPriority w:val="99"/>
    <w:rPr>
      <w:szCs w:val="24"/>
    </w:rPr>
  </w:style>
  <w:style w:type="character" w:customStyle="1" w:styleId="53">
    <w:name w:val="标题 字符"/>
    <w:basedOn w:val="30"/>
    <w:link w:val="2"/>
    <w:qFormat/>
    <w:uiPriority w:val="10"/>
    <w:rPr>
      <w:rFonts w:asciiTheme="majorHAnsi" w:hAnsiTheme="majorHAnsi" w:cstheme="majorBidi"/>
      <w:b/>
      <w:bCs/>
      <w:sz w:val="32"/>
      <w:szCs w:val="32"/>
    </w:rPr>
  </w:style>
  <w:style w:type="paragraph" w:customStyle="1" w:styleId="54">
    <w:name w:val="目录 92"/>
    <w:next w:val="1"/>
    <w:qFormat/>
    <w:uiPriority w:val="99"/>
    <w:pPr>
      <w:wordWrap w:val="0"/>
      <w:ind w:left="2975"/>
      <w:jc w:val="both"/>
    </w:pPr>
    <w:rPr>
      <w:rFonts w:ascii="Times New Roman" w:hAnsi="Times New Roman" w:eastAsia="宋体" w:cs="Times New Roman"/>
      <w:kern w:val="0"/>
      <w:sz w:val="21"/>
      <w:szCs w:val="20"/>
      <w:lang w:val="en-US" w:eastAsia="zh-CN" w:bidi="ar-SA"/>
    </w:rPr>
  </w:style>
  <w:style w:type="paragraph" w:customStyle="1" w:styleId="55">
    <w:name w:val="目录 31"/>
    <w:next w:val="1"/>
    <w:qFormat/>
    <w:uiPriority w:val="99"/>
    <w:pPr>
      <w:wordWrap w:val="0"/>
      <w:ind w:left="425"/>
      <w:jc w:val="both"/>
    </w:pPr>
    <w:rPr>
      <w:rFonts w:ascii="Calibri" w:hAnsi="Calibri" w:eastAsia="宋体" w:cs="Times New Roman"/>
      <w:kern w:val="0"/>
      <w:sz w:val="21"/>
      <w:szCs w:val="20"/>
      <w:lang w:val="en-US" w:eastAsia="zh-CN" w:bidi="ar-SA"/>
    </w:rPr>
  </w:style>
  <w:style w:type="paragraph" w:customStyle="1" w:styleId="56">
    <w:name w:val="首行缩进"/>
    <w:basedOn w:val="1"/>
    <w:qFormat/>
    <w:uiPriority w:val="99"/>
    <w:rPr>
      <w:lang w:val="zh-CN"/>
    </w:rPr>
  </w:style>
  <w:style w:type="paragraph" w:styleId="57">
    <w:name w:val="List Paragraph"/>
    <w:basedOn w:val="1"/>
    <w:qFormat/>
    <w:uiPriority w:val="99"/>
    <w:pPr>
      <w:ind w:firstLine="420" w:firstLineChars="200"/>
    </w:pPr>
    <w:rPr>
      <w:rFonts w:ascii="Calibri" w:hAnsi="Calibri"/>
      <w:szCs w:val="22"/>
    </w:rPr>
  </w:style>
  <w:style w:type="paragraph" w:customStyle="1" w:styleId="58">
    <w:name w:val="List Paragraph1"/>
    <w:basedOn w:val="1"/>
    <w:qFormat/>
    <w:uiPriority w:val="99"/>
    <w:pPr>
      <w:ind w:firstLine="420" w:firstLineChars="200"/>
    </w:pPr>
    <w:rPr>
      <w:szCs w:val="21"/>
    </w:rPr>
  </w:style>
  <w:style w:type="paragraph" w:customStyle="1" w:styleId="59">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60">
    <w:name w:val="纯文本1"/>
    <w:basedOn w:val="1"/>
    <w:qFormat/>
    <w:uiPriority w:val="99"/>
    <w:pPr>
      <w:spacing w:beforeLines="50" w:afterLines="50" w:line="400" w:lineRule="exact"/>
    </w:pPr>
    <w:rPr>
      <w:rFonts w:ascii="宋体" w:hAnsi="Courier New" w:eastAsia="仿宋_GB2312"/>
      <w:b/>
      <w:sz w:val="24"/>
    </w:rPr>
  </w:style>
  <w:style w:type="paragraph" w:customStyle="1" w:styleId="61">
    <w:name w:val="纯文本2"/>
    <w:basedOn w:val="1"/>
    <w:qFormat/>
    <w:uiPriority w:val="99"/>
    <w:pPr>
      <w:spacing w:beforeLines="50" w:afterLines="50" w:line="400" w:lineRule="exact"/>
    </w:pPr>
    <w:rPr>
      <w:rFonts w:ascii="宋体" w:hAnsi="Courier New" w:eastAsia="仿宋_GB2312"/>
      <w:b/>
      <w:sz w:val="24"/>
    </w:rPr>
  </w:style>
  <w:style w:type="paragraph" w:customStyle="1" w:styleId="62">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Plain Text1"/>
    <w:basedOn w:val="64"/>
    <w:qFormat/>
    <w:uiPriority w:val="99"/>
    <w:pPr>
      <w:autoSpaceDE w:val="0"/>
      <w:autoSpaceDN w:val="0"/>
      <w:adjustRightInd w:val="0"/>
      <w:spacing w:line="360" w:lineRule="auto"/>
    </w:pPr>
    <w:rPr>
      <w:rFonts w:ascii="宋体" w:hAnsi="宋体"/>
      <w:sz w:val="24"/>
      <w:szCs w:val="20"/>
    </w:rPr>
  </w:style>
  <w:style w:type="paragraph" w:customStyle="1" w:styleId="64">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_Style 3"/>
    <w:basedOn w:val="1"/>
    <w:qFormat/>
    <w:uiPriority w:val="99"/>
    <w:pPr>
      <w:ind w:firstLine="420" w:firstLineChars="200"/>
    </w:pPr>
    <w:rPr>
      <w:rFonts w:ascii="Calibri" w:hAnsi="Calibri"/>
      <w:szCs w:val="22"/>
    </w:rPr>
  </w:style>
  <w:style w:type="paragraph" w:customStyle="1" w:styleId="66">
    <w:name w:val="[Normal]"/>
    <w:qFormat/>
    <w:uiPriority w:val="99"/>
    <w:rPr>
      <w:rFonts w:ascii="宋体" w:hAnsi="宋体" w:eastAsia="宋体" w:cs="Times New Roman"/>
      <w:kern w:val="0"/>
      <w:sz w:val="24"/>
      <w:szCs w:val="22"/>
      <w:lang w:val="zh-CN" w:eastAsia="zh-CN" w:bidi="ar-SA"/>
    </w:rPr>
  </w:style>
  <w:style w:type="paragraph" w:customStyle="1" w:styleId="67">
    <w:name w:val="正文 A"/>
    <w:basedOn w:val="1"/>
    <w:qFormat/>
    <w:uiPriority w:val="99"/>
    <w:pPr>
      <w:spacing w:line="360" w:lineRule="auto"/>
    </w:pPr>
    <w:rPr>
      <w:rFonts w:eastAsia="Arial Unicode MS" w:cs="Arial Unicode MS"/>
      <w:color w:val="000000"/>
      <w:sz w:val="24"/>
    </w:rPr>
  </w:style>
  <w:style w:type="character" w:customStyle="1" w:styleId="68">
    <w:name w:val="15"/>
    <w:qFormat/>
    <w:uiPriority w:val="99"/>
    <w:rPr>
      <w:rFonts w:ascii="Calibri" w:hAnsi="Calibri"/>
    </w:rPr>
  </w:style>
  <w:style w:type="paragraph" w:customStyle="1" w:styleId="69">
    <w:name w:val="列出段落1"/>
    <w:basedOn w:val="1"/>
    <w:qFormat/>
    <w:uiPriority w:val="99"/>
    <w:pPr>
      <w:ind w:firstLine="420" w:firstLineChars="200"/>
    </w:pPr>
    <w:rPr>
      <w:rFonts w:ascii="Calibri" w:hAnsi="Calibri"/>
      <w:szCs w:val="22"/>
    </w:rPr>
  </w:style>
  <w:style w:type="paragraph" w:customStyle="1" w:styleId="70">
    <w:name w:val="BodyText1I2"/>
    <w:basedOn w:val="71"/>
    <w:qFormat/>
    <w:uiPriority w:val="99"/>
    <w:pPr>
      <w:spacing w:after="120"/>
      <w:ind w:left="420" w:leftChars="200" w:firstLine="420" w:firstLineChars="200"/>
    </w:pPr>
    <w:rPr>
      <w:sz w:val="21"/>
    </w:rPr>
  </w:style>
  <w:style w:type="paragraph" w:customStyle="1" w:styleId="71">
    <w:name w:val="BodyTextIndent"/>
    <w:basedOn w:val="1"/>
    <w:qFormat/>
    <w:uiPriority w:val="99"/>
    <w:pPr>
      <w:ind w:firstLine="540"/>
    </w:pPr>
    <w:rPr>
      <w:sz w:val="28"/>
      <w:szCs w:val="20"/>
    </w:rPr>
  </w:style>
  <w:style w:type="paragraph" w:customStyle="1" w:styleId="72">
    <w:name w:val="正文缩进1"/>
    <w:basedOn w:val="1"/>
    <w:qFormat/>
    <w:uiPriority w:val="99"/>
    <w:pPr>
      <w:ind w:firstLine="420"/>
    </w:pPr>
    <w:rPr>
      <w:rFonts w:ascii="Tahoma" w:hAnsi="Tahoma"/>
      <w:kern w:val="0"/>
      <w:sz w:val="20"/>
    </w:rPr>
  </w:style>
  <w:style w:type="paragraph" w:customStyle="1" w:styleId="73">
    <w:name w:val="reader-word-layer"/>
    <w:basedOn w:val="1"/>
    <w:qFormat/>
    <w:uiPriority w:val="99"/>
    <w:pPr>
      <w:widowControl/>
      <w:spacing w:before="100" w:beforeAutospacing="1" w:after="100" w:afterAutospacing="1"/>
      <w:jc w:val="left"/>
    </w:pPr>
    <w:rPr>
      <w:rFonts w:ascii="宋体" w:hAnsi="宋体"/>
      <w:kern w:val="0"/>
      <w:sz w:val="24"/>
    </w:rPr>
  </w:style>
  <w:style w:type="paragraph" w:customStyle="1" w:styleId="74">
    <w:name w:val="列出段落3"/>
    <w:basedOn w:val="1"/>
    <w:qFormat/>
    <w:uiPriority w:val="99"/>
    <w:pPr>
      <w:ind w:firstLine="420" w:firstLineChars="200"/>
    </w:pPr>
    <w:rPr>
      <w:rFonts w:ascii="Calibri" w:hAnsi="Calibri"/>
      <w:szCs w:val="22"/>
    </w:rPr>
  </w:style>
  <w:style w:type="paragraph" w:customStyle="1" w:styleId="75">
    <w:name w:val="表文"/>
    <w:basedOn w:val="1"/>
    <w:qFormat/>
    <w:uiPriority w:val="99"/>
    <w:pPr>
      <w:keepLines/>
      <w:widowControl/>
      <w:tabs>
        <w:tab w:val="right" w:pos="9660"/>
      </w:tabs>
      <w:topLinePunct/>
      <w:jc w:val="center"/>
      <w:textAlignment w:val="center"/>
    </w:pPr>
    <w:rPr>
      <w:rFonts w:ascii="等线" w:hAnsi="Calibri" w:eastAsia="等线" w:cs="宋体"/>
      <w:szCs w:val="21"/>
    </w:rPr>
  </w:style>
  <w:style w:type="paragraph" w:customStyle="1" w:styleId="76">
    <w:name w:val="Revision"/>
    <w:hidden/>
    <w:qFormat/>
    <w:uiPriority w:val="99"/>
    <w:rPr>
      <w:rFonts w:ascii="Times New Roman" w:hAnsi="Times New Roman" w:eastAsia="宋体" w:cs="Times New Roman"/>
      <w:kern w:val="2"/>
      <w:sz w:val="21"/>
      <w:szCs w:val="24"/>
      <w:lang w:val="en-US" w:eastAsia="zh-CN" w:bidi="ar-SA"/>
    </w:rPr>
  </w:style>
  <w:style w:type="paragraph" w:customStyle="1" w:styleId="77">
    <w:name w:val="_Style 1"/>
    <w:basedOn w:val="1"/>
    <w:qFormat/>
    <w:uiPriority w:val="0"/>
    <w:pPr>
      <w:ind w:firstLine="420" w:firstLineChars="200"/>
    </w:pPr>
    <w:rPr>
      <w:szCs w:val="24"/>
    </w:rPr>
  </w:style>
  <w:style w:type="paragraph" w:customStyle="1" w:styleId="78">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79">
    <w:name w:val="BlockQuote"/>
    <w:basedOn w:val="80"/>
    <w:qFormat/>
    <w:uiPriority w:val="0"/>
    <w:pPr>
      <w:ind w:left="256" w:right="6" w:firstLine="624"/>
    </w:pPr>
    <w:rPr>
      <w:rFonts w:eastAsia="仿宋_GB2312"/>
      <w:sz w:val="28"/>
    </w:rPr>
  </w:style>
  <w:style w:type="paragraph" w:customStyle="1" w:styleId="80">
    <w:name w:val="正文1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82">
    <w:name w:val="正文_2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31647</Words>
  <Characters>33189</Characters>
  <Lines>326</Lines>
  <Paragraphs>91</Paragraphs>
  <TotalTime>0</TotalTime>
  <ScaleCrop>false</ScaleCrop>
  <LinksUpToDate>false</LinksUpToDate>
  <CharactersWithSpaces>34119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2024-10-24T14:32:00Z</dcterms:created>
  <dc:creator>123</dc:creator>
  <cp:lastModifiedBy>浙江聚信</cp:lastModifiedBy>
  <cp:lastPrinted>2025-05-22T06:50:00Z</cp:lastPrinted>
  <dcterms:modified xsi:type="dcterms:W3CDTF">2025-05-22T07:00:23Z</dcterms:modified>
  <dc:title>仙居县白塔镇诗话高迁•乡村复兴项目--特色空间概念规划设计服务采购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3E92A63C406D436EBEB674F9AAA005EA_13</vt:lpwstr>
  </property>
  <property fmtid="{D5CDD505-2E9C-101B-9397-08002B2CF9AE}" pid="4" name="KSOTemplateDocerSaveRecord">
    <vt:lpwstr>eyJoZGlkIjoiNzhlZjc3YjhlNmIzMDExZDgyYzQ5YzE1MDNlZmFhN2UiLCJ1c2VySWQiOiIxNjA2NjQ3NTg1In0=</vt:lpwstr>
  </property>
</Properties>
</file>