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黑体" w:hAnsi="宋体" w:eastAsia="黑体"/>
          <w:b/>
          <w:bCs/>
          <w:color w:val="auto"/>
          <w:spacing w:val="36"/>
          <w:sz w:val="84"/>
          <w:szCs w:val="84"/>
          <w:highlight w:val="none"/>
        </w:rPr>
      </w:pPr>
    </w:p>
    <w:p>
      <w:pPr>
        <w:adjustRightInd w:val="0"/>
        <w:snapToGrid w:val="0"/>
        <w:rPr>
          <w:rFonts w:hint="eastAsia" w:ascii="黑体" w:hAnsi="宋体" w:eastAsia="黑体"/>
          <w:b/>
          <w:bCs/>
          <w:color w:val="auto"/>
          <w:spacing w:val="36"/>
          <w:sz w:val="84"/>
          <w:szCs w:val="84"/>
          <w:highlight w:val="none"/>
        </w:rPr>
      </w:pPr>
    </w:p>
    <w:p>
      <w:pPr>
        <w:jc w:val="center"/>
        <w:rPr>
          <w:rFonts w:hint="eastAsia" w:ascii="华文行楷" w:hAnsi="宋体" w:eastAsia="华文行楷"/>
          <w:b/>
          <w:bCs/>
          <w:color w:val="auto"/>
          <w:spacing w:val="36"/>
          <w:sz w:val="24"/>
          <w:highlight w:val="none"/>
        </w:rPr>
      </w:pPr>
      <w:r>
        <w:rPr>
          <w:rFonts w:hint="eastAsia" w:ascii="宋体" w:hAnsi="宋体"/>
          <w:b/>
          <w:color w:val="auto"/>
          <w:spacing w:val="80"/>
          <w:sz w:val="84"/>
          <w:szCs w:val="84"/>
          <w:highlight w:val="none"/>
        </w:rPr>
        <w:t>竞争性磋商文件</w:t>
      </w:r>
    </w:p>
    <w:p>
      <w:pPr>
        <w:adjustRightInd w:val="0"/>
        <w:snapToGrid w:val="0"/>
        <w:jc w:val="center"/>
        <w:rPr>
          <w:rFonts w:hint="eastAsia" w:ascii="华文行楷" w:hAnsi="宋体" w:eastAsia="华文行楷"/>
          <w:b/>
          <w:bCs/>
          <w:color w:val="auto"/>
          <w:spacing w:val="36"/>
          <w:sz w:val="24"/>
          <w:highlight w:val="none"/>
        </w:rPr>
      </w:pPr>
    </w:p>
    <w:p>
      <w:pPr>
        <w:adjustRightInd w:val="0"/>
        <w:snapToGrid w:val="0"/>
        <w:jc w:val="center"/>
        <w:rPr>
          <w:rFonts w:hint="eastAsia" w:ascii="华文行楷" w:hAnsi="宋体" w:eastAsia="华文行楷"/>
          <w:b/>
          <w:bCs/>
          <w:color w:val="auto"/>
          <w:spacing w:val="36"/>
          <w:sz w:val="24"/>
          <w:highlight w:val="none"/>
        </w:rPr>
      </w:pPr>
    </w:p>
    <w:p>
      <w:pPr>
        <w:adjustRightInd w:val="0"/>
        <w:snapToGrid w:val="0"/>
        <w:jc w:val="center"/>
        <w:rPr>
          <w:rFonts w:hint="eastAsia" w:ascii="华文行楷" w:hAnsi="宋体" w:eastAsia="华文行楷"/>
          <w:b/>
          <w:bCs/>
          <w:color w:val="auto"/>
          <w:spacing w:val="36"/>
          <w:sz w:val="24"/>
          <w:highlight w:val="none"/>
        </w:rPr>
      </w:pPr>
    </w:p>
    <w:p>
      <w:pPr>
        <w:adjustRightInd w:val="0"/>
        <w:snapToGrid w:val="0"/>
        <w:spacing w:line="480" w:lineRule="auto"/>
        <w:ind w:firstLine="3122" w:firstLineChars="1300"/>
        <w:jc w:val="both"/>
        <w:rPr>
          <w:rFonts w:hint="default" w:ascii="宋体" w:hAnsi="宋体" w:eastAsia="宋体"/>
          <w:b/>
          <w:color w:val="auto"/>
          <w:sz w:val="24"/>
          <w:highlight w:val="none"/>
          <w:lang w:val="en-US" w:eastAsia="zh-CN"/>
        </w:rPr>
      </w:pPr>
      <w:r>
        <w:rPr>
          <w:rFonts w:hint="eastAsia" w:ascii="宋体" w:hAnsi="宋体"/>
          <w:b/>
          <w:color w:val="auto"/>
          <w:sz w:val="24"/>
          <w:highlight w:val="none"/>
        </w:rPr>
        <w:t>项目编号：</w:t>
      </w:r>
      <w:r>
        <w:rPr>
          <w:rFonts w:hint="eastAsia" w:ascii="宋体" w:hAnsi="宋体" w:eastAsia="宋体"/>
          <w:b/>
          <w:color w:val="auto"/>
          <w:sz w:val="24"/>
          <w:highlight w:val="none"/>
          <w:lang w:val="en-US" w:eastAsia="zh-CN"/>
        </w:rPr>
        <w:t xml:space="preserve"> </w:t>
      </w:r>
      <w:r>
        <w:rPr>
          <w:rFonts w:hint="eastAsia" w:ascii="宋体" w:hAnsi="宋体"/>
          <w:b/>
          <w:color w:val="auto"/>
          <w:sz w:val="24"/>
          <w:highlight w:val="none"/>
          <w:lang w:eastAsia="zh-CN"/>
        </w:rPr>
        <w:t>TZRT(采购）-24009</w:t>
      </w:r>
    </w:p>
    <w:p>
      <w:pPr>
        <w:adjustRightInd w:val="0"/>
        <w:snapToGrid w:val="0"/>
        <w:spacing w:line="480" w:lineRule="auto"/>
        <w:jc w:val="center"/>
        <w:rPr>
          <w:rFonts w:hint="eastAsia" w:ascii="宋体" w:hAnsi="宋体" w:eastAsia="宋体"/>
          <w:b/>
          <w:color w:val="auto"/>
          <w:sz w:val="24"/>
          <w:highlight w:val="none"/>
          <w:lang w:eastAsia="zh-CN"/>
        </w:rPr>
      </w:pPr>
      <w:r>
        <w:rPr>
          <w:rFonts w:hint="eastAsia" w:ascii="宋体" w:hAnsi="宋体"/>
          <w:b/>
          <w:color w:val="auto"/>
          <w:sz w:val="24"/>
          <w:highlight w:val="none"/>
        </w:rPr>
        <w:t>项目名称：</w:t>
      </w:r>
      <w:r>
        <w:rPr>
          <w:rFonts w:hint="eastAsia" w:ascii="宋体" w:hAnsi="宋体"/>
          <w:b/>
          <w:color w:val="auto"/>
          <w:sz w:val="24"/>
          <w:highlight w:val="none"/>
          <w:lang w:eastAsia="zh-CN"/>
        </w:rPr>
        <w:t>2024年省级挂牌治理道路交通事故多发点段（S322临石线K71+600永安路口）整治工程</w:t>
      </w:r>
    </w:p>
    <w:p>
      <w:pPr>
        <w:spacing w:line="500" w:lineRule="atLeast"/>
        <w:ind w:firstLine="560" w:firstLineChars="200"/>
        <w:rPr>
          <w:rFonts w:hint="eastAsia" w:ascii="宋体" w:hAnsi="宋体" w:eastAsia="华文行楷"/>
          <w:color w:val="auto"/>
          <w:sz w:val="28"/>
          <w:highlight w:val="none"/>
        </w:rPr>
      </w:pPr>
    </w:p>
    <w:p>
      <w:pPr>
        <w:spacing w:line="500" w:lineRule="atLeast"/>
        <w:rPr>
          <w:rFonts w:hint="eastAsia" w:ascii="宋体" w:hAnsi="宋体"/>
          <w:bCs/>
          <w:color w:val="auto"/>
          <w:sz w:val="30"/>
          <w:highlight w:val="none"/>
        </w:rPr>
      </w:pPr>
    </w:p>
    <w:p>
      <w:pPr>
        <w:spacing w:line="500" w:lineRule="atLeast"/>
        <w:rPr>
          <w:rFonts w:hint="eastAsia" w:ascii="宋体" w:hAnsi="宋体"/>
          <w:bCs/>
          <w:color w:val="auto"/>
          <w:sz w:val="30"/>
          <w:highlight w:val="none"/>
        </w:rPr>
      </w:pPr>
    </w:p>
    <w:p>
      <w:pPr>
        <w:spacing w:line="500" w:lineRule="atLeast"/>
        <w:rPr>
          <w:rFonts w:hint="eastAsia" w:ascii="宋体" w:hAnsi="宋体"/>
          <w:bCs/>
          <w:color w:val="auto"/>
          <w:sz w:val="30"/>
          <w:highlight w:val="none"/>
        </w:rPr>
      </w:pPr>
    </w:p>
    <w:p>
      <w:pPr>
        <w:spacing w:line="500" w:lineRule="atLeast"/>
        <w:rPr>
          <w:rFonts w:hint="eastAsia" w:ascii="宋体" w:hAnsi="宋体"/>
          <w:bCs/>
          <w:color w:val="auto"/>
          <w:sz w:val="30"/>
          <w:highlight w:val="none"/>
        </w:rPr>
      </w:pPr>
    </w:p>
    <w:p>
      <w:pPr>
        <w:spacing w:line="500" w:lineRule="atLeast"/>
        <w:rPr>
          <w:rFonts w:hint="eastAsia" w:ascii="宋体" w:hAnsi="宋体"/>
          <w:bCs/>
          <w:color w:val="auto"/>
          <w:sz w:val="30"/>
          <w:highlight w:val="none"/>
        </w:rPr>
      </w:pPr>
    </w:p>
    <w:p>
      <w:pPr>
        <w:spacing w:line="500" w:lineRule="atLeast"/>
        <w:rPr>
          <w:rFonts w:hint="eastAsia" w:ascii="宋体" w:hAnsi="宋体"/>
          <w:bCs/>
          <w:color w:val="auto"/>
          <w:sz w:val="30"/>
          <w:highlight w:val="none"/>
        </w:rPr>
      </w:pPr>
    </w:p>
    <w:p>
      <w:pPr>
        <w:spacing w:line="500" w:lineRule="atLeast"/>
        <w:rPr>
          <w:rFonts w:hint="eastAsia" w:ascii="宋体" w:hAnsi="宋体"/>
          <w:bCs/>
          <w:color w:val="auto"/>
          <w:sz w:val="30"/>
          <w:highlight w:val="none"/>
        </w:rPr>
      </w:pPr>
    </w:p>
    <w:p>
      <w:pPr>
        <w:spacing w:line="500" w:lineRule="atLeast"/>
        <w:ind w:firstLine="1800" w:firstLineChars="750"/>
        <w:rPr>
          <w:rFonts w:hint="eastAsia" w:ascii="宋体" w:hAnsi="宋体"/>
          <w:bCs/>
          <w:color w:val="auto"/>
          <w:sz w:val="24"/>
          <w:highlight w:val="none"/>
        </w:rPr>
      </w:pPr>
      <w:r>
        <w:rPr>
          <w:rFonts w:hint="eastAsia" w:ascii="宋体" w:hAnsi="宋体"/>
          <w:bCs/>
          <w:color w:val="auto"/>
          <w:sz w:val="24"/>
          <w:highlight w:val="none"/>
        </w:rPr>
        <w:t xml:space="preserve">            </w:t>
      </w:r>
    </w:p>
    <w:p>
      <w:pPr>
        <w:spacing w:line="500" w:lineRule="atLeast"/>
        <w:ind w:firstLine="1920" w:firstLineChars="800"/>
        <w:jc w:val="both"/>
        <w:rPr>
          <w:rFonts w:hint="eastAsia" w:ascii="宋体" w:hAnsi="宋体"/>
          <w:bCs/>
          <w:color w:val="auto"/>
          <w:sz w:val="24"/>
          <w:highlight w:val="none"/>
          <w:u w:val="single"/>
          <w:lang w:eastAsia="zh-CN"/>
        </w:rPr>
      </w:pPr>
      <w:r>
        <w:rPr>
          <w:rFonts w:hint="eastAsia" w:ascii="宋体" w:hAnsi="宋体"/>
          <w:bCs/>
          <w:color w:val="auto"/>
          <w:sz w:val="24"/>
          <w:highlight w:val="none"/>
        </w:rPr>
        <w:t>采购单位：</w:t>
      </w:r>
      <w:r>
        <w:rPr>
          <w:rFonts w:hint="eastAsia" w:ascii="宋体" w:hAnsi="宋体"/>
          <w:bCs/>
          <w:color w:val="auto"/>
          <w:sz w:val="24"/>
          <w:highlight w:val="none"/>
          <w:u w:val="single"/>
          <w:lang w:eastAsia="zh-CN"/>
        </w:rPr>
        <w:t>仙居县交通运输局（盖章）</w:t>
      </w:r>
    </w:p>
    <w:p>
      <w:pPr>
        <w:spacing w:line="500" w:lineRule="atLeast"/>
        <w:jc w:val="center"/>
        <w:rPr>
          <w:rFonts w:hint="eastAsia" w:ascii="宋体" w:hAnsi="宋体"/>
          <w:bCs/>
          <w:color w:val="auto"/>
          <w:sz w:val="24"/>
          <w:highlight w:val="none"/>
        </w:rPr>
      </w:pPr>
      <w:r>
        <w:rPr>
          <w:rFonts w:hint="eastAsia" w:ascii="宋体" w:hAnsi="宋体"/>
          <w:bCs/>
          <w:color w:val="auto"/>
          <w:sz w:val="24"/>
          <w:highlight w:val="none"/>
          <w:u w:val="none"/>
          <w:lang w:val="en-US" w:eastAsia="zh-CN"/>
        </w:rPr>
        <w:t xml:space="preserve"> </w:t>
      </w:r>
      <w:r>
        <w:rPr>
          <w:rFonts w:hint="eastAsia" w:ascii="宋体" w:hAnsi="宋体"/>
          <w:bCs/>
          <w:color w:val="auto"/>
          <w:sz w:val="24"/>
          <w:highlight w:val="none"/>
        </w:rPr>
        <w:t>代理机构：</w:t>
      </w:r>
      <w:r>
        <w:rPr>
          <w:rFonts w:hint="eastAsia" w:ascii="宋体" w:hAnsi="宋体" w:eastAsia="宋体"/>
          <w:bCs/>
          <w:color w:val="auto"/>
          <w:sz w:val="24"/>
          <w:highlight w:val="none"/>
          <w:u w:val="single"/>
          <w:lang w:eastAsia="zh-CN"/>
        </w:rPr>
        <w:t>台州瑞腾工程管理有限公司</w:t>
      </w:r>
      <w:r>
        <w:rPr>
          <w:rFonts w:hint="eastAsia" w:ascii="宋体" w:hAnsi="宋体"/>
          <w:bCs/>
          <w:color w:val="auto"/>
          <w:sz w:val="24"/>
          <w:highlight w:val="none"/>
          <w:u w:val="single"/>
        </w:rPr>
        <w:t xml:space="preserve">  （盖章）</w:t>
      </w:r>
    </w:p>
    <w:p>
      <w:pPr>
        <w:spacing w:line="500" w:lineRule="atLeast"/>
        <w:jc w:val="center"/>
        <w:rPr>
          <w:rFonts w:hint="eastAsia" w:ascii="宋体" w:hAnsi="宋体"/>
          <w:bCs/>
          <w:color w:val="auto"/>
          <w:sz w:val="24"/>
          <w:highlight w:val="none"/>
        </w:rPr>
      </w:pPr>
    </w:p>
    <w:p>
      <w:pPr>
        <w:spacing w:line="500" w:lineRule="atLeast"/>
        <w:jc w:val="center"/>
        <w:rPr>
          <w:rFonts w:hint="eastAsia" w:ascii="宋体" w:hAnsi="宋体"/>
          <w:bCs/>
          <w:color w:val="auto"/>
          <w:sz w:val="24"/>
          <w:highlight w:val="none"/>
        </w:rPr>
      </w:pPr>
      <w:r>
        <w:rPr>
          <w:rFonts w:hint="eastAsia" w:ascii="宋体" w:hAnsi="宋体"/>
          <w:bCs/>
          <w:color w:val="auto"/>
          <w:sz w:val="24"/>
          <w:highlight w:val="none"/>
        </w:rPr>
        <w:t>二</w:t>
      </w:r>
      <w:r>
        <w:rPr>
          <w:rFonts w:hint="eastAsia" w:ascii="宋体" w:hAnsi="宋体" w:eastAsia="宋体"/>
          <w:bCs/>
          <w:color w:val="auto"/>
          <w:sz w:val="24"/>
          <w:highlight w:val="none"/>
          <w:lang w:val="en-US" w:eastAsia="zh-CN"/>
        </w:rPr>
        <w:t>〇</w:t>
      </w:r>
      <w:r>
        <w:rPr>
          <w:rFonts w:hint="eastAsia" w:ascii="宋体" w:hAnsi="宋体"/>
          <w:bCs/>
          <w:color w:val="auto"/>
          <w:sz w:val="24"/>
          <w:highlight w:val="none"/>
          <w:lang w:eastAsia="zh-CN"/>
        </w:rPr>
        <w:t>二</w:t>
      </w:r>
      <w:r>
        <w:rPr>
          <w:rFonts w:hint="eastAsia" w:ascii="宋体" w:hAnsi="宋体" w:eastAsia="宋体"/>
          <w:bCs/>
          <w:color w:val="auto"/>
          <w:sz w:val="24"/>
          <w:highlight w:val="none"/>
          <w:lang w:val="en-US" w:eastAsia="zh-CN"/>
        </w:rPr>
        <w:t>四</w:t>
      </w:r>
      <w:r>
        <w:rPr>
          <w:rFonts w:hint="eastAsia" w:ascii="宋体" w:hAnsi="宋体"/>
          <w:bCs/>
          <w:color w:val="auto"/>
          <w:sz w:val="24"/>
          <w:highlight w:val="none"/>
        </w:rPr>
        <w:t>年</w:t>
      </w:r>
      <w:r>
        <w:rPr>
          <w:rFonts w:hint="eastAsia" w:ascii="宋体" w:hAnsi="宋体"/>
          <w:bCs/>
          <w:color w:val="auto"/>
          <w:sz w:val="24"/>
          <w:highlight w:val="none"/>
          <w:lang w:val="en-US" w:eastAsia="zh-CN"/>
        </w:rPr>
        <w:t>四</w:t>
      </w:r>
      <w:r>
        <w:rPr>
          <w:rFonts w:hint="eastAsia" w:ascii="宋体" w:hAnsi="宋体"/>
          <w:bCs/>
          <w:color w:val="auto"/>
          <w:sz w:val="24"/>
          <w:highlight w:val="none"/>
        </w:rPr>
        <w:t>月</w:t>
      </w:r>
    </w:p>
    <w:p>
      <w:pPr>
        <w:pStyle w:val="14"/>
        <w:jc w:val="both"/>
        <w:rPr>
          <w:color w:val="auto"/>
          <w:sz w:val="21"/>
          <w:szCs w:val="21"/>
          <w:highlight w:val="none"/>
        </w:rPr>
        <w:sectPr>
          <w:headerReference r:id="rId4" w:type="first"/>
          <w:headerReference r:id="rId3" w:type="default"/>
          <w:footerReference r:id="rId5" w:type="default"/>
          <w:pgSz w:w="11906" w:h="16838"/>
          <w:pgMar w:top="1440" w:right="1133" w:bottom="1440" w:left="1440" w:header="851" w:footer="992" w:gutter="0"/>
          <w:pgNumType w:fmt="decimal" w:start="0"/>
          <w:cols w:space="720" w:num="1"/>
          <w:titlePg/>
          <w:docGrid w:linePitch="312" w:charSpace="0"/>
        </w:sectPr>
      </w:pPr>
    </w:p>
    <w:p>
      <w:pPr>
        <w:pStyle w:val="14"/>
        <w:rPr>
          <w:rFonts w:hint="eastAsia"/>
          <w:color w:val="auto"/>
          <w:sz w:val="36"/>
          <w:szCs w:val="36"/>
          <w:highlight w:val="none"/>
        </w:rPr>
      </w:pPr>
      <w:r>
        <w:rPr>
          <w:rFonts w:hint="eastAsia"/>
          <w:color w:val="auto"/>
          <w:sz w:val="36"/>
          <w:szCs w:val="36"/>
          <w:highlight w:val="none"/>
        </w:rPr>
        <w:t>目录</w:t>
      </w:r>
    </w:p>
    <w:p>
      <w:pPr>
        <w:pStyle w:val="14"/>
        <w:rPr>
          <w:rFonts w:hint="eastAsia" w:ascii="宋体" w:hAnsi="宋体" w:eastAsia="宋体" w:cs="宋体"/>
          <w:b w:val="0"/>
          <w:i w:val="0"/>
          <w:iCs w:val="0"/>
          <w:color w:val="auto"/>
          <w:sz w:val="24"/>
          <w:szCs w:val="24"/>
          <w:highlight w:val="none"/>
        </w:rPr>
      </w:pPr>
      <w:r>
        <w:rPr>
          <w:b w:val="0"/>
          <w:color w:val="auto"/>
          <w:sz w:val="30"/>
          <w:szCs w:val="30"/>
          <w:highlight w:val="none"/>
        </w:rPr>
        <w:fldChar w:fldCharType="begin"/>
      </w:r>
      <w:r>
        <w:rPr>
          <w:b w:val="0"/>
          <w:color w:val="auto"/>
          <w:sz w:val="30"/>
          <w:szCs w:val="30"/>
          <w:highlight w:val="none"/>
        </w:rPr>
        <w:instrText xml:space="preserve"> </w:instrText>
      </w:r>
      <w:r>
        <w:rPr>
          <w:rFonts w:hint="eastAsia"/>
          <w:b w:val="0"/>
          <w:color w:val="auto"/>
          <w:sz w:val="30"/>
          <w:szCs w:val="30"/>
          <w:highlight w:val="none"/>
        </w:rPr>
        <w:instrText xml:space="preserve">TOC \o "1-3" \h \z \u</w:instrText>
      </w:r>
      <w:r>
        <w:rPr>
          <w:b w:val="0"/>
          <w:color w:val="auto"/>
          <w:sz w:val="30"/>
          <w:szCs w:val="30"/>
          <w:highlight w:val="none"/>
        </w:rPr>
        <w:instrText xml:space="preserve"> </w:instrText>
      </w:r>
      <w:r>
        <w:rPr>
          <w:b w:val="0"/>
          <w:color w:val="auto"/>
          <w:sz w:val="30"/>
          <w:szCs w:val="30"/>
          <w:highlight w:val="none"/>
        </w:rPr>
        <w:fldChar w:fldCharType="separate"/>
      </w:r>
    </w:p>
    <w:p>
      <w:pPr>
        <w:pStyle w:val="14"/>
        <w:jc w:val="left"/>
        <w:rPr>
          <w:rFonts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fldChar w:fldCharType="begin"/>
      </w:r>
      <w:r>
        <w:rPr>
          <w:rFonts w:hint="eastAsia" w:ascii="宋体" w:hAnsi="宋体" w:eastAsia="宋体" w:cs="宋体"/>
          <w:b w:val="0"/>
          <w:color w:val="auto"/>
          <w:sz w:val="30"/>
          <w:szCs w:val="30"/>
          <w:highlight w:val="none"/>
        </w:rPr>
        <w:instrText xml:space="preserve"> TOC \o "1-3" \h \z \u </w:instrText>
      </w:r>
      <w:r>
        <w:rPr>
          <w:rFonts w:hint="eastAsia" w:ascii="宋体" w:hAnsi="宋体" w:eastAsia="宋体" w:cs="宋体"/>
          <w:b w:val="0"/>
          <w:color w:val="auto"/>
          <w:sz w:val="30"/>
          <w:szCs w:val="30"/>
          <w:highlight w:val="none"/>
        </w:rPr>
        <w:fldChar w:fldCharType="separate"/>
      </w:r>
      <w:r>
        <w:rPr>
          <w:color w:val="auto"/>
          <w:highlight w:val="none"/>
        </w:rPr>
        <w:fldChar w:fldCharType="begin"/>
      </w:r>
      <w:r>
        <w:rPr>
          <w:color w:val="auto"/>
          <w:highlight w:val="none"/>
        </w:rPr>
        <w:instrText xml:space="preserve"> HYPERLINK \l "_Toc306901419" </w:instrText>
      </w:r>
      <w:r>
        <w:rPr>
          <w:color w:val="auto"/>
          <w:highlight w:val="none"/>
        </w:rPr>
        <w:fldChar w:fldCharType="separate"/>
      </w:r>
      <w:r>
        <w:rPr>
          <w:rStyle w:val="30"/>
          <w:rFonts w:hint="eastAsia" w:ascii="宋体" w:hAnsi="宋体" w:eastAsia="宋体" w:cs="宋体"/>
          <w:b w:val="0"/>
          <w:color w:val="auto"/>
          <w:sz w:val="30"/>
          <w:szCs w:val="30"/>
          <w:highlight w:val="none"/>
        </w:rPr>
        <w:t>第一部分 磋商公告</w:t>
      </w:r>
      <w:r>
        <w:rPr>
          <w:rStyle w:val="30"/>
          <w:rFonts w:hint="eastAsia" w:ascii="宋体" w:hAnsi="宋体" w:eastAsia="宋体" w:cs="宋体"/>
          <w:b w:val="0"/>
          <w:color w:val="auto"/>
          <w:sz w:val="30"/>
          <w:szCs w:val="30"/>
          <w:highlight w:val="none"/>
        </w:rPr>
        <w:fldChar w:fldCharType="end"/>
      </w:r>
    </w:p>
    <w:p>
      <w:pPr>
        <w:pStyle w:val="14"/>
        <w:jc w:val="left"/>
        <w:rPr>
          <w:rFonts w:ascii="宋体" w:hAnsi="宋体" w:eastAsia="宋体" w:cs="宋体"/>
          <w:b w:val="0"/>
          <w:color w:val="auto"/>
          <w:sz w:val="30"/>
          <w:szCs w:val="30"/>
          <w:highlight w:val="none"/>
        </w:rPr>
      </w:pPr>
      <w:r>
        <w:rPr>
          <w:color w:val="auto"/>
          <w:highlight w:val="none"/>
        </w:rPr>
        <w:fldChar w:fldCharType="begin"/>
      </w:r>
      <w:r>
        <w:rPr>
          <w:color w:val="auto"/>
          <w:highlight w:val="none"/>
        </w:rPr>
        <w:instrText xml:space="preserve"> HYPERLINK \l "_Toc306901436" </w:instrText>
      </w:r>
      <w:r>
        <w:rPr>
          <w:color w:val="auto"/>
          <w:highlight w:val="none"/>
        </w:rPr>
        <w:fldChar w:fldCharType="separate"/>
      </w:r>
      <w:r>
        <w:rPr>
          <w:rStyle w:val="30"/>
          <w:rFonts w:hint="eastAsia" w:ascii="宋体" w:hAnsi="宋体" w:eastAsia="宋体" w:cs="宋体"/>
          <w:b w:val="0"/>
          <w:color w:val="auto"/>
          <w:sz w:val="30"/>
          <w:szCs w:val="30"/>
          <w:highlight w:val="none"/>
        </w:rPr>
        <w:t>第二部分 采购需求</w:t>
      </w:r>
      <w:r>
        <w:rPr>
          <w:rStyle w:val="30"/>
          <w:rFonts w:hint="eastAsia" w:ascii="宋体" w:hAnsi="宋体" w:eastAsia="宋体" w:cs="宋体"/>
          <w:b w:val="0"/>
          <w:color w:val="auto"/>
          <w:sz w:val="30"/>
          <w:szCs w:val="30"/>
          <w:highlight w:val="none"/>
        </w:rPr>
        <w:fldChar w:fldCharType="end"/>
      </w:r>
    </w:p>
    <w:p>
      <w:pPr>
        <w:pStyle w:val="14"/>
        <w:jc w:val="left"/>
        <w:rPr>
          <w:rFonts w:ascii="宋体" w:hAnsi="宋体" w:eastAsia="宋体" w:cs="宋体"/>
          <w:b w:val="0"/>
          <w:color w:val="auto"/>
          <w:sz w:val="30"/>
          <w:szCs w:val="30"/>
          <w:highlight w:val="none"/>
        </w:rPr>
      </w:pPr>
      <w:r>
        <w:rPr>
          <w:color w:val="auto"/>
          <w:highlight w:val="none"/>
        </w:rPr>
        <w:fldChar w:fldCharType="begin"/>
      </w:r>
      <w:r>
        <w:rPr>
          <w:color w:val="auto"/>
          <w:highlight w:val="none"/>
        </w:rPr>
        <w:instrText xml:space="preserve"> HYPERLINK \l "_Toc306901444" </w:instrText>
      </w:r>
      <w:r>
        <w:rPr>
          <w:color w:val="auto"/>
          <w:highlight w:val="none"/>
        </w:rPr>
        <w:fldChar w:fldCharType="separate"/>
      </w:r>
      <w:r>
        <w:rPr>
          <w:rStyle w:val="30"/>
          <w:rFonts w:hint="eastAsia" w:ascii="宋体" w:hAnsi="宋体" w:eastAsia="宋体" w:cs="宋体"/>
          <w:b w:val="0"/>
          <w:color w:val="auto"/>
          <w:sz w:val="30"/>
          <w:szCs w:val="30"/>
          <w:highlight w:val="none"/>
        </w:rPr>
        <w:t>第三部分 磋商须知</w:t>
      </w:r>
      <w:r>
        <w:rPr>
          <w:rStyle w:val="30"/>
          <w:rFonts w:hint="eastAsia" w:ascii="宋体" w:hAnsi="宋体" w:eastAsia="宋体" w:cs="宋体"/>
          <w:b w:val="0"/>
          <w:color w:val="auto"/>
          <w:sz w:val="30"/>
          <w:szCs w:val="30"/>
          <w:highlight w:val="none"/>
        </w:rPr>
        <w:fldChar w:fldCharType="end"/>
      </w:r>
    </w:p>
    <w:p>
      <w:pPr>
        <w:pStyle w:val="14"/>
        <w:jc w:val="left"/>
        <w:rPr>
          <w:rFonts w:ascii="宋体" w:hAnsi="宋体" w:eastAsia="宋体" w:cs="宋体"/>
          <w:b w:val="0"/>
          <w:color w:val="auto"/>
          <w:sz w:val="30"/>
          <w:szCs w:val="30"/>
          <w:highlight w:val="none"/>
        </w:rPr>
      </w:pPr>
      <w:r>
        <w:rPr>
          <w:color w:val="auto"/>
          <w:highlight w:val="none"/>
        </w:rPr>
        <w:fldChar w:fldCharType="begin"/>
      </w:r>
      <w:r>
        <w:rPr>
          <w:color w:val="auto"/>
          <w:highlight w:val="none"/>
        </w:rPr>
        <w:instrText xml:space="preserve"> HYPERLINK \l "_Toc306901457" </w:instrText>
      </w:r>
      <w:r>
        <w:rPr>
          <w:color w:val="auto"/>
          <w:highlight w:val="none"/>
        </w:rPr>
        <w:fldChar w:fldCharType="separate"/>
      </w:r>
      <w:r>
        <w:rPr>
          <w:rStyle w:val="30"/>
          <w:rFonts w:hint="eastAsia" w:ascii="宋体" w:hAnsi="宋体" w:eastAsia="宋体" w:cs="宋体"/>
          <w:b w:val="0"/>
          <w:color w:val="auto"/>
          <w:sz w:val="30"/>
          <w:szCs w:val="30"/>
          <w:highlight w:val="none"/>
        </w:rPr>
        <w:t>第四部分 评标办法及评分标准</w:t>
      </w:r>
      <w:r>
        <w:rPr>
          <w:rStyle w:val="30"/>
          <w:rFonts w:hint="eastAsia" w:ascii="宋体" w:hAnsi="宋体" w:eastAsia="宋体" w:cs="宋体"/>
          <w:b w:val="0"/>
          <w:color w:val="auto"/>
          <w:sz w:val="30"/>
          <w:szCs w:val="30"/>
          <w:highlight w:val="none"/>
        </w:rPr>
        <w:fldChar w:fldCharType="end"/>
      </w:r>
    </w:p>
    <w:p>
      <w:pPr>
        <w:pStyle w:val="14"/>
        <w:jc w:val="left"/>
        <w:rPr>
          <w:rFonts w:ascii="宋体" w:hAnsi="宋体" w:eastAsia="宋体" w:cs="宋体"/>
          <w:b w:val="0"/>
          <w:color w:val="auto"/>
          <w:sz w:val="30"/>
          <w:szCs w:val="30"/>
          <w:highlight w:val="none"/>
        </w:rPr>
      </w:pPr>
      <w:r>
        <w:rPr>
          <w:color w:val="auto"/>
          <w:highlight w:val="none"/>
        </w:rPr>
        <w:fldChar w:fldCharType="begin"/>
      </w:r>
      <w:r>
        <w:rPr>
          <w:color w:val="auto"/>
          <w:highlight w:val="none"/>
        </w:rPr>
        <w:instrText xml:space="preserve"> HYPERLINK \l "_Toc306901461" </w:instrText>
      </w:r>
      <w:r>
        <w:rPr>
          <w:color w:val="auto"/>
          <w:highlight w:val="none"/>
        </w:rPr>
        <w:fldChar w:fldCharType="separate"/>
      </w:r>
      <w:r>
        <w:rPr>
          <w:rStyle w:val="30"/>
          <w:rFonts w:hint="eastAsia" w:ascii="宋体" w:hAnsi="宋体" w:eastAsia="宋体" w:cs="宋体"/>
          <w:b w:val="0"/>
          <w:color w:val="auto"/>
          <w:sz w:val="30"/>
          <w:szCs w:val="30"/>
          <w:highlight w:val="none"/>
        </w:rPr>
        <w:t>第五部分 合同</w:t>
      </w:r>
      <w:r>
        <w:rPr>
          <w:rStyle w:val="30"/>
          <w:rFonts w:hint="eastAsia" w:ascii="宋体" w:hAnsi="宋体" w:eastAsia="宋体" w:cs="宋体"/>
          <w:b w:val="0"/>
          <w:color w:val="auto"/>
          <w:sz w:val="30"/>
          <w:szCs w:val="30"/>
          <w:highlight w:val="none"/>
        </w:rPr>
        <w:fldChar w:fldCharType="end"/>
      </w:r>
    </w:p>
    <w:p>
      <w:pPr>
        <w:pStyle w:val="14"/>
        <w:jc w:val="left"/>
        <w:rPr>
          <w:rFonts w:ascii="宋体" w:hAnsi="宋体" w:eastAsia="宋体" w:cs="宋体"/>
          <w:b w:val="0"/>
          <w:color w:val="auto"/>
          <w:sz w:val="30"/>
          <w:szCs w:val="30"/>
          <w:highlight w:val="none"/>
        </w:rPr>
      </w:pPr>
      <w:r>
        <w:rPr>
          <w:color w:val="auto"/>
          <w:highlight w:val="none"/>
        </w:rPr>
        <w:fldChar w:fldCharType="begin"/>
      </w:r>
      <w:r>
        <w:rPr>
          <w:color w:val="auto"/>
          <w:highlight w:val="none"/>
        </w:rPr>
        <w:instrText xml:space="preserve"> HYPERLINK \l "_Toc306901462" </w:instrText>
      </w:r>
      <w:r>
        <w:rPr>
          <w:color w:val="auto"/>
          <w:highlight w:val="none"/>
        </w:rPr>
        <w:fldChar w:fldCharType="separate"/>
      </w:r>
      <w:r>
        <w:rPr>
          <w:rStyle w:val="30"/>
          <w:rFonts w:hint="eastAsia" w:ascii="宋体" w:hAnsi="宋体" w:eastAsia="宋体" w:cs="宋体"/>
          <w:b w:val="0"/>
          <w:color w:val="auto"/>
          <w:sz w:val="30"/>
          <w:szCs w:val="30"/>
          <w:highlight w:val="none"/>
        </w:rPr>
        <w:t>第六部分 磋商响应文件格式</w:t>
      </w:r>
      <w:r>
        <w:rPr>
          <w:rStyle w:val="30"/>
          <w:rFonts w:hint="eastAsia" w:ascii="宋体" w:hAnsi="宋体" w:eastAsia="宋体" w:cs="宋体"/>
          <w:b w:val="0"/>
          <w:color w:val="auto"/>
          <w:sz w:val="30"/>
          <w:szCs w:val="30"/>
          <w:highlight w:val="none"/>
        </w:rPr>
        <w:fldChar w:fldCharType="end"/>
      </w:r>
    </w:p>
    <w:p>
      <w:pPr>
        <w:pStyle w:val="2"/>
        <w:keepNext w:val="0"/>
        <w:keepLines w:val="0"/>
        <w:pageBreakBefore w:val="0"/>
        <w:kinsoku/>
        <w:wordWrap/>
        <w:overflowPunct/>
        <w:topLinePunct w:val="0"/>
        <w:bidi w:val="0"/>
        <w:snapToGrid w:val="0"/>
        <w:spacing w:before="120" w:after="120" w:line="360" w:lineRule="exact"/>
        <w:jc w:val="center"/>
        <w:textAlignment w:val="auto"/>
        <w:outlineLvl w:val="0"/>
        <w:rPr>
          <w:rFonts w:ascii="黑体" w:hAnsi="宋体" w:eastAsia="黑体"/>
          <w:color w:val="auto"/>
          <w:sz w:val="30"/>
          <w:szCs w:val="30"/>
          <w:highlight w:val="none"/>
        </w:rPr>
      </w:pPr>
      <w:r>
        <w:rPr>
          <w:rFonts w:hint="eastAsia" w:hAnsi="宋体" w:eastAsia="宋体" w:cs="宋体"/>
          <w:color w:val="auto"/>
          <w:sz w:val="30"/>
          <w:szCs w:val="30"/>
          <w:highlight w:val="none"/>
        </w:rPr>
        <w:fldChar w:fldCharType="end"/>
      </w:r>
      <w:r>
        <w:rPr>
          <w:color w:val="auto"/>
          <w:sz w:val="30"/>
          <w:szCs w:val="30"/>
          <w:highlight w:val="none"/>
        </w:rPr>
        <w:fldChar w:fldCharType="end"/>
      </w:r>
      <w:r>
        <w:rPr>
          <w:b/>
          <w:color w:val="auto"/>
          <w:sz w:val="44"/>
          <w:szCs w:val="44"/>
          <w:highlight w:val="none"/>
        </w:rPr>
        <w:br w:type="page"/>
      </w:r>
      <w:bookmarkStart w:id="0" w:name="_Toc237656250"/>
      <w:bookmarkStart w:id="1" w:name="_Toc238443285"/>
      <w:bookmarkStart w:id="2" w:name="_Toc255821799"/>
      <w:bookmarkStart w:id="3" w:name="_Toc237138373"/>
      <w:bookmarkStart w:id="4" w:name="_Toc261001136"/>
      <w:bookmarkStart w:id="5" w:name="_Toc248896172"/>
      <w:bookmarkStart w:id="6" w:name="_Toc306901421"/>
      <w:bookmarkStart w:id="7" w:name="_Toc302983069"/>
      <w:bookmarkStart w:id="8" w:name="_Toc248896024"/>
      <w:bookmarkStart w:id="9" w:name="_Toc261001044"/>
      <w:bookmarkStart w:id="10" w:name="_Toc217998399"/>
      <w:bookmarkStart w:id="11" w:name="_Toc240724364"/>
      <w:bookmarkStart w:id="12" w:name="_Toc283973049"/>
      <w:bookmarkStart w:id="13" w:name="_Toc290043085"/>
      <w:bookmarkStart w:id="14" w:name="_Toc255819805"/>
      <w:bookmarkStart w:id="15" w:name="_Toc301444164"/>
      <w:bookmarkStart w:id="16" w:name="_Toc240724029"/>
      <w:bookmarkStart w:id="17" w:name="_Toc292375873"/>
      <w:bookmarkStart w:id="18" w:name="_Toc239128656"/>
      <w:bookmarkStart w:id="19" w:name="_Toc255459621"/>
      <w:bookmarkStart w:id="20" w:name="_Toc237079649"/>
      <w:bookmarkStart w:id="21" w:name="_Toc218007228"/>
      <w:bookmarkStart w:id="22" w:name="_Toc218007959"/>
      <w:bookmarkStart w:id="23" w:name="_Toc277078921"/>
      <w:bookmarkStart w:id="24" w:name="_Toc248896331"/>
      <w:r>
        <w:rPr>
          <w:rFonts w:hint="eastAsia" w:ascii="宋体" w:hAnsi="宋体" w:eastAsia="宋体" w:cs="宋体"/>
          <w:b/>
          <w:bCs/>
          <w:color w:val="auto"/>
          <w:sz w:val="36"/>
          <w:szCs w:val="36"/>
          <w:highlight w:val="none"/>
        </w:rPr>
        <w:t>第一章 竞争性磋商公告</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tblPr>
        <w:tblStyle w:val="25"/>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9300" w:type="dxa"/>
            <w:noWrap w:val="0"/>
            <w:vAlign w:val="top"/>
          </w:tcPr>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auto"/>
                <w:spacing w:val="0"/>
                <w:sz w:val="21"/>
                <w:szCs w:val="21"/>
                <w:highlight w:val="none"/>
              </w:rPr>
            </w:pPr>
            <w:bookmarkStart w:id="25" w:name="B30_其他事项"/>
            <w:r>
              <w:rPr>
                <w:rFonts w:hint="eastAsia" w:ascii="微软雅黑" w:hAnsi="微软雅黑" w:eastAsia="微软雅黑" w:cs="微软雅黑"/>
                <w:i w:val="0"/>
                <w:caps w:val="0"/>
                <w:color w:val="auto"/>
                <w:spacing w:val="0"/>
                <w:sz w:val="31"/>
                <w:szCs w:val="31"/>
                <w:highlight w:val="none"/>
              </w:rPr>
              <w:t> </w:t>
            </w:r>
            <w:r>
              <w:rPr>
                <w:rFonts w:hint="eastAsia" w:ascii="宋体" w:hAnsi="宋体" w:eastAsia="宋体" w:cs="宋体"/>
                <w:i w:val="0"/>
                <w:caps w:val="0"/>
                <w:color w:val="auto"/>
                <w:spacing w:val="0"/>
                <w:sz w:val="21"/>
                <w:szCs w:val="21"/>
                <w:highlight w:val="none"/>
              </w:rPr>
              <w:t> 项目概况</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10" w:right="0" w:hanging="210" w:hangingChars="100"/>
              <w:jc w:val="both"/>
              <w:textAlignment w:val="auto"/>
              <w:rPr>
                <w:rFonts w:hint="eastAsia" w:cs="宋体"/>
                <w:b/>
                <w:color w:val="auto"/>
                <w:kern w:val="2"/>
                <w:sz w:val="21"/>
                <w:szCs w:val="21"/>
                <w:highlight w:val="none"/>
                <w:vertAlign w:val="baseline"/>
                <w:lang w:bidi="ar"/>
              </w:rPr>
            </w:pPr>
            <w:r>
              <w:rPr>
                <w:rFonts w:hint="eastAsia" w:ascii="宋体" w:hAnsi="宋体" w:eastAsia="宋体" w:cs="宋体"/>
                <w:i w:val="0"/>
                <w:caps w:val="0"/>
                <w:color w:val="auto"/>
                <w:spacing w:val="0"/>
                <w:sz w:val="21"/>
                <w:szCs w:val="21"/>
                <w:highlight w:val="none"/>
              </w:rPr>
              <w:t> </w:t>
            </w:r>
            <w:r>
              <w:rPr>
                <w:rFonts w:hint="eastAsia" w:eastAsia="宋体" w:cs="宋体"/>
                <w:i w:val="0"/>
                <w:caps w:val="0"/>
                <w:color w:val="auto"/>
                <w:spacing w:val="0"/>
                <w:sz w:val="21"/>
                <w:szCs w:val="21"/>
                <w:highlight w:val="none"/>
                <w:u w:val="single"/>
                <w:lang w:eastAsia="zh-CN"/>
              </w:rPr>
              <w:t>2024年省级挂牌治理道路交通事故多发点段（S322临石线K71+600永安路口）整治工程</w:t>
            </w:r>
            <w:r>
              <w:rPr>
                <w:rFonts w:hint="eastAsia" w:cs="宋体"/>
                <w:i w:val="0"/>
                <w:caps w:val="0"/>
                <w:color w:val="auto"/>
                <w:spacing w:val="0"/>
                <w:sz w:val="21"/>
                <w:szCs w:val="21"/>
                <w:highlight w:val="none"/>
                <w:u w:val="single"/>
                <w:lang w:val="en-US" w:eastAsia="zh-CN"/>
              </w:rPr>
              <w:t xml:space="preserve"> </w:t>
            </w:r>
            <w:r>
              <w:rPr>
                <w:rFonts w:hint="eastAsia" w:ascii="宋体" w:hAnsi="宋体" w:eastAsia="宋体" w:cs="宋体"/>
                <w:i w:val="0"/>
                <w:caps w:val="0"/>
                <w:color w:val="auto"/>
                <w:spacing w:val="0"/>
                <w:sz w:val="21"/>
                <w:szCs w:val="21"/>
                <w:highlight w:val="none"/>
                <w:u w:val="single"/>
              </w:rPr>
              <w:t>的</w:t>
            </w:r>
            <w:r>
              <w:rPr>
                <w:rFonts w:hint="eastAsia" w:ascii="宋体" w:hAnsi="宋体" w:eastAsia="宋体" w:cs="宋体"/>
                <w:i w:val="0"/>
                <w:caps w:val="0"/>
                <w:color w:val="auto"/>
                <w:spacing w:val="0"/>
                <w:sz w:val="21"/>
                <w:szCs w:val="21"/>
                <w:highlight w:val="none"/>
                <w:u w:val="none"/>
              </w:rPr>
              <w:t>潜在供应商应在</w:t>
            </w:r>
            <w:r>
              <w:rPr>
                <w:rFonts w:hint="eastAsia" w:ascii="宋体" w:hAnsi="宋体" w:eastAsia="宋体" w:cs="宋体"/>
                <w:i w:val="0"/>
                <w:caps w:val="0"/>
                <w:color w:val="auto"/>
                <w:spacing w:val="0"/>
                <w:sz w:val="21"/>
                <w:szCs w:val="21"/>
                <w:highlight w:val="none"/>
                <w:u w:val="single"/>
              </w:rPr>
              <w:t xml:space="preserve"> 浙江政府采购网（http://zfcg.czt.zj.gov.cn） </w:t>
            </w:r>
            <w:r>
              <w:rPr>
                <w:rFonts w:hint="eastAsia" w:ascii="宋体" w:hAnsi="宋体" w:eastAsia="宋体" w:cs="宋体"/>
                <w:i w:val="0"/>
                <w:caps w:val="0"/>
                <w:color w:val="auto"/>
                <w:spacing w:val="0"/>
                <w:sz w:val="21"/>
                <w:szCs w:val="21"/>
                <w:highlight w:val="none"/>
                <w:u w:val="none"/>
              </w:rPr>
              <w:t>获取（下载）采购文件，并于</w:t>
            </w:r>
            <w:r>
              <w:rPr>
                <w:rFonts w:hint="eastAsia" w:ascii="宋体" w:hAnsi="宋体" w:eastAsia="宋体" w:cs="宋体"/>
                <w:i w:val="0"/>
                <w:caps w:val="0"/>
                <w:color w:val="auto"/>
                <w:spacing w:val="0"/>
                <w:sz w:val="21"/>
                <w:szCs w:val="21"/>
                <w:highlight w:val="none"/>
                <w:u w:val="single"/>
              </w:rPr>
              <w:t xml:space="preserve"> </w:t>
            </w:r>
            <w:r>
              <w:rPr>
                <w:rFonts w:hint="eastAsia" w:eastAsia="宋体" w:cs="宋体"/>
                <w:i w:val="0"/>
                <w:caps w:val="0"/>
                <w:color w:val="auto"/>
                <w:spacing w:val="0"/>
                <w:sz w:val="21"/>
                <w:szCs w:val="21"/>
                <w:highlight w:val="none"/>
                <w:u w:val="single"/>
                <w:lang w:eastAsia="zh-CN"/>
              </w:rPr>
              <w:t>2024年</w:t>
            </w:r>
            <w:r>
              <w:rPr>
                <w:rFonts w:hint="eastAsia" w:eastAsia="宋体" w:cs="宋体"/>
                <w:i w:val="0"/>
                <w:caps w:val="0"/>
                <w:color w:val="auto"/>
                <w:spacing w:val="0"/>
                <w:sz w:val="21"/>
                <w:szCs w:val="21"/>
                <w:highlight w:val="none"/>
                <w:u w:val="single"/>
                <w:lang w:val="en-US" w:eastAsia="zh-CN"/>
              </w:rPr>
              <w:t>05</w:t>
            </w:r>
            <w:r>
              <w:rPr>
                <w:rFonts w:hint="eastAsia" w:eastAsia="宋体" w:cs="宋体"/>
                <w:i w:val="0"/>
                <w:caps w:val="0"/>
                <w:color w:val="auto"/>
                <w:spacing w:val="0"/>
                <w:sz w:val="21"/>
                <w:szCs w:val="21"/>
                <w:highlight w:val="none"/>
                <w:u w:val="single"/>
                <w:lang w:eastAsia="zh-CN"/>
              </w:rPr>
              <w:t>月</w:t>
            </w:r>
            <w:r>
              <w:rPr>
                <w:rFonts w:hint="eastAsia" w:eastAsia="宋体" w:cs="宋体"/>
                <w:i w:val="0"/>
                <w:caps w:val="0"/>
                <w:color w:val="auto"/>
                <w:spacing w:val="0"/>
                <w:sz w:val="21"/>
                <w:szCs w:val="21"/>
                <w:highlight w:val="none"/>
                <w:u w:val="single"/>
                <w:lang w:val="en-US" w:eastAsia="zh-CN"/>
              </w:rPr>
              <w:t>11</w:t>
            </w:r>
            <w:r>
              <w:rPr>
                <w:rFonts w:hint="eastAsia" w:eastAsia="宋体" w:cs="宋体"/>
                <w:i w:val="0"/>
                <w:caps w:val="0"/>
                <w:color w:val="auto"/>
                <w:spacing w:val="0"/>
                <w:sz w:val="21"/>
                <w:szCs w:val="21"/>
                <w:highlight w:val="none"/>
                <w:u w:val="single"/>
                <w:lang w:eastAsia="zh-CN"/>
              </w:rPr>
              <w:t>日</w:t>
            </w:r>
            <w:r>
              <w:rPr>
                <w:rFonts w:hint="eastAsia" w:eastAsia="宋体" w:cs="宋体"/>
                <w:i w:val="0"/>
                <w:caps w:val="0"/>
                <w:color w:val="auto"/>
                <w:spacing w:val="0"/>
                <w:sz w:val="21"/>
                <w:szCs w:val="21"/>
                <w:highlight w:val="none"/>
                <w:u w:val="single"/>
                <w:lang w:val="en-US" w:eastAsia="zh-CN"/>
              </w:rPr>
              <w:t>09:00</w:t>
            </w:r>
            <w:r>
              <w:rPr>
                <w:rFonts w:hint="eastAsia" w:ascii="宋体" w:hAnsi="宋体" w:eastAsia="宋体" w:cs="宋体"/>
                <w:i w:val="0"/>
                <w:caps w:val="0"/>
                <w:color w:val="auto"/>
                <w:spacing w:val="0"/>
                <w:sz w:val="21"/>
                <w:szCs w:val="21"/>
                <w:highlight w:val="none"/>
                <w:u w:val="single"/>
              </w:rPr>
              <w:t>（北京时间）前提交（上传）响应文件</w:t>
            </w:r>
          </w:p>
        </w:tc>
      </w:tr>
    </w:tbl>
    <w:p>
      <w:pPr>
        <w:pStyle w:val="20"/>
        <w:widowControl w:val="0"/>
        <w:numPr>
          <w:ilvl w:val="0"/>
          <w:numId w:val="0"/>
        </w:numPr>
        <w:spacing w:before="0" w:beforeAutospacing="0" w:after="0" w:afterAutospacing="0" w:line="360" w:lineRule="auto"/>
        <w:ind w:left="420" w:leftChars="0"/>
        <w:jc w:val="both"/>
        <w:rPr>
          <w:rFonts w:hint="eastAsia" w:cs="宋体"/>
          <w:b/>
          <w:color w:val="auto"/>
          <w:kern w:val="2"/>
          <w:sz w:val="21"/>
          <w:szCs w:val="21"/>
          <w:highlight w:val="none"/>
          <w:lang w:bidi="ar"/>
        </w:rPr>
      </w:pPr>
    </w:p>
    <w:p>
      <w:pPr>
        <w:pStyle w:val="20"/>
        <w:keepNext w:val="0"/>
        <w:keepLines w:val="0"/>
        <w:pageBreakBefore w:val="0"/>
        <w:widowControl w:val="0"/>
        <w:numPr>
          <w:ilvl w:val="0"/>
          <w:numId w:val="1"/>
        </w:numPr>
        <w:kinsoku/>
        <w:overflowPunct/>
        <w:topLinePunct w:val="0"/>
        <w:autoSpaceDE/>
        <w:autoSpaceDN/>
        <w:bidi w:val="0"/>
        <w:adjustRightInd/>
        <w:snapToGrid/>
        <w:spacing w:before="0" w:beforeLines="0" w:beforeAutospacing="0" w:after="0" w:afterLines="0" w:afterAutospacing="0" w:line="400"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项目基本情况</w:t>
      </w:r>
    </w:p>
    <w:p>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项目编号：</w:t>
      </w:r>
      <w:r>
        <w:rPr>
          <w:rFonts w:hint="eastAsia" w:ascii="宋体" w:hAnsi="宋体" w:eastAsia="宋体" w:cs="宋体"/>
          <w:color w:val="auto"/>
          <w:kern w:val="0"/>
          <w:sz w:val="21"/>
          <w:szCs w:val="21"/>
          <w:highlight w:val="none"/>
          <w:lang w:eastAsia="zh-CN"/>
        </w:rPr>
        <w:t xml:space="preserve">TZRT(采购）-24009 </w:t>
      </w:r>
    </w:p>
    <w:p>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lang w:eastAsia="zh-CN"/>
        </w:rPr>
        <w:t>2024年省级挂牌治理道路交通事故多发点段（S322临石线K71+600永安路口）整治工程</w:t>
      </w:r>
    </w:p>
    <w:p>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采购方式：竞争性磋商</w:t>
      </w:r>
    </w:p>
    <w:p>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预算金额（元）：</w:t>
      </w:r>
      <w:r>
        <w:rPr>
          <w:rFonts w:hint="eastAsia" w:ascii="宋体" w:hAnsi="宋体" w:eastAsia="宋体" w:cs="宋体"/>
          <w:color w:val="auto"/>
          <w:kern w:val="0"/>
          <w:sz w:val="21"/>
          <w:szCs w:val="21"/>
          <w:highlight w:val="none"/>
          <w:lang w:eastAsia="zh-CN"/>
        </w:rPr>
        <w:t>880738</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最高限价（元）：819086</w:t>
      </w:r>
    </w:p>
    <w:p>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数量：1 </w:t>
      </w:r>
    </w:p>
    <w:p>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预算金额（元）：</w:t>
      </w:r>
      <w:r>
        <w:rPr>
          <w:rFonts w:hint="eastAsia" w:ascii="宋体" w:hAnsi="宋体" w:eastAsia="宋体" w:cs="宋体"/>
          <w:color w:val="auto"/>
          <w:kern w:val="0"/>
          <w:sz w:val="21"/>
          <w:szCs w:val="21"/>
          <w:highlight w:val="none"/>
          <w:lang w:eastAsia="zh-CN"/>
        </w:rPr>
        <w:t>880738</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单位：项 </w:t>
      </w:r>
    </w:p>
    <w:p>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简要规格描述：详见磋商文件 </w:t>
      </w:r>
    </w:p>
    <w:p>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 </w:t>
      </w:r>
    </w:p>
    <w:p>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合同履约期限：标项 1，详见磋商文件 </w:t>
      </w:r>
    </w:p>
    <w:p>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本项目（否）接受联合体投标。</w:t>
      </w:r>
    </w:p>
    <w:p>
      <w:pPr>
        <w:pStyle w:val="20"/>
        <w:keepNext w:val="0"/>
        <w:keepLines w:val="0"/>
        <w:pageBreakBefore w:val="0"/>
        <w:widowControl w:val="0"/>
        <w:numPr>
          <w:ilvl w:val="0"/>
          <w:numId w:val="1"/>
        </w:numPr>
        <w:kinsoku/>
        <w:overflowPunct/>
        <w:topLinePunct w:val="0"/>
        <w:autoSpaceDE/>
        <w:autoSpaceDN/>
        <w:bidi w:val="0"/>
        <w:adjustRightInd/>
        <w:snapToGrid/>
        <w:spacing w:before="0" w:beforeLines="0" w:beforeAutospacing="0" w:after="0" w:afterLines="0" w:afterAutospacing="0" w:line="360" w:lineRule="auto"/>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申请人的资格要求：</w:t>
      </w:r>
    </w:p>
    <w:p>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符合《中华人民共和国政府采购法》第二十二条规定的投标人资格条件及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 </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80" w:lineRule="exact"/>
        <w:ind w:right="23"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2.落实政府采购政策需满足的资格要求：</w:t>
      </w:r>
      <w:r>
        <w:rPr>
          <w:rFonts w:hint="eastAsia" w:ascii="宋体"/>
          <w:color w:val="auto"/>
          <w:sz w:val="21"/>
          <w:szCs w:val="21"/>
          <w:highlight w:val="none"/>
        </w:rPr>
        <w:t>供应商为中小企业/小微企业或监狱企业或残疾人福利性单位。</w:t>
      </w:r>
    </w:p>
    <w:p>
      <w:pPr>
        <w:pStyle w:val="4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3.本项目的特定资格要求：（1）具备公路工程施工总承包二级及以上资质或同时具备路基路面养护甲级资质及交通安全设施养护资质，并在人员、设备、资金等方面具有相应的施工能力。若为公路工程施工总承包一级及以上资质的应列入交通运输部网站（http://www.moc.gov.cn/）中“全国公路建设市场信用信息管理系统”中最新公布的公路工程施工资质企业名录，且投标人名称与上述名录相符；（2）企业具有安全生产许可证，且在有效期内。</w:t>
      </w:r>
    </w:p>
    <w:p>
      <w:pPr>
        <w:pStyle w:val="20"/>
        <w:keepNext w:val="0"/>
        <w:keepLines w:val="0"/>
        <w:pageBreakBefore w:val="0"/>
        <w:widowControl w:val="0"/>
        <w:numPr>
          <w:ilvl w:val="0"/>
          <w:numId w:val="1"/>
        </w:numPr>
        <w:kinsoku/>
        <w:overflowPunct/>
        <w:topLinePunct w:val="0"/>
        <w:autoSpaceDE/>
        <w:autoSpaceDN/>
        <w:bidi w:val="0"/>
        <w:adjustRightInd/>
        <w:snapToGrid/>
        <w:spacing w:before="0" w:beforeLines="0" w:beforeAutospacing="0" w:after="0" w:afterLines="0" w:afterAutospacing="0" w:line="360" w:lineRule="auto"/>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获取（下载）采购文件</w:t>
      </w:r>
    </w:p>
    <w:p>
      <w:pPr>
        <w:spacing w:beforeLines="0" w:afterLines="0" w:line="360" w:lineRule="auto"/>
        <w:ind w:firstLine="420" w:firstLineChars="200"/>
        <w:rPr>
          <w:rFonts w:hint="default" w:ascii="宋体" w:hAnsi="宋体" w:eastAsia="宋体"/>
          <w:color w:val="auto"/>
          <w:kern w:val="0"/>
          <w:sz w:val="21"/>
          <w:highlight w:val="none"/>
        </w:rPr>
      </w:pPr>
      <w:r>
        <w:rPr>
          <w:rFonts w:hint="default" w:ascii="宋体" w:hAnsi="宋体" w:eastAsia="宋体"/>
          <w:color w:val="auto"/>
          <w:kern w:val="0"/>
          <w:sz w:val="21"/>
          <w:highlight w:val="none"/>
        </w:rPr>
        <w:t>1.时间：/至</w:t>
      </w:r>
      <w:r>
        <w:rPr>
          <w:rFonts w:hint="default" w:ascii="宋体" w:eastAsia="宋体"/>
          <w:color w:val="auto"/>
          <w:sz w:val="21"/>
          <w:highlight w:val="none"/>
        </w:rPr>
        <w:t xml:space="preserve"> </w:t>
      </w:r>
      <w:r>
        <w:rPr>
          <w:rFonts w:hint="default" w:ascii="宋体" w:eastAsia="宋体"/>
          <w:color w:val="auto"/>
          <w:sz w:val="21"/>
          <w:highlight w:val="none"/>
          <w:lang w:eastAsia="zh-CN"/>
        </w:rPr>
        <w:t>2024年</w:t>
      </w:r>
      <w:r>
        <w:rPr>
          <w:rFonts w:hint="eastAsia" w:eastAsia="宋体"/>
          <w:color w:val="auto"/>
          <w:sz w:val="21"/>
          <w:highlight w:val="none"/>
          <w:lang w:val="en-US" w:eastAsia="zh-CN"/>
        </w:rPr>
        <w:t>05</w:t>
      </w:r>
      <w:r>
        <w:rPr>
          <w:rFonts w:hint="default" w:ascii="宋体" w:eastAsia="宋体"/>
          <w:color w:val="auto"/>
          <w:sz w:val="21"/>
          <w:highlight w:val="none"/>
          <w:lang w:eastAsia="zh-CN"/>
        </w:rPr>
        <w:t>月</w:t>
      </w:r>
      <w:r>
        <w:rPr>
          <w:rFonts w:hint="eastAsia" w:eastAsia="宋体"/>
          <w:color w:val="auto"/>
          <w:sz w:val="21"/>
          <w:highlight w:val="none"/>
          <w:lang w:val="en-US" w:eastAsia="zh-CN"/>
        </w:rPr>
        <w:t>11</w:t>
      </w:r>
      <w:r>
        <w:rPr>
          <w:rFonts w:hint="default" w:ascii="宋体" w:eastAsia="宋体"/>
          <w:color w:val="auto"/>
          <w:sz w:val="21"/>
          <w:highlight w:val="none"/>
          <w:lang w:eastAsia="zh-CN"/>
        </w:rPr>
        <w:t>日</w:t>
      </w:r>
      <w:r>
        <w:rPr>
          <w:rFonts w:hint="default" w:ascii="宋体" w:hAnsi="宋体" w:eastAsia="宋体"/>
          <w:color w:val="auto"/>
          <w:kern w:val="0"/>
          <w:sz w:val="21"/>
          <w:highlight w:val="none"/>
        </w:rPr>
        <w:t>，每天上午00:00至12:00，下午12:00至23:59（北京时间，线上获取法定节假日均可，线下获取文件法定节假日除外）</w:t>
      </w:r>
    </w:p>
    <w:p>
      <w:pPr>
        <w:spacing w:beforeLines="0" w:afterLines="0" w:line="360" w:lineRule="auto"/>
        <w:ind w:firstLine="420" w:firstLineChars="200"/>
        <w:rPr>
          <w:rFonts w:hint="default" w:ascii="宋体" w:hAnsi="宋体" w:eastAsia="宋体"/>
          <w:color w:val="auto"/>
          <w:kern w:val="0"/>
          <w:sz w:val="21"/>
          <w:highlight w:val="none"/>
        </w:rPr>
      </w:pPr>
      <w:r>
        <w:rPr>
          <w:rFonts w:hint="default" w:ascii="宋体" w:hAnsi="宋体" w:eastAsia="宋体"/>
          <w:color w:val="auto"/>
          <w:kern w:val="0"/>
          <w:sz w:val="21"/>
          <w:highlight w:val="none"/>
        </w:rPr>
        <w:t>2.地点（网址）：浙江政府采购网（http://zfcg.czt.zj.gov.cn） </w:t>
      </w:r>
    </w:p>
    <w:p>
      <w:pPr>
        <w:spacing w:beforeLines="0" w:afterLines="0" w:line="360" w:lineRule="auto"/>
        <w:ind w:firstLine="420" w:firstLineChars="200"/>
        <w:rPr>
          <w:rFonts w:hint="eastAsia" w:ascii="宋体" w:hAnsi="宋体" w:eastAsia="宋体" w:cs="宋体"/>
          <w:color w:val="auto"/>
          <w:kern w:val="0"/>
          <w:sz w:val="21"/>
          <w:szCs w:val="21"/>
          <w:highlight w:val="none"/>
          <w:lang w:val="en-US" w:eastAsia="zh-CN"/>
        </w:rPr>
      </w:pPr>
      <w:r>
        <w:rPr>
          <w:rFonts w:hint="default" w:ascii="宋体" w:hAnsi="宋体" w:eastAsia="宋体"/>
          <w:color w:val="auto"/>
          <w:kern w:val="0"/>
          <w:sz w:val="21"/>
          <w:highlight w:val="none"/>
        </w:rPr>
        <w:t>3.方式：供应商通过“浙江政府采购网”在线获取（磋商公告下方选取“潜在供应商”处“获取采购文件”），不提供纸制版采购文件；供应商只有在“浙江政府采购网”完成获取采购文件申请并下载了采购文件后才视作依法获取采购文件（法律法规所指的供应商获取采购文件时间以供应商完成获取采购文件申请后下载采购文件的时间为准）。通过公告下方“游客，浏览采购文件”下载的采购文件仅供浏览，不视作依法获取采购文件。 </w:t>
      </w:r>
      <w:r>
        <w:rPr>
          <w:rFonts w:hint="eastAsia" w:ascii="宋体" w:hAnsi="宋体" w:eastAsia="宋体" w:cs="宋体"/>
          <w:color w:val="auto"/>
          <w:kern w:val="0"/>
          <w:sz w:val="21"/>
          <w:szCs w:val="21"/>
          <w:highlight w:val="none"/>
          <w:lang w:val="en-US" w:eastAsia="zh-CN"/>
        </w:rPr>
        <w:t> </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4.售价（元）：0 </w:t>
      </w:r>
    </w:p>
    <w:p>
      <w:pPr>
        <w:pStyle w:val="20"/>
        <w:keepNext w:val="0"/>
        <w:keepLines w:val="0"/>
        <w:pageBreakBefore w:val="0"/>
        <w:widowControl w:val="0"/>
        <w:numPr>
          <w:ilvl w:val="0"/>
          <w:numId w:val="2"/>
        </w:numPr>
        <w:kinsoku/>
        <w:wordWrap/>
        <w:overflowPunct/>
        <w:topLinePunct w:val="0"/>
        <w:autoSpaceDE/>
        <w:autoSpaceDN/>
        <w:bidi w:val="0"/>
        <w:adjustRightInd/>
        <w:snapToGrid/>
        <w:spacing w:before="0" w:beforeLines="0" w:beforeAutospacing="0" w:after="0" w:afterLines="0" w:afterAutospacing="0" w:line="360" w:lineRule="auto"/>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0"/>
          <w:sz w:val="21"/>
          <w:szCs w:val="21"/>
          <w:highlight w:val="none"/>
          <w:lang w:eastAsia="zh-CN"/>
        </w:rPr>
        <w:t>响应文件提交（上传）</w:t>
      </w:r>
    </w:p>
    <w:bookmarkEnd w:id="25"/>
    <w:p>
      <w:pPr>
        <w:pStyle w:val="20"/>
        <w:spacing w:before="0" w:beforeAutospacing="0" w:after="0" w:afterAutospacing="0" w:line="360" w:lineRule="auto"/>
        <w:ind w:firstLine="420" w:firstLineChars="200"/>
        <w:rPr>
          <w:rFonts w:hint="default" w:ascii="宋体" w:eastAsia="宋体"/>
          <w:color w:val="auto"/>
          <w:sz w:val="21"/>
          <w:highlight w:val="none"/>
        </w:rPr>
      </w:pPr>
      <w:bookmarkStart w:id="26" w:name="_Toc306901436"/>
      <w:bookmarkStart w:id="27" w:name="_Toc173810692"/>
      <w:r>
        <w:rPr>
          <w:rFonts w:hint="default" w:ascii="宋体" w:eastAsia="宋体"/>
          <w:color w:val="auto"/>
          <w:sz w:val="21"/>
          <w:highlight w:val="none"/>
        </w:rPr>
        <w:t xml:space="preserve">截止时间： </w:t>
      </w:r>
      <w:r>
        <w:rPr>
          <w:rFonts w:hint="default" w:ascii="宋体" w:eastAsia="宋体"/>
          <w:color w:val="auto"/>
          <w:sz w:val="21"/>
          <w:highlight w:val="none"/>
          <w:lang w:eastAsia="zh-CN"/>
        </w:rPr>
        <w:t>2024年</w:t>
      </w:r>
      <w:r>
        <w:rPr>
          <w:rFonts w:hint="eastAsia" w:eastAsia="宋体"/>
          <w:color w:val="auto"/>
          <w:sz w:val="21"/>
          <w:highlight w:val="none"/>
          <w:lang w:val="en-US" w:eastAsia="zh-CN"/>
        </w:rPr>
        <w:t>05</w:t>
      </w:r>
      <w:r>
        <w:rPr>
          <w:rFonts w:hint="default" w:ascii="宋体" w:eastAsia="宋体"/>
          <w:color w:val="auto"/>
          <w:sz w:val="21"/>
          <w:highlight w:val="none"/>
          <w:lang w:eastAsia="zh-CN"/>
        </w:rPr>
        <w:t>月</w:t>
      </w:r>
      <w:r>
        <w:rPr>
          <w:rFonts w:hint="eastAsia" w:eastAsia="宋体"/>
          <w:color w:val="auto"/>
          <w:sz w:val="21"/>
          <w:highlight w:val="none"/>
          <w:lang w:val="en-US" w:eastAsia="zh-CN"/>
        </w:rPr>
        <w:t>11</w:t>
      </w:r>
      <w:r>
        <w:rPr>
          <w:rFonts w:hint="default" w:ascii="宋体" w:eastAsia="宋体"/>
          <w:color w:val="auto"/>
          <w:sz w:val="21"/>
          <w:highlight w:val="none"/>
          <w:lang w:eastAsia="zh-CN"/>
        </w:rPr>
        <w:t>日</w:t>
      </w:r>
      <w:r>
        <w:rPr>
          <w:rFonts w:hint="eastAsia" w:eastAsia="宋体"/>
          <w:color w:val="auto"/>
          <w:kern w:val="0"/>
          <w:sz w:val="21"/>
          <w:highlight w:val="none"/>
          <w:lang w:val="en-US" w:eastAsia="zh-CN"/>
        </w:rPr>
        <w:t>09:00</w:t>
      </w:r>
      <w:r>
        <w:rPr>
          <w:rFonts w:hint="default" w:ascii="宋体" w:eastAsia="宋体"/>
          <w:color w:val="auto"/>
          <w:sz w:val="21"/>
          <w:highlight w:val="none"/>
        </w:rPr>
        <w:t>（北京时间）</w:t>
      </w:r>
    </w:p>
    <w:p>
      <w:pPr>
        <w:pStyle w:val="20"/>
        <w:spacing w:before="0" w:beforeAutospacing="0" w:after="0" w:afterAutospacing="0" w:line="360" w:lineRule="auto"/>
        <w:ind w:firstLine="420" w:firstLineChars="200"/>
        <w:rPr>
          <w:rFonts w:hint="default" w:ascii="宋体" w:eastAsia="宋体"/>
          <w:color w:val="auto"/>
          <w:sz w:val="21"/>
          <w:highlight w:val="none"/>
        </w:rPr>
      </w:pPr>
      <w:r>
        <w:rPr>
          <w:rFonts w:hint="default" w:ascii="宋体" w:eastAsia="宋体"/>
          <w:color w:val="auto"/>
          <w:sz w:val="21"/>
          <w:highlight w:val="none"/>
        </w:rPr>
        <w:t>地点（网址）：（1）电子加密响应文件：政府采购云平台（https://www.zcygov.cn）在线递交。 （2）备份响应文件：政采云平台上最后生成的具备电子签章的备份响应文件，文件名后缀为备份标书四字的首字母。供应商自行确定是否提交；若提交请在提交磋商响应文件截止时间前将备份响应文件打包压缩加密（未加密造成泄密的由投标人自行承担）后以电子邮件的形式发送至</w:t>
      </w:r>
      <w:r>
        <w:rPr>
          <w:rFonts w:hint="eastAsia" w:eastAsia="宋体"/>
          <w:color w:val="auto"/>
          <w:sz w:val="21"/>
          <w:highlight w:val="none"/>
          <w:lang w:eastAsia="zh-CN"/>
        </w:rPr>
        <w:t>3050868501@qq.com</w:t>
      </w:r>
      <w:r>
        <w:rPr>
          <w:rFonts w:hint="default" w:ascii="宋体" w:eastAsia="宋体"/>
          <w:color w:val="auto"/>
          <w:sz w:val="21"/>
          <w:highlight w:val="none"/>
        </w:rPr>
        <w:t>，逾期发送的将被视为未提交。</w:t>
      </w:r>
    </w:p>
    <w:p>
      <w:pPr>
        <w:pStyle w:val="20"/>
        <w:widowControl w:val="0"/>
        <w:numPr>
          <w:ilvl w:val="0"/>
          <w:numId w:val="0"/>
        </w:numPr>
        <w:spacing w:before="0" w:beforeAutospacing="0" w:after="0" w:afterAutospacing="0" w:line="360" w:lineRule="auto"/>
        <w:ind w:firstLine="422" w:firstLineChars="200"/>
        <w:jc w:val="both"/>
        <w:rPr>
          <w:rFonts w:hint="default" w:ascii="宋体" w:eastAsia="宋体"/>
          <w:b/>
          <w:color w:val="auto"/>
          <w:kern w:val="2"/>
          <w:sz w:val="21"/>
          <w:highlight w:val="none"/>
        </w:rPr>
      </w:pPr>
      <w:r>
        <w:rPr>
          <w:rFonts w:hint="eastAsia" w:eastAsia="宋体"/>
          <w:b/>
          <w:color w:val="auto"/>
          <w:kern w:val="2"/>
          <w:sz w:val="21"/>
          <w:highlight w:val="none"/>
          <w:lang w:val="en-US" w:eastAsia="zh-CN"/>
        </w:rPr>
        <w:t>五、</w:t>
      </w:r>
      <w:r>
        <w:rPr>
          <w:rFonts w:hint="default" w:ascii="宋体" w:eastAsia="宋体"/>
          <w:b/>
          <w:color w:val="auto"/>
          <w:kern w:val="2"/>
          <w:sz w:val="21"/>
          <w:highlight w:val="none"/>
        </w:rPr>
        <w:t>响应文件开启 </w:t>
      </w:r>
    </w:p>
    <w:p>
      <w:pPr>
        <w:pStyle w:val="20"/>
        <w:spacing w:before="0" w:beforeAutospacing="0" w:after="0" w:afterAutospacing="0" w:line="360" w:lineRule="auto"/>
        <w:ind w:firstLine="420" w:firstLineChars="200"/>
        <w:rPr>
          <w:rFonts w:hint="default" w:ascii="宋体" w:eastAsia="宋体"/>
          <w:color w:val="auto"/>
          <w:sz w:val="21"/>
          <w:highlight w:val="none"/>
        </w:rPr>
      </w:pPr>
      <w:r>
        <w:rPr>
          <w:rFonts w:hint="default" w:ascii="宋体" w:eastAsia="宋体"/>
          <w:color w:val="auto"/>
          <w:sz w:val="21"/>
          <w:highlight w:val="none"/>
        </w:rPr>
        <w:t xml:space="preserve">开启时间： </w:t>
      </w:r>
      <w:r>
        <w:rPr>
          <w:rFonts w:hint="default" w:ascii="宋体" w:eastAsia="宋体"/>
          <w:color w:val="auto"/>
          <w:sz w:val="21"/>
          <w:highlight w:val="none"/>
          <w:lang w:eastAsia="zh-CN"/>
        </w:rPr>
        <w:t>2024年</w:t>
      </w:r>
      <w:r>
        <w:rPr>
          <w:rFonts w:hint="eastAsia" w:eastAsia="宋体"/>
          <w:color w:val="auto"/>
          <w:sz w:val="21"/>
          <w:highlight w:val="none"/>
          <w:lang w:val="en-US" w:eastAsia="zh-CN"/>
        </w:rPr>
        <w:t>05</w:t>
      </w:r>
      <w:r>
        <w:rPr>
          <w:rFonts w:hint="default" w:ascii="宋体" w:eastAsia="宋体"/>
          <w:color w:val="auto"/>
          <w:sz w:val="21"/>
          <w:highlight w:val="none"/>
          <w:lang w:eastAsia="zh-CN"/>
        </w:rPr>
        <w:t>月</w:t>
      </w:r>
      <w:r>
        <w:rPr>
          <w:rFonts w:hint="eastAsia" w:eastAsia="宋体"/>
          <w:color w:val="auto"/>
          <w:sz w:val="21"/>
          <w:highlight w:val="none"/>
          <w:lang w:val="en-US" w:eastAsia="zh-CN"/>
        </w:rPr>
        <w:t>11</w:t>
      </w:r>
      <w:r>
        <w:rPr>
          <w:rFonts w:hint="default" w:ascii="宋体" w:eastAsia="宋体"/>
          <w:color w:val="auto"/>
          <w:sz w:val="21"/>
          <w:highlight w:val="none"/>
          <w:lang w:eastAsia="zh-CN"/>
        </w:rPr>
        <w:t>日</w:t>
      </w:r>
      <w:r>
        <w:rPr>
          <w:rFonts w:hint="eastAsia" w:eastAsia="宋体"/>
          <w:color w:val="auto"/>
          <w:kern w:val="0"/>
          <w:sz w:val="21"/>
          <w:highlight w:val="none"/>
          <w:lang w:val="en-US" w:eastAsia="zh-CN"/>
        </w:rPr>
        <w:t>09:00</w:t>
      </w:r>
      <w:r>
        <w:rPr>
          <w:rFonts w:hint="default" w:ascii="宋体" w:eastAsia="宋体"/>
          <w:color w:val="auto"/>
          <w:sz w:val="21"/>
          <w:highlight w:val="none"/>
        </w:rPr>
        <w:t>（北京时间）</w:t>
      </w:r>
    </w:p>
    <w:p>
      <w:pPr>
        <w:pStyle w:val="20"/>
        <w:spacing w:before="0" w:beforeAutospacing="0" w:after="0" w:afterAutospacing="0" w:line="360" w:lineRule="auto"/>
        <w:ind w:firstLine="420" w:firstLineChars="200"/>
        <w:rPr>
          <w:rFonts w:hint="eastAsia" w:ascii="宋体" w:eastAsia="宋体"/>
          <w:color w:val="auto"/>
          <w:sz w:val="21"/>
          <w:highlight w:val="none"/>
          <w:lang w:eastAsia="zh-CN"/>
        </w:rPr>
      </w:pPr>
      <w:r>
        <w:rPr>
          <w:rFonts w:hint="default" w:ascii="宋体" w:eastAsia="宋体"/>
          <w:color w:val="auto"/>
          <w:sz w:val="21"/>
          <w:highlight w:val="none"/>
        </w:rPr>
        <w:t>地点（网址）：</w:t>
      </w:r>
      <w:r>
        <w:rPr>
          <w:rFonts w:hint="eastAsia" w:eastAsia="宋体"/>
          <w:color w:val="auto"/>
          <w:sz w:val="21"/>
          <w:highlight w:val="none"/>
          <w:lang w:eastAsia="zh-CN"/>
        </w:rPr>
        <w:t>仙居县工业路197号4楼。</w:t>
      </w:r>
    </w:p>
    <w:p>
      <w:pPr>
        <w:pStyle w:val="20"/>
        <w:widowControl w:val="0"/>
        <w:numPr>
          <w:ilvl w:val="0"/>
          <w:numId w:val="0"/>
        </w:numPr>
        <w:spacing w:before="0" w:beforeAutospacing="0" w:after="0" w:afterAutospacing="0" w:line="360" w:lineRule="auto"/>
        <w:ind w:firstLine="422" w:firstLineChars="200"/>
        <w:jc w:val="both"/>
        <w:rPr>
          <w:rFonts w:hint="default" w:ascii="宋体" w:eastAsia="宋体"/>
          <w:b/>
          <w:color w:val="auto"/>
          <w:kern w:val="2"/>
          <w:sz w:val="21"/>
          <w:highlight w:val="none"/>
        </w:rPr>
      </w:pPr>
      <w:r>
        <w:rPr>
          <w:rFonts w:hint="eastAsia" w:eastAsia="宋体"/>
          <w:b/>
          <w:color w:val="auto"/>
          <w:kern w:val="2"/>
          <w:sz w:val="21"/>
          <w:highlight w:val="none"/>
          <w:lang w:val="en-US" w:eastAsia="zh-CN"/>
        </w:rPr>
        <w:t>六、</w:t>
      </w:r>
      <w:r>
        <w:rPr>
          <w:rFonts w:hint="default" w:ascii="宋体" w:eastAsia="宋体"/>
          <w:b/>
          <w:color w:val="auto"/>
          <w:kern w:val="2"/>
          <w:sz w:val="21"/>
          <w:highlight w:val="none"/>
        </w:rPr>
        <w:t>公告期限</w:t>
      </w:r>
      <w:bookmarkStart w:id="2767" w:name="_GoBack"/>
      <w:bookmarkEnd w:id="2767"/>
    </w:p>
    <w:p>
      <w:pPr>
        <w:pStyle w:val="20"/>
        <w:spacing w:before="0" w:beforeAutospacing="0" w:after="0" w:afterAutospacing="0" w:line="360" w:lineRule="auto"/>
        <w:ind w:firstLine="420" w:firstLineChars="200"/>
        <w:rPr>
          <w:rFonts w:hint="default" w:ascii="宋体" w:eastAsia="宋体"/>
          <w:color w:val="auto"/>
          <w:sz w:val="21"/>
          <w:highlight w:val="none"/>
        </w:rPr>
      </w:pPr>
      <w:r>
        <w:rPr>
          <w:rFonts w:hint="default" w:ascii="宋体" w:eastAsia="宋体"/>
          <w:color w:val="auto"/>
          <w:sz w:val="21"/>
          <w:highlight w:val="none"/>
        </w:rPr>
        <w:t>自本公告发布之日起3个工作日。</w:t>
      </w:r>
    </w:p>
    <w:p>
      <w:pPr>
        <w:pStyle w:val="20"/>
        <w:widowControl w:val="0"/>
        <w:numPr>
          <w:ilvl w:val="0"/>
          <w:numId w:val="0"/>
        </w:numPr>
        <w:spacing w:before="0" w:beforeAutospacing="0" w:after="0" w:afterAutospacing="0" w:line="360" w:lineRule="auto"/>
        <w:ind w:firstLine="422" w:firstLineChars="200"/>
        <w:jc w:val="both"/>
        <w:rPr>
          <w:rFonts w:hint="default" w:ascii="宋体" w:eastAsia="宋体"/>
          <w:color w:val="auto"/>
          <w:sz w:val="21"/>
          <w:highlight w:val="none"/>
        </w:rPr>
      </w:pPr>
      <w:r>
        <w:rPr>
          <w:rFonts w:hint="eastAsia" w:eastAsia="宋体"/>
          <w:b/>
          <w:color w:val="auto"/>
          <w:kern w:val="2"/>
          <w:sz w:val="21"/>
          <w:highlight w:val="none"/>
          <w:lang w:val="en-US" w:eastAsia="zh-CN"/>
        </w:rPr>
        <w:t>七、</w:t>
      </w:r>
      <w:r>
        <w:rPr>
          <w:rFonts w:hint="default" w:ascii="宋体" w:eastAsia="宋体"/>
          <w:b/>
          <w:color w:val="auto"/>
          <w:kern w:val="2"/>
          <w:sz w:val="21"/>
          <w:highlight w:val="none"/>
        </w:rPr>
        <w:t>其他补充事宜</w:t>
      </w:r>
    </w:p>
    <w:p>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0"/>
        <w:numPr>
          <w:ilvl w:val="0"/>
          <w:numId w:val="0"/>
        </w:numPr>
        <w:spacing w:before="0" w:beforeAutospacing="0" w:after="0" w:afterAutospacing="0" w:line="360" w:lineRule="auto"/>
        <w:ind w:firstLine="420" w:firstLineChars="200"/>
        <w:rPr>
          <w:rFonts w:hint="default" w:ascii="宋体" w:eastAsia="宋体"/>
          <w:color w:val="auto"/>
          <w:sz w:val="21"/>
          <w:highlight w:val="none"/>
        </w:rPr>
      </w:pPr>
      <w:r>
        <w:rPr>
          <w:rFonts w:hint="eastAsia" w:eastAsia="宋体"/>
          <w:color w:val="auto"/>
          <w:sz w:val="21"/>
          <w:highlight w:val="none"/>
          <w:lang w:val="en-US" w:eastAsia="zh-CN"/>
        </w:rPr>
        <w:t>3</w:t>
      </w:r>
      <w:r>
        <w:rPr>
          <w:rFonts w:hint="default"/>
          <w:color w:val="auto"/>
          <w:sz w:val="21"/>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default" w:ascii="宋体" w:eastAsia="宋体"/>
          <w:color w:val="auto"/>
          <w:sz w:val="21"/>
          <w:highlight w:val="none"/>
        </w:rPr>
        <w:t xml:space="preserve"> </w:t>
      </w:r>
    </w:p>
    <w:p>
      <w:pPr>
        <w:widowControl/>
        <w:adjustRightInd w:val="0"/>
        <w:snapToGrid w:val="0"/>
        <w:spacing w:beforeLines="0" w:afterLines="0" w:line="360" w:lineRule="auto"/>
        <w:ind w:firstLine="422" w:firstLineChars="200"/>
        <w:jc w:val="left"/>
        <w:rPr>
          <w:rFonts w:hint="default" w:ascii="宋体" w:hAnsi="宋体" w:eastAsia="宋体"/>
          <w:color w:val="auto"/>
          <w:sz w:val="21"/>
          <w:highlight w:val="none"/>
        </w:rPr>
      </w:pPr>
      <w:r>
        <w:rPr>
          <w:rFonts w:hint="eastAsia" w:hAnsi="宋体" w:eastAsia="宋体"/>
          <w:b/>
          <w:color w:val="auto"/>
          <w:kern w:val="0"/>
          <w:sz w:val="21"/>
          <w:highlight w:val="none"/>
          <w:lang w:val="en-US" w:eastAsia="zh-CN"/>
        </w:rPr>
        <w:t>4</w:t>
      </w:r>
      <w:r>
        <w:rPr>
          <w:rFonts w:hint="default" w:hAnsi="宋体"/>
          <w:b/>
          <w:color w:val="auto"/>
          <w:kern w:val="0"/>
          <w:sz w:val="21"/>
          <w:highlight w:val="none"/>
        </w:rPr>
        <w:t>.其他事项</w:t>
      </w:r>
    </w:p>
    <w:p>
      <w:pPr>
        <w:pStyle w:val="20"/>
        <w:spacing w:before="0" w:beforeAutospacing="0" w:after="0" w:afterAutospacing="0" w:line="360" w:lineRule="auto"/>
        <w:ind w:firstLine="420" w:firstLineChars="200"/>
        <w:rPr>
          <w:rFonts w:hint="eastAsia" w:cs="宋体"/>
          <w:b/>
          <w:bCs/>
          <w:color w:val="auto"/>
          <w:sz w:val="21"/>
          <w:szCs w:val="21"/>
          <w:highlight w:val="none"/>
        </w:rPr>
      </w:pPr>
      <w:r>
        <w:rPr>
          <w:rFonts w:cs="宋体"/>
          <w:b/>
          <w:bCs/>
          <w:color w:val="auto"/>
          <w:sz w:val="21"/>
          <w:szCs w:val="21"/>
          <w:highlight w:val="none"/>
        </w:rPr>
        <w:t>1）</w:t>
      </w:r>
      <w:r>
        <w:rPr>
          <w:rFonts w:hint="eastAsia" w:cs="宋体"/>
          <w:b/>
          <w:bCs/>
          <w:color w:val="auto"/>
          <w:sz w:val="21"/>
          <w:szCs w:val="21"/>
          <w:highlight w:val="none"/>
        </w:rPr>
        <w:t xml:space="preserve">磋商保证金：本项目不需要缴纳磋商保证金。 </w:t>
      </w:r>
    </w:p>
    <w:p>
      <w:pPr>
        <w:pStyle w:val="20"/>
        <w:spacing w:before="0" w:beforeAutospacing="0" w:after="0" w:afterAutospacing="0" w:line="360" w:lineRule="auto"/>
        <w:ind w:firstLine="422" w:firstLineChars="200"/>
        <w:rPr>
          <w:rFonts w:hint="default" w:cs="宋体"/>
          <w:b/>
          <w:bCs/>
          <w:color w:val="auto"/>
          <w:sz w:val="21"/>
          <w:szCs w:val="21"/>
          <w:highlight w:val="none"/>
        </w:rPr>
      </w:pPr>
      <w:r>
        <w:rPr>
          <w:rFonts w:hint="eastAsia" w:eastAsia="宋体" w:cs="宋体"/>
          <w:b/>
          <w:bCs/>
          <w:color w:val="auto"/>
          <w:sz w:val="21"/>
          <w:szCs w:val="21"/>
          <w:highlight w:val="none"/>
          <w:lang w:val="en-US" w:eastAsia="zh-CN"/>
        </w:rPr>
        <w:t>2）</w:t>
      </w:r>
      <w:r>
        <w:rPr>
          <w:rFonts w:cs="宋体"/>
          <w:b/>
          <w:bCs/>
          <w:color w:val="auto"/>
          <w:sz w:val="21"/>
          <w:szCs w:val="21"/>
          <w:highlight w:val="none"/>
        </w:rPr>
        <w:t>采购项目需要落实的政府采购政策：</w:t>
      </w:r>
      <w:r>
        <w:rPr>
          <w:rFonts w:hint="eastAsia" w:eastAsia="宋体" w:cs="宋体"/>
          <w:b w:val="0"/>
          <w:bCs w:val="0"/>
          <w:color w:val="auto"/>
          <w:sz w:val="21"/>
          <w:szCs w:val="21"/>
          <w:highlight w:val="none"/>
          <w:lang w:val="en-US" w:eastAsia="zh-CN"/>
        </w:rPr>
        <w:t>①《政府采购促进中小企业发展管理办法》、《关于促进残疾人就业政府采购政策的通知》（财库〔2017〕141号）、《关于政府采购支持监狱企业发展有关问题的通知》。②政府采购金融服务：鼓励供应商开展政采贷、履约保函等政府采购金融服务，供应商以银行、保险公司、</w:t>
      </w:r>
      <w:r>
        <w:rPr>
          <w:rFonts w:hint="eastAsia" w:ascii="宋体" w:hAnsi="宋体" w:cs="宋体"/>
          <w:color w:val="auto"/>
          <w:kern w:val="0"/>
          <w:sz w:val="21"/>
          <w:szCs w:val="21"/>
          <w:highlight w:val="none"/>
          <w:lang w:val="en-US" w:eastAsia="zh-CN" w:bidi="ar-SA"/>
        </w:rPr>
        <w:t>融资担保公司</w:t>
      </w:r>
      <w:r>
        <w:rPr>
          <w:rFonts w:hint="eastAsia" w:eastAsia="宋体" w:cs="宋体"/>
          <w:b w:val="0"/>
          <w:bCs w:val="0"/>
          <w:color w:val="auto"/>
          <w:sz w:val="21"/>
          <w:szCs w:val="21"/>
          <w:highlight w:val="none"/>
          <w:lang w:val="en-US" w:eastAsia="zh-CN"/>
        </w:rPr>
        <w:t>出具保函形式提交履约保证金的，采购单位不得拒收</w:t>
      </w:r>
      <w:r>
        <w:rPr>
          <w:rFonts w:hint="default" w:ascii="宋体" w:eastAsia="宋体"/>
          <w:color w:val="auto"/>
          <w:sz w:val="21"/>
          <w:highlight w:val="none"/>
        </w:rPr>
        <w:t>。</w:t>
      </w:r>
    </w:p>
    <w:p>
      <w:pPr>
        <w:pStyle w:val="20"/>
        <w:spacing w:before="0" w:beforeAutospacing="0" w:after="0" w:afterAutospacing="0" w:line="360" w:lineRule="auto"/>
        <w:ind w:firstLine="422" w:firstLineChars="200"/>
        <w:rPr>
          <w:rFonts w:cs="宋体"/>
          <w:b/>
          <w:bCs/>
          <w:color w:val="auto"/>
          <w:sz w:val="21"/>
          <w:szCs w:val="21"/>
          <w:highlight w:val="none"/>
        </w:rPr>
      </w:pPr>
      <w:r>
        <w:rPr>
          <w:rFonts w:hint="eastAsia" w:eastAsia="宋体" w:cs="宋体"/>
          <w:b/>
          <w:bCs/>
          <w:color w:val="auto"/>
          <w:sz w:val="21"/>
          <w:szCs w:val="21"/>
          <w:highlight w:val="none"/>
          <w:lang w:val="en-US" w:eastAsia="zh-CN"/>
        </w:rPr>
        <w:t>3</w:t>
      </w:r>
      <w:r>
        <w:rPr>
          <w:rFonts w:cs="宋体"/>
          <w:b/>
          <w:bCs/>
          <w:color w:val="auto"/>
          <w:sz w:val="21"/>
          <w:szCs w:val="21"/>
          <w:highlight w:val="none"/>
        </w:rPr>
        <w:t>）在线响应（电子交易）说明</w:t>
      </w:r>
    </w:p>
    <w:p>
      <w:pPr>
        <w:widowControl/>
        <w:adjustRightInd w:val="0"/>
        <w:snapToGrid w:val="0"/>
        <w:spacing w:line="360" w:lineRule="auto"/>
        <w:ind w:firstLine="420" w:firstLineChars="200"/>
        <w:jc w:val="left"/>
        <w:rPr>
          <w:rFonts w:hint="eastAsia" w:ascii="Arial" w:hAnsi="Arial" w:cs="Arial"/>
          <w:color w:val="auto"/>
          <w:sz w:val="21"/>
          <w:szCs w:val="21"/>
          <w:highlight w:val="none"/>
        </w:rPr>
      </w:pPr>
      <w:r>
        <w:rPr>
          <w:rFonts w:hint="eastAsia" w:ascii="Arial" w:hAnsi="Arial" w:eastAsia="宋体" w:cs="Arial"/>
          <w:color w:val="auto"/>
          <w:sz w:val="21"/>
          <w:szCs w:val="21"/>
          <w:highlight w:val="none"/>
          <w:lang w:val="en-US" w:eastAsia="zh-CN"/>
        </w:rPr>
        <w:t>3</w:t>
      </w:r>
      <w:r>
        <w:rPr>
          <w:rFonts w:hint="eastAsia" w:ascii="Arial" w:hAnsi="Arial" w:cs="Arial"/>
          <w:color w:val="auto"/>
          <w:sz w:val="21"/>
          <w:szCs w:val="21"/>
          <w:highlight w:val="none"/>
        </w:rPr>
        <w:t>.1本项目采用政府采购电子化交易。</w:t>
      </w:r>
    </w:p>
    <w:p>
      <w:pPr>
        <w:widowControl/>
        <w:adjustRightInd w:val="0"/>
        <w:snapToGrid w:val="0"/>
        <w:spacing w:line="360" w:lineRule="auto"/>
        <w:ind w:firstLine="420" w:firstLineChars="200"/>
        <w:jc w:val="left"/>
        <w:rPr>
          <w:rFonts w:ascii="Arial" w:hAnsi="Arial" w:cs="Arial"/>
          <w:color w:val="auto"/>
          <w:sz w:val="21"/>
          <w:szCs w:val="21"/>
          <w:highlight w:val="none"/>
        </w:rPr>
      </w:pPr>
      <w:r>
        <w:rPr>
          <w:rFonts w:hint="eastAsia" w:ascii="Arial" w:hAnsi="Arial" w:eastAsia="宋体" w:cs="Arial"/>
          <w:color w:val="auto"/>
          <w:sz w:val="21"/>
          <w:szCs w:val="21"/>
          <w:highlight w:val="none"/>
          <w:lang w:val="en-US" w:eastAsia="zh-CN"/>
        </w:rPr>
        <w:t>3</w:t>
      </w:r>
      <w:r>
        <w:rPr>
          <w:rFonts w:hint="eastAsia" w:ascii="Arial" w:hAnsi="Arial" w:cs="Arial"/>
          <w:color w:val="auto"/>
          <w:sz w:val="21"/>
          <w:szCs w:val="21"/>
          <w:highlight w:val="none"/>
        </w:rPr>
        <w:t>.2为确保网上操作合法、有效和安全，供应商应当在投标截止时间前，完成电子交易平台上的CA数字证书办理（办理流程详见http://zfcg.czt.zj.gov.cn/bidClientTemplate/2019-05-27/12945.html）。完成CA数字证书办理时间预计一周左右，建议各供应商抓紧办理。</w:t>
      </w:r>
    </w:p>
    <w:p>
      <w:pPr>
        <w:widowControl/>
        <w:adjustRightInd w:val="0"/>
        <w:snapToGrid w:val="0"/>
        <w:spacing w:line="360" w:lineRule="auto"/>
        <w:ind w:firstLine="420" w:firstLineChars="200"/>
        <w:jc w:val="left"/>
        <w:rPr>
          <w:rFonts w:ascii="Arial" w:hAnsi="Arial" w:cs="Arial"/>
          <w:color w:val="auto"/>
          <w:sz w:val="21"/>
          <w:szCs w:val="21"/>
          <w:highlight w:val="none"/>
        </w:rPr>
      </w:pPr>
      <w:r>
        <w:rPr>
          <w:rFonts w:hint="eastAsia" w:ascii="Arial" w:hAnsi="Arial" w:eastAsia="宋体" w:cs="Arial"/>
          <w:color w:val="auto"/>
          <w:sz w:val="21"/>
          <w:szCs w:val="21"/>
          <w:highlight w:val="none"/>
          <w:lang w:val="en-US" w:eastAsia="zh-CN"/>
        </w:rPr>
        <w:t>3</w:t>
      </w:r>
      <w:r>
        <w:rPr>
          <w:rFonts w:hint="eastAsia" w:ascii="Arial" w:hAnsi="Arial" w:cs="Arial"/>
          <w:color w:val="auto"/>
          <w:sz w:val="21"/>
          <w:szCs w:val="21"/>
          <w:highlight w:val="none"/>
        </w:rPr>
        <w:t>.3</w:t>
      </w:r>
      <w:r>
        <w:rPr>
          <w:rFonts w:ascii="Arial" w:hAnsi="Arial" w:cs="Arial"/>
          <w:color w:val="auto"/>
          <w:sz w:val="21"/>
          <w:szCs w:val="21"/>
          <w:highlight w:val="none"/>
        </w:rPr>
        <w:t>投标人应安装“政采云投标客户端”，电子投标工具请投标人自行前往浙江政府采购网下载并安装，（下载网址：http://zfcg.czt.zj.gov.cn/bidClientTemplate/2019-09-24/12975.html）。</w:t>
      </w:r>
    </w:p>
    <w:p>
      <w:pPr>
        <w:widowControl/>
        <w:adjustRightInd w:val="0"/>
        <w:snapToGrid w:val="0"/>
        <w:spacing w:line="360" w:lineRule="auto"/>
        <w:ind w:firstLine="420" w:firstLineChars="200"/>
        <w:jc w:val="left"/>
        <w:rPr>
          <w:rFonts w:ascii="Arial" w:hAnsi="Arial" w:cs="Arial"/>
          <w:color w:val="auto"/>
          <w:sz w:val="21"/>
          <w:szCs w:val="21"/>
          <w:highlight w:val="none"/>
        </w:rPr>
      </w:pPr>
      <w:r>
        <w:rPr>
          <w:rFonts w:hint="eastAsia" w:ascii="Arial" w:hAnsi="Arial" w:eastAsia="宋体" w:cs="Arial"/>
          <w:color w:val="auto"/>
          <w:sz w:val="21"/>
          <w:szCs w:val="21"/>
          <w:highlight w:val="none"/>
          <w:lang w:val="en-US" w:eastAsia="zh-CN"/>
        </w:rPr>
        <w:t>3</w:t>
      </w:r>
      <w:r>
        <w:rPr>
          <w:rFonts w:hint="eastAsia" w:ascii="Arial" w:hAnsi="Arial" w:cs="Arial"/>
          <w:color w:val="auto"/>
          <w:sz w:val="21"/>
          <w:szCs w:val="21"/>
          <w:highlight w:val="none"/>
        </w:rPr>
        <w:t>.4</w:t>
      </w:r>
      <w:r>
        <w:rPr>
          <w:rFonts w:ascii="Arial" w:hAnsi="Arial" w:cs="Arial"/>
          <w:color w:val="auto"/>
          <w:sz w:val="21"/>
          <w:szCs w:val="21"/>
          <w:highlight w:val="none"/>
        </w:rPr>
        <w:t>电子交易具体流程详见操作指南：登录政府采购云平台（https://www.zcygov.cn/），从首页-服务中心-帮助文档-项目采购-电子招投标，查看文档和视频。</w:t>
      </w:r>
    </w:p>
    <w:p>
      <w:pPr>
        <w:widowControl/>
        <w:adjustRightInd w:val="0"/>
        <w:snapToGrid w:val="0"/>
        <w:spacing w:line="360" w:lineRule="auto"/>
        <w:ind w:firstLine="420" w:firstLineChars="200"/>
        <w:jc w:val="left"/>
        <w:rPr>
          <w:rFonts w:ascii="Arial" w:hAnsi="Arial" w:cs="Arial"/>
          <w:color w:val="auto"/>
          <w:sz w:val="21"/>
          <w:szCs w:val="21"/>
          <w:highlight w:val="none"/>
        </w:rPr>
      </w:pPr>
      <w:r>
        <w:rPr>
          <w:rFonts w:hint="eastAsia" w:ascii="Arial" w:hAnsi="Arial" w:eastAsia="宋体" w:cs="Arial"/>
          <w:color w:val="auto"/>
          <w:sz w:val="21"/>
          <w:szCs w:val="21"/>
          <w:highlight w:val="none"/>
          <w:lang w:val="en-US" w:eastAsia="zh-CN"/>
        </w:rPr>
        <w:t>3</w:t>
      </w:r>
      <w:r>
        <w:rPr>
          <w:rFonts w:hint="eastAsia" w:ascii="Arial" w:hAnsi="Arial" w:cs="Arial"/>
          <w:color w:val="auto"/>
          <w:sz w:val="21"/>
          <w:szCs w:val="21"/>
          <w:highlight w:val="none"/>
        </w:rPr>
        <w:t>.5</w:t>
      </w:r>
      <w:r>
        <w:rPr>
          <w:rFonts w:ascii="Arial" w:hAnsi="Arial" w:cs="Arial"/>
          <w:color w:val="auto"/>
          <w:sz w:val="21"/>
          <w:szCs w:val="21"/>
          <w:highlight w:val="none"/>
        </w:rPr>
        <w:t>如有疑问，可致电政府采购云平台技术支持热线咨询，联系方式：400-881-7190。</w:t>
      </w:r>
    </w:p>
    <w:p>
      <w:pPr>
        <w:widowControl/>
        <w:adjustRightInd w:val="0"/>
        <w:snapToGrid w:val="0"/>
        <w:spacing w:line="360" w:lineRule="auto"/>
        <w:ind w:firstLine="420" w:firstLineChars="200"/>
        <w:jc w:val="left"/>
        <w:rPr>
          <w:rFonts w:hint="eastAsia" w:ascii="Arial" w:hAnsi="Arial" w:cs="Arial"/>
          <w:color w:val="auto"/>
          <w:sz w:val="21"/>
          <w:szCs w:val="21"/>
          <w:highlight w:val="none"/>
        </w:rPr>
      </w:pPr>
      <w:r>
        <w:rPr>
          <w:rFonts w:hint="eastAsia" w:ascii="Arial" w:hAnsi="Arial" w:eastAsia="宋体" w:cs="Arial"/>
          <w:color w:val="auto"/>
          <w:sz w:val="21"/>
          <w:szCs w:val="21"/>
          <w:highlight w:val="none"/>
          <w:lang w:val="en-US" w:eastAsia="zh-CN"/>
        </w:rPr>
        <w:t>3</w:t>
      </w:r>
      <w:r>
        <w:rPr>
          <w:rFonts w:hint="eastAsia" w:ascii="Arial" w:hAnsi="Arial" w:cs="Arial"/>
          <w:color w:val="auto"/>
          <w:sz w:val="21"/>
          <w:szCs w:val="21"/>
          <w:highlight w:val="none"/>
        </w:rPr>
        <w:t>.6</w:t>
      </w:r>
      <w:r>
        <w:rPr>
          <w:rFonts w:hint="eastAsia" w:ascii="宋体" w:hAnsi="宋体" w:cs="宋体"/>
          <w:color w:val="auto"/>
          <w:kern w:val="0"/>
          <w:sz w:val="21"/>
          <w:szCs w:val="21"/>
          <w:highlight w:val="none"/>
        </w:rPr>
        <w:t>供应商应当在磋商响应截止时间前完成“电子加密响应文件”的在线提交，磋商响应截止时间前可以补充、修改或者撤回电子加密响应文件。补充或者修改电子加密响应文件的，应当先行撤回原文件</w:t>
      </w:r>
      <w:r>
        <w:rPr>
          <w:rFonts w:hint="eastAsia" w:ascii="Arial" w:hAnsi="Arial" w:cs="Arial"/>
          <w:color w:val="auto"/>
          <w:sz w:val="21"/>
          <w:szCs w:val="21"/>
          <w:highlight w:val="none"/>
        </w:rPr>
        <w:t>，补充、修改后重新上传提交。磋商响应截止时间前未完成提交的，视为撤回响应文件。逾期递交的电子加密响应文件，将被政采云平台拒收。</w:t>
      </w:r>
    </w:p>
    <w:p>
      <w:pPr>
        <w:widowControl/>
        <w:adjustRightInd w:val="0"/>
        <w:snapToGrid w:val="0"/>
        <w:spacing w:beforeLines="0" w:afterLines="0" w:line="360" w:lineRule="auto"/>
        <w:ind w:firstLine="420" w:firstLineChars="200"/>
        <w:jc w:val="left"/>
        <w:rPr>
          <w:rFonts w:hint="default" w:ascii="Arial" w:hAnsi="Arial"/>
          <w:color w:val="auto"/>
          <w:sz w:val="21"/>
          <w:highlight w:val="none"/>
        </w:rPr>
      </w:pPr>
      <w:r>
        <w:rPr>
          <w:rFonts w:hint="eastAsia" w:ascii="Arial" w:hAnsi="Arial" w:eastAsia="宋体" w:cs="Arial"/>
          <w:color w:val="auto"/>
          <w:sz w:val="21"/>
          <w:szCs w:val="21"/>
          <w:highlight w:val="none"/>
          <w:lang w:val="en-US" w:eastAsia="zh-CN"/>
        </w:rPr>
        <w:t>4</w:t>
      </w:r>
      <w:r>
        <w:rPr>
          <w:rFonts w:hint="eastAsia" w:ascii="Arial" w:hAnsi="Arial" w:cs="Arial"/>
          <w:color w:val="auto"/>
          <w:sz w:val="21"/>
          <w:szCs w:val="21"/>
          <w:highlight w:val="none"/>
        </w:rPr>
        <w:t>）</w:t>
      </w:r>
      <w:r>
        <w:rPr>
          <w:rFonts w:hint="default" w:hAnsi="Arial"/>
          <w:color w:val="auto"/>
          <w:sz w:val="21"/>
          <w:highlight w:val="none"/>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pPr>
        <w:widowControl/>
        <w:adjustRightInd w:val="0"/>
        <w:snapToGrid w:val="0"/>
        <w:spacing w:line="360" w:lineRule="auto"/>
        <w:ind w:firstLine="420" w:firstLineChars="200"/>
        <w:jc w:val="left"/>
        <w:rPr>
          <w:rFonts w:hint="eastAsia" w:ascii="Arial" w:hAnsi="Arial" w:cs="Arial"/>
          <w:color w:val="auto"/>
          <w:sz w:val="21"/>
          <w:szCs w:val="21"/>
          <w:highlight w:val="none"/>
        </w:rPr>
      </w:pPr>
      <w:r>
        <w:rPr>
          <w:rFonts w:hint="eastAsia" w:ascii="Arial" w:hAnsi="Arial" w:cs="Arial"/>
          <w:color w:val="auto"/>
          <w:sz w:val="21"/>
          <w:szCs w:val="21"/>
          <w:highlight w:val="none"/>
          <w:lang w:val="en-US" w:eastAsia="zh-CN"/>
        </w:rPr>
        <w:t>5</w:t>
      </w:r>
      <w:r>
        <w:rPr>
          <w:rFonts w:hint="eastAsia" w:ascii="Arial" w:hAnsi="Arial" w:cs="Arial"/>
          <w:color w:val="auto"/>
          <w:sz w:val="21"/>
          <w:szCs w:val="21"/>
          <w:highlight w:val="none"/>
        </w:rPr>
        <w:t>）本项目所有公告发布网站：“浙江政府采购网”（http://www.zjzfcg.gov.cn）和“仙居县公共资源交易</w:t>
      </w:r>
      <w:r>
        <w:rPr>
          <w:rFonts w:hint="eastAsia" w:ascii="Arial" w:hAnsi="Arial" w:cs="Arial"/>
          <w:color w:val="auto"/>
          <w:sz w:val="21"/>
          <w:szCs w:val="21"/>
          <w:highlight w:val="none"/>
          <w:lang w:val="en-US" w:eastAsia="zh-CN"/>
        </w:rPr>
        <w:t>网</w:t>
      </w:r>
      <w:r>
        <w:rPr>
          <w:rFonts w:hint="eastAsia" w:ascii="Arial" w:hAnsi="Arial" w:cs="Arial"/>
          <w:color w:val="auto"/>
          <w:sz w:val="21"/>
          <w:szCs w:val="21"/>
          <w:highlight w:val="none"/>
        </w:rPr>
        <w:t>”</w:t>
      </w:r>
      <w:r>
        <w:rPr>
          <w:rFonts w:hint="eastAsia" w:ascii="Arial" w:hAnsi="Arial" w:cs="Arial"/>
          <w:color w:val="auto"/>
          <w:sz w:val="21"/>
          <w:szCs w:val="21"/>
          <w:highlight w:val="none"/>
          <w:u w:val="single"/>
        </w:rPr>
        <w:t xml:space="preserve">（ </w:t>
      </w:r>
      <w:r>
        <w:rPr>
          <w:rFonts w:hint="eastAsia" w:ascii="Arial" w:hAnsi="Arial" w:cs="Arial"/>
          <w:color w:val="auto"/>
          <w:sz w:val="21"/>
          <w:szCs w:val="21"/>
          <w:highlight w:val="none"/>
          <w:u w:val="single"/>
        </w:rPr>
        <w:fldChar w:fldCharType="begin"/>
      </w:r>
      <w:r>
        <w:rPr>
          <w:rFonts w:hint="eastAsia" w:ascii="Arial" w:hAnsi="Arial" w:cs="Arial"/>
          <w:color w:val="auto"/>
          <w:sz w:val="21"/>
          <w:szCs w:val="21"/>
          <w:highlight w:val="none"/>
          <w:u w:val="single"/>
        </w:rPr>
        <w:instrText xml:space="preserve"> HYPERLINK "http://www.xjztb.cn）。项目如有更正或澄清公告，请各供应商自行及时登陆上述网站查看，采购代理机构不再作出书面通知。" </w:instrText>
      </w:r>
      <w:r>
        <w:rPr>
          <w:rFonts w:hint="eastAsia" w:ascii="Arial" w:hAnsi="Arial" w:cs="Arial"/>
          <w:color w:val="auto"/>
          <w:sz w:val="21"/>
          <w:szCs w:val="21"/>
          <w:highlight w:val="none"/>
          <w:u w:val="single"/>
        </w:rPr>
        <w:fldChar w:fldCharType="separate"/>
      </w:r>
      <w:r>
        <w:rPr>
          <w:rFonts w:hint="eastAsia" w:ascii="Arial" w:hAnsi="Arial" w:cs="Arial"/>
          <w:color w:val="auto"/>
          <w:sz w:val="21"/>
          <w:szCs w:val="21"/>
          <w:highlight w:val="none"/>
          <w:u w:val="single"/>
        </w:rPr>
        <w:t>http://www.zjxj.gov.cn/col/col1229347447/index.html）。项目如有更正或澄清公告，请各供应商自行及时登</w:t>
      </w:r>
      <w:r>
        <w:rPr>
          <w:rFonts w:hint="eastAsia" w:ascii="Arial" w:hAnsi="Arial" w:eastAsia="宋体" w:cs="Arial"/>
          <w:color w:val="auto"/>
          <w:sz w:val="21"/>
          <w:szCs w:val="21"/>
          <w:highlight w:val="none"/>
          <w:u w:val="single"/>
          <w:lang w:val="en-US" w:eastAsia="zh-CN"/>
        </w:rPr>
        <w:t>录</w:t>
      </w:r>
      <w:r>
        <w:rPr>
          <w:rFonts w:hint="eastAsia" w:ascii="Arial" w:hAnsi="Arial" w:cs="Arial"/>
          <w:color w:val="auto"/>
          <w:sz w:val="21"/>
          <w:szCs w:val="21"/>
          <w:highlight w:val="none"/>
          <w:u w:val="single"/>
        </w:rPr>
        <w:t>上述网站查看，采购代理机构不再作出书面通知。</w:t>
      </w:r>
      <w:r>
        <w:rPr>
          <w:rFonts w:hint="eastAsia" w:ascii="Arial" w:hAnsi="Arial" w:cs="Arial"/>
          <w:color w:val="auto"/>
          <w:sz w:val="21"/>
          <w:szCs w:val="21"/>
          <w:highlight w:val="none"/>
          <w:u w:val="single"/>
        </w:rPr>
        <w:fldChar w:fldCharType="end"/>
      </w:r>
    </w:p>
    <w:p>
      <w:pPr>
        <w:keepNext w:val="0"/>
        <w:keepLines w:val="0"/>
        <w:pageBreakBefore w:val="0"/>
        <w:widowControl/>
        <w:kinsoku/>
        <w:wordWrap/>
        <w:overflowPunct/>
        <w:topLinePunct w:val="0"/>
        <w:autoSpaceDE/>
        <w:autoSpaceDN/>
        <w:bidi w:val="0"/>
        <w:spacing w:line="400" w:lineRule="exact"/>
        <w:ind w:right="60" w:firstLine="420" w:firstLineChars="200"/>
        <w:jc w:val="left"/>
        <w:textAlignment w:val="auto"/>
        <w:rPr>
          <w:rFonts w:hint="eastAsia"/>
          <w:color w:val="auto"/>
          <w:highlight w:val="none"/>
          <w:lang w:val="en-US" w:eastAsia="zh-CN"/>
        </w:rPr>
      </w:pPr>
      <w:r>
        <w:rPr>
          <w:rFonts w:hint="eastAsia" w:ascii="Arial" w:hAnsi="Arial" w:cs="Arial"/>
          <w:color w:val="auto"/>
          <w:sz w:val="21"/>
          <w:szCs w:val="21"/>
          <w:highlight w:val="none"/>
          <w:lang w:val="en-US" w:eastAsia="zh-CN"/>
        </w:rPr>
        <w:t>6</w:t>
      </w:r>
      <w:r>
        <w:rPr>
          <w:rFonts w:hint="eastAsia" w:ascii="Arial" w:hAnsi="Arial" w:cs="Arial"/>
          <w:color w:val="auto"/>
          <w:sz w:val="21"/>
          <w:szCs w:val="21"/>
          <w:highlight w:val="none"/>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pPr>
        <w:pStyle w:val="20"/>
        <w:keepNext w:val="0"/>
        <w:keepLines w:val="0"/>
        <w:pageBreakBefore w:val="0"/>
        <w:widowControl w:val="0"/>
        <w:numPr>
          <w:ilvl w:val="0"/>
          <w:numId w:val="1"/>
        </w:numPr>
        <w:kinsoku/>
        <w:overflowPunct/>
        <w:topLinePunct w:val="0"/>
        <w:autoSpaceDE/>
        <w:autoSpaceDN/>
        <w:bidi w:val="0"/>
        <w:adjustRightInd/>
        <w:snapToGrid/>
        <w:spacing w:before="0" w:beforeLines="0" w:beforeAutospacing="0" w:after="0" w:afterLines="0" w:afterAutospacing="0" w:line="400"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对本次</w:t>
      </w:r>
      <w:r>
        <w:rPr>
          <w:rFonts w:hint="eastAsia" w:ascii="宋体" w:hAnsi="宋体" w:eastAsia="宋体" w:cs="宋体"/>
          <w:b/>
          <w:color w:val="auto"/>
          <w:kern w:val="2"/>
          <w:sz w:val="21"/>
          <w:szCs w:val="21"/>
          <w:highlight w:val="none"/>
          <w:lang w:eastAsia="zh-CN" w:bidi="ar"/>
        </w:rPr>
        <w:t>采购</w:t>
      </w:r>
      <w:r>
        <w:rPr>
          <w:rFonts w:hint="eastAsia" w:ascii="宋体" w:hAnsi="宋体" w:eastAsia="宋体" w:cs="宋体"/>
          <w:b/>
          <w:color w:val="auto"/>
          <w:kern w:val="2"/>
          <w:sz w:val="21"/>
          <w:szCs w:val="21"/>
          <w:highlight w:val="none"/>
          <w:lang w:bidi="ar"/>
        </w:rPr>
        <w:t>提出询问、质疑、投诉，请按以下方式联系</w:t>
      </w:r>
    </w:p>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eastAsia="zh-CN"/>
        </w:rPr>
        <w:t>仙居县交通运输局</w:t>
      </w:r>
      <w:r>
        <w:rPr>
          <w:rFonts w:hint="eastAsia" w:ascii="宋体" w:hAnsi="宋体" w:eastAsia="宋体" w:cs="宋体"/>
          <w:color w:val="auto"/>
          <w:sz w:val="21"/>
          <w:szCs w:val="21"/>
          <w:highlight w:val="none"/>
          <w:u w:val="single"/>
        </w:rPr>
        <w:t> </w:t>
      </w:r>
    </w:p>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 xml:space="preserve"> 浙江省台州市仙居县城北东路178-18号  </w:t>
      </w:r>
      <w:r>
        <w:rPr>
          <w:rFonts w:hint="eastAsia" w:ascii="宋体" w:hAnsi="宋体" w:eastAsia="宋体" w:cs="宋体"/>
          <w:color w:val="auto"/>
          <w:sz w:val="21"/>
          <w:szCs w:val="21"/>
          <w:highlight w:val="none"/>
          <w:u w:val="single"/>
        </w:rPr>
        <w:t> </w:t>
      </w:r>
    </w:p>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项目联系人（询问）：</w:t>
      </w:r>
      <w:r>
        <w:rPr>
          <w:rFonts w:hint="eastAsia" w:eastAsia="宋体" w:cs="宋体"/>
          <w:color w:val="auto"/>
          <w:sz w:val="21"/>
          <w:szCs w:val="21"/>
          <w:highlight w:val="none"/>
          <w:u w:val="single"/>
          <w:lang w:val="en-US" w:eastAsia="zh-CN"/>
        </w:rPr>
        <w:t xml:space="preserve"> 朱翀阔      </w:t>
      </w:r>
    </w:p>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项目联系方式（询问）：</w:t>
      </w:r>
      <w:r>
        <w:rPr>
          <w:rFonts w:hint="eastAsia" w:eastAsia="宋体" w:cs="宋体"/>
          <w:color w:val="auto"/>
          <w:sz w:val="21"/>
          <w:szCs w:val="21"/>
          <w:highlight w:val="none"/>
          <w:u w:val="single"/>
          <w:lang w:val="en-US" w:eastAsia="zh-CN"/>
        </w:rPr>
        <w:t xml:space="preserve">  13736654886    </w:t>
      </w:r>
    </w:p>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eastAsia="宋体" w:cs="宋体"/>
          <w:color w:val="auto"/>
          <w:sz w:val="21"/>
          <w:szCs w:val="21"/>
          <w:highlight w:val="none"/>
          <w:u w:val="single"/>
          <w:lang w:val="en-US" w:eastAsia="zh-CN"/>
        </w:rPr>
        <w:t xml:space="preserve">  王潇特</w:t>
      </w:r>
      <w:r>
        <w:rPr>
          <w:rFonts w:hint="eastAsia" w:ascii="宋体" w:hAnsi="宋体" w:eastAsia="宋体" w:cs="宋体"/>
          <w:color w:val="auto"/>
          <w:sz w:val="21"/>
          <w:szCs w:val="21"/>
          <w:highlight w:val="none"/>
          <w:u w:val="single"/>
        </w:rPr>
        <w:t> </w:t>
      </w:r>
    </w:p>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eastAsia="宋体" w:cs="宋体"/>
          <w:color w:val="auto"/>
          <w:sz w:val="21"/>
          <w:szCs w:val="21"/>
          <w:highlight w:val="none"/>
          <w:u w:val="single"/>
          <w:lang w:val="en-US" w:eastAsia="zh-CN"/>
        </w:rPr>
        <w:t xml:space="preserve"> 15858638950  </w:t>
      </w:r>
      <w:r>
        <w:rPr>
          <w:rFonts w:hint="eastAsia" w:ascii="宋体" w:hAnsi="宋体" w:eastAsia="宋体" w:cs="宋体"/>
          <w:color w:val="auto"/>
          <w:sz w:val="21"/>
          <w:szCs w:val="21"/>
          <w:highlight w:val="none"/>
        </w:rPr>
        <w:t>　</w:t>
      </w:r>
    </w:p>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eastAsia="zh-CN"/>
        </w:rPr>
        <w:t>台州瑞腾工程管理有限公司</w:t>
      </w:r>
      <w:r>
        <w:rPr>
          <w:rFonts w:hint="eastAsia" w:ascii="宋体" w:hAnsi="宋体" w:eastAsia="宋体" w:cs="宋体"/>
          <w:color w:val="auto"/>
          <w:sz w:val="21"/>
          <w:szCs w:val="21"/>
          <w:highlight w:val="none"/>
          <w:u w:val="single"/>
        </w:rPr>
        <w:t> </w:t>
      </w:r>
    </w:p>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eastAsia="zh-CN"/>
        </w:rPr>
        <w:t>仙居县工业路197号4楼</w:t>
      </w:r>
      <w:r>
        <w:rPr>
          <w:rFonts w:hint="eastAsia" w:ascii="宋体" w:hAnsi="宋体" w:eastAsia="宋体" w:cs="宋体"/>
          <w:color w:val="auto"/>
          <w:sz w:val="21"/>
          <w:szCs w:val="21"/>
          <w:highlight w:val="none"/>
          <w:u w:val="single"/>
        </w:rPr>
        <w:t> </w:t>
      </w:r>
    </w:p>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郑女士</w:t>
      </w:r>
    </w:p>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15068634199</w:t>
      </w:r>
      <w:r>
        <w:rPr>
          <w:rFonts w:hint="eastAsia" w:ascii="宋体" w:hAnsi="宋体" w:eastAsia="宋体" w:cs="宋体"/>
          <w:color w:val="auto"/>
          <w:sz w:val="21"/>
          <w:szCs w:val="21"/>
          <w:highlight w:val="none"/>
          <w:u w:val="single"/>
        </w:rPr>
        <w:t> </w:t>
      </w:r>
    </w:p>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李女士</w:t>
      </w:r>
    </w:p>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w:t>
      </w:r>
      <w:r>
        <w:rPr>
          <w:rFonts w:hint="eastAsia" w:eastAsia="宋体" w:cs="宋体"/>
          <w:color w:val="auto"/>
          <w:sz w:val="21"/>
          <w:szCs w:val="21"/>
          <w:highlight w:val="none"/>
          <w:u w:val="single"/>
          <w:lang w:val="en-US" w:eastAsia="zh-CN"/>
        </w:rPr>
        <w:t xml:space="preserve">13958581343  </w:t>
      </w:r>
    </w:p>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w:t>
      </w:r>
    </w:p>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仙居县财政局政府采购监管</w:t>
      </w:r>
      <w:r>
        <w:rPr>
          <w:rFonts w:hint="eastAsia" w:eastAsia="宋体" w:cs="宋体"/>
          <w:color w:val="auto"/>
          <w:sz w:val="21"/>
          <w:szCs w:val="21"/>
          <w:highlight w:val="none"/>
          <w:u w:val="single"/>
          <w:lang w:val="en-US" w:eastAsia="zh-CN"/>
        </w:rPr>
        <w:t>科</w:t>
      </w:r>
      <w:r>
        <w:rPr>
          <w:rFonts w:hint="eastAsia" w:ascii="宋体" w:hAnsi="宋体" w:eastAsia="宋体" w:cs="宋体"/>
          <w:color w:val="auto"/>
          <w:sz w:val="21"/>
          <w:szCs w:val="21"/>
          <w:highlight w:val="none"/>
          <w:u w:val="single"/>
        </w:rPr>
        <w:t> </w:t>
      </w:r>
    </w:p>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仙居县南峰街道环城南路500号7楼 </w:t>
      </w:r>
    </w:p>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人：</w:t>
      </w:r>
      <w:r>
        <w:rPr>
          <w:rFonts w:hint="eastAsia" w:eastAsia="宋体" w:cs="宋体"/>
          <w:color w:val="auto"/>
          <w:sz w:val="21"/>
          <w:szCs w:val="21"/>
          <w:highlight w:val="none"/>
          <w:u w:val="single"/>
          <w:lang w:val="en-US" w:eastAsia="zh-CN"/>
        </w:rPr>
        <w:t>陈女士</w:t>
      </w:r>
    </w:p>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监督投诉电话：</w:t>
      </w:r>
      <w:r>
        <w:rPr>
          <w:rFonts w:hint="eastAsia" w:ascii="宋体" w:hAnsi="宋体" w:eastAsia="宋体" w:cs="宋体"/>
          <w:color w:val="auto"/>
          <w:sz w:val="21"/>
          <w:szCs w:val="21"/>
          <w:highlight w:val="none"/>
          <w:u w:val="single"/>
        </w:rPr>
        <w:t>0576-87720209</w:t>
      </w:r>
    </w:p>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eastAsia="宋体" w:cs="宋体"/>
          <w:color w:val="auto"/>
          <w:sz w:val="21"/>
          <w:szCs w:val="21"/>
          <w:highlight w:val="none"/>
          <w:lang w:val="en-US" w:eastAsia="zh-CN"/>
        </w:rPr>
        <w:t>传真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0576-87720209</w:t>
      </w:r>
    </w:p>
    <w:p>
      <w:pPr>
        <w:keepNext w:val="0"/>
        <w:keepLines w:val="0"/>
        <w:pageBreakBefore w:val="0"/>
        <w:kinsoku/>
        <w:wordWrap/>
        <w:overflowPunct/>
        <w:topLinePunct w:val="0"/>
        <w:bidi w:val="0"/>
        <w:spacing w:line="360" w:lineRule="exact"/>
        <w:ind w:right="480"/>
        <w:jc w:val="both"/>
        <w:textAlignment w:val="auto"/>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bidi w:val="0"/>
        <w:spacing w:line="360" w:lineRule="exact"/>
        <w:ind w:right="480" w:firstLine="4410" w:firstLineChars="2100"/>
        <w:jc w:val="righ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台州瑞腾工程管理有限公司</w:t>
      </w:r>
    </w:p>
    <w:p>
      <w:pPr>
        <w:keepNext w:val="0"/>
        <w:keepLines w:val="0"/>
        <w:pageBreakBefore w:val="0"/>
        <w:widowControl/>
        <w:kinsoku/>
        <w:wordWrap/>
        <w:overflowPunct/>
        <w:topLinePunct w:val="0"/>
        <w:bidi w:val="0"/>
        <w:spacing w:before="60" w:after="60" w:line="360" w:lineRule="exact"/>
        <w:ind w:left="60" w:right="60" w:firstLine="540"/>
        <w:jc w:val="center"/>
        <w:textAlignment w:val="auto"/>
        <w:rPr>
          <w:rFonts w:hint="eastAsia"/>
          <w:b/>
          <w:color w:val="auto"/>
          <w:sz w:val="32"/>
          <w:szCs w:val="32"/>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olor w:val="auto"/>
          <w:kern w:val="0"/>
          <w:sz w:val="21"/>
          <w:highlight w:val="none"/>
          <w:lang w:eastAsia="zh-CN"/>
        </w:rPr>
        <w:t>202</w:t>
      </w:r>
      <w:r>
        <w:rPr>
          <w:rFonts w:hint="eastAsia" w:ascii="宋体" w:hAnsi="宋体" w:eastAsia="宋体"/>
          <w:color w:val="auto"/>
          <w:kern w:val="0"/>
          <w:sz w:val="21"/>
          <w:highlight w:val="none"/>
          <w:lang w:val="en-US" w:eastAsia="zh-CN"/>
        </w:rPr>
        <w:t>4</w:t>
      </w:r>
      <w:r>
        <w:rPr>
          <w:rFonts w:hint="eastAsia" w:ascii="宋体" w:hAnsi="宋体" w:eastAsia="宋体"/>
          <w:color w:val="auto"/>
          <w:kern w:val="0"/>
          <w:sz w:val="21"/>
          <w:highlight w:val="none"/>
          <w:lang w:eastAsia="zh-CN"/>
        </w:rPr>
        <w:t>年</w:t>
      </w:r>
      <w:r>
        <w:rPr>
          <w:rFonts w:hint="eastAsia" w:ascii="宋体" w:hAnsi="宋体" w:eastAsia="宋体"/>
          <w:color w:val="auto"/>
          <w:kern w:val="0"/>
          <w:sz w:val="21"/>
          <w:highlight w:val="none"/>
          <w:lang w:val="en-US" w:eastAsia="zh-CN"/>
        </w:rPr>
        <w:t>04</w:t>
      </w:r>
      <w:r>
        <w:rPr>
          <w:rFonts w:hint="eastAsia" w:ascii="宋体" w:hAnsi="宋体" w:eastAsia="宋体"/>
          <w:color w:val="auto"/>
          <w:kern w:val="0"/>
          <w:sz w:val="21"/>
          <w:highlight w:val="none"/>
          <w:lang w:eastAsia="zh-CN"/>
        </w:rPr>
        <w:t>月</w:t>
      </w:r>
      <w:r>
        <w:rPr>
          <w:rFonts w:hint="eastAsia" w:ascii="宋体" w:hAnsi="宋体" w:eastAsia="宋体"/>
          <w:color w:val="auto"/>
          <w:kern w:val="0"/>
          <w:sz w:val="21"/>
          <w:highlight w:val="none"/>
          <w:lang w:val="en-US" w:eastAsia="zh-CN"/>
        </w:rPr>
        <w:t>30</w:t>
      </w:r>
      <w:r>
        <w:rPr>
          <w:rFonts w:hint="eastAsia" w:ascii="宋体" w:hAnsi="宋体" w:eastAsia="宋体"/>
          <w:color w:val="auto"/>
          <w:kern w:val="0"/>
          <w:sz w:val="21"/>
          <w:highlight w:val="none"/>
          <w:lang w:eastAsia="zh-CN"/>
        </w:rPr>
        <w:t>日</w:t>
      </w:r>
    </w:p>
    <w:bookmarkEnd w:id="26"/>
    <w:p>
      <w:pPr>
        <w:rPr>
          <w:rFonts w:hint="eastAsia"/>
          <w:b/>
          <w:color w:val="auto"/>
          <w:sz w:val="32"/>
          <w:szCs w:val="32"/>
          <w:highlight w:val="none"/>
        </w:rPr>
      </w:pPr>
      <w:bookmarkStart w:id="28" w:name="_Toc306901444"/>
      <w:r>
        <w:rPr>
          <w:rFonts w:hint="eastAsia"/>
          <w:b/>
          <w:color w:val="auto"/>
          <w:sz w:val="32"/>
          <w:szCs w:val="32"/>
          <w:highlight w:val="none"/>
        </w:rPr>
        <w:br w:type="page"/>
      </w:r>
    </w:p>
    <w:p>
      <w:pPr>
        <w:autoSpaceDE w:val="0"/>
        <w:autoSpaceDN w:val="0"/>
        <w:adjustRightInd w:val="0"/>
        <w:spacing w:line="360" w:lineRule="auto"/>
        <w:jc w:val="center"/>
        <w:outlineLvl w:val="0"/>
        <w:rPr>
          <w:rFonts w:hint="eastAsia"/>
          <w:b/>
          <w:color w:val="auto"/>
          <w:sz w:val="32"/>
          <w:szCs w:val="32"/>
          <w:highlight w:val="none"/>
        </w:rPr>
      </w:pPr>
      <w:r>
        <w:rPr>
          <w:rFonts w:hint="eastAsia"/>
          <w:b/>
          <w:color w:val="auto"/>
          <w:sz w:val="32"/>
          <w:szCs w:val="32"/>
          <w:highlight w:val="none"/>
        </w:rPr>
        <w:t>第二部分</w:t>
      </w:r>
      <w:r>
        <w:rPr>
          <w:b/>
          <w:color w:val="auto"/>
          <w:sz w:val="32"/>
          <w:szCs w:val="32"/>
          <w:highlight w:val="none"/>
        </w:rPr>
        <w:t xml:space="preserve"> </w:t>
      </w:r>
      <w:r>
        <w:rPr>
          <w:rFonts w:hint="eastAsia"/>
          <w:b/>
          <w:color w:val="auto"/>
          <w:sz w:val="32"/>
          <w:szCs w:val="32"/>
          <w:highlight w:val="none"/>
        </w:rPr>
        <w:t>采购需求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特别提醒：</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▲1、承包人在签订合同时，若坚持提出附加条件和不合理要求，成交资格将被取消，该承包人对由此产生的一切后果负责。</w:t>
      </w:r>
    </w:p>
    <w:p>
      <w:pPr>
        <w:pStyle w:val="2"/>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▲2、加“▲”的技术要求或商务要求为实质性要求，投标人应特别注意，所提供的技术响应必须完全满足或优于这些要求，否则视为不满足。不满足实质性要求的投标文件将按无效标处理。</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before="156" w:beforeLines="50" w:after="156" w:afterLines="50" w:line="240" w:lineRule="exact"/>
        <w:ind w:right="23"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一</w:t>
      </w:r>
      <w:r>
        <w:rPr>
          <w:rFonts w:hint="eastAsia" w:ascii="宋体" w:hAnsi="宋体" w:eastAsia="宋体" w:cs="宋体"/>
          <w:b/>
          <w:color w:val="auto"/>
          <w:sz w:val="21"/>
          <w:szCs w:val="21"/>
          <w:highlight w:val="none"/>
        </w:rPr>
        <w:t>、招标项目一览表</w:t>
      </w:r>
    </w:p>
    <w:p>
      <w:pPr>
        <w:keepNext w:val="0"/>
        <w:keepLines w:val="0"/>
        <w:pageBreakBefore w:val="0"/>
        <w:widowControl w:val="0"/>
        <w:tabs>
          <w:tab w:val="left" w:pos="8280"/>
        </w:tabs>
        <w:kinsoku/>
        <w:wordWrap/>
        <w:overflowPunct/>
        <w:topLinePunct w:val="0"/>
        <w:autoSpaceDE w:val="0"/>
        <w:autoSpaceDN w:val="0"/>
        <w:bidi w:val="0"/>
        <w:adjustRightInd w:val="0"/>
        <w:snapToGrid/>
        <w:spacing w:after="157" w:afterLines="50" w:line="240" w:lineRule="exact"/>
        <w:ind w:right="23"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本次招标共1个标项，具体内容如下表：</w:t>
      </w:r>
    </w:p>
    <w:tbl>
      <w:tblPr>
        <w:tblStyle w:val="24"/>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600"/>
        <w:gridCol w:w="876"/>
        <w:gridCol w:w="908"/>
        <w:gridCol w:w="1254"/>
        <w:gridCol w:w="1383"/>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23"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320" w:lineRule="exact"/>
              <w:ind w:left="0"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w:t>
            </w:r>
          </w:p>
          <w:p>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320" w:lineRule="exact"/>
              <w:ind w:left="0"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00"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320" w:lineRule="exact"/>
              <w:ind w:left="0" w:right="23"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标项名称或内容</w:t>
            </w:r>
          </w:p>
        </w:tc>
        <w:tc>
          <w:tcPr>
            <w:tcW w:w="876"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320" w:lineRule="exact"/>
              <w:ind w:left="0"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08"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320" w:lineRule="exact"/>
              <w:ind w:left="0"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254"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320" w:lineRule="exact"/>
              <w:ind w:left="0"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预算造价</w:t>
            </w:r>
          </w:p>
          <w:p>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320" w:lineRule="exact"/>
              <w:ind w:left="0"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（元）</w:t>
            </w:r>
          </w:p>
        </w:tc>
        <w:tc>
          <w:tcPr>
            <w:tcW w:w="1383"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320" w:lineRule="exact"/>
              <w:ind w:left="0" w:right="23"/>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最高投标限价（元）</w:t>
            </w:r>
          </w:p>
        </w:tc>
        <w:tc>
          <w:tcPr>
            <w:tcW w:w="1065"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320" w:lineRule="exact"/>
              <w:ind w:left="0"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标的物行业</w:t>
            </w:r>
          </w:p>
        </w:tc>
        <w:tc>
          <w:tcPr>
            <w:tcW w:w="1065"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320" w:lineRule="exact"/>
              <w:ind w:left="0"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823"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320" w:lineRule="exact"/>
              <w:ind w:left="0" w:righ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00"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32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2024年省级挂牌治理道路交通事故多发点段（S322临石线K71+600永安路口）整治工程</w:t>
            </w:r>
          </w:p>
        </w:tc>
        <w:tc>
          <w:tcPr>
            <w:tcW w:w="876"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320" w:lineRule="exact"/>
              <w:ind w:left="0" w:righ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08"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320" w:lineRule="exact"/>
              <w:ind w:left="0" w:righ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254"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320" w:lineRule="exact"/>
              <w:ind w:left="0"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880738</w:t>
            </w:r>
          </w:p>
        </w:tc>
        <w:tc>
          <w:tcPr>
            <w:tcW w:w="1383"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320" w:lineRule="exact"/>
              <w:ind w:left="0" w:right="25"/>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819086</w:t>
            </w:r>
          </w:p>
        </w:tc>
        <w:tc>
          <w:tcPr>
            <w:tcW w:w="1065"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320" w:lineRule="exact"/>
              <w:ind w:left="0" w:right="25"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建筑业</w:t>
            </w:r>
          </w:p>
        </w:tc>
        <w:tc>
          <w:tcPr>
            <w:tcW w:w="1065" w:type="dxa"/>
            <w:noWrap w:val="0"/>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pacing w:before="0" w:beforeAutospacing="0" w:after="0" w:afterAutospacing="0" w:line="320" w:lineRule="exact"/>
              <w:ind w:left="0" w:right="25" w:rightChars="0"/>
              <w:jc w:val="center"/>
              <w:rPr>
                <w:rFonts w:hint="eastAsia" w:ascii="宋体" w:hAnsi="宋体" w:eastAsia="宋体" w:cs="宋体"/>
                <w:color w:val="auto"/>
                <w:sz w:val="21"/>
                <w:szCs w:val="21"/>
                <w:highlight w:val="none"/>
                <w:lang w:val="en-US" w:eastAsia="zh-CN"/>
              </w:rPr>
            </w:pPr>
          </w:p>
        </w:tc>
      </w:tr>
    </w:tbl>
    <w:p>
      <w:pPr>
        <w:snapToGrid w:val="0"/>
        <w:spacing w:line="400" w:lineRule="exact"/>
        <w:ind w:firstLine="420" w:firstLineChars="20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2.项目概况与服务范围</w:t>
      </w:r>
    </w:p>
    <w:p>
      <w:pPr>
        <w:snapToGrid w:val="0"/>
        <w:spacing w:line="400" w:lineRule="exact"/>
        <w:ind w:firstLine="420" w:firstLineChars="20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本项目概况：本次工程为 S322 临石线 K71+600 段隐患整治工程，项目位于仙居县横溪镇，</w:t>
      </w:r>
    </w:p>
    <w:p>
      <w:pPr>
        <w:snapToGrid w:val="0"/>
        <w:spacing w:line="4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该路段是横溪镇穿村路段。道路为双向四车道一级公路，设计速度为 80km/h，由于该路段为穿镇路段，现状道路非机动车及行人随意横穿道路情况严重，存在较大安全隐患。因此急需对该路段进行改造，提高路段通行能力及通行安全。</w:t>
      </w:r>
    </w:p>
    <w:p>
      <w:pPr>
        <w:snapToGrid w:val="0"/>
        <w:spacing w:line="400" w:lineRule="exact"/>
        <w:ind w:firstLine="420" w:firstLineChars="20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项目服务范围：（1）对路侧排水沟进行改造，排水沟改为 0.4m 双壁波纹管，并对水沟位置</w:t>
      </w:r>
    </w:p>
    <w:p>
      <w:pPr>
        <w:snapToGrid w:val="0"/>
        <w:spacing w:line="400" w:lineRule="exact"/>
        <w:jc w:val="left"/>
        <w:rPr>
          <w:rFonts w:ascii="宋体" w:hAnsi="宋体"/>
          <w:sz w:val="21"/>
          <w:szCs w:val="21"/>
        </w:rPr>
      </w:pPr>
      <w:r>
        <w:rPr>
          <w:rFonts w:hint="eastAsia" w:ascii="宋体" w:hAnsi="宋体" w:eastAsia="宋体" w:cs="宋体"/>
          <w:b w:val="0"/>
          <w:bCs w:val="0"/>
          <w:color w:val="auto"/>
          <w:kern w:val="0"/>
          <w:sz w:val="21"/>
          <w:szCs w:val="21"/>
          <w:highlight w:val="none"/>
        </w:rPr>
        <w:t>采用 C30 砼进行硬化。（2）右幅路侧增设波形护栏，护栏防护等级采用 A 级。（3）右幅进口道标线进行渠化设计。主路左右幅进口道位置施划彩色防滑标线。（4）道路右侧行车道边缘设置机非隔离护栏。（5）对支路口水泥混凝土路面进行修复。（6）对主路沥青路面进行铣刨回铺。（7）对支路位置橡胶减速带位置进行调整.（8）对支路口标线进行恢复。（9）路口增加一套中杆灯，并对路口位置路灯灯头进行更换。（10）对支路口进行改造，支路口中间绿化带 5m 范围进行硬化处理。支路口采用沥青砼进行接坡处理。（11）适当缩小支路口导流岛尺寸，并在导流岛内人行道位置施划彩色防滑标线。清除导流岛内原有绿化（原有红叶石楠移至路侧绿化带内，对路侧绿化带进行补植），并铺设草坪。（12）路口位置增设信号灯（由交警实施）。具体详见采购人提供的工程量清单。</w:t>
      </w:r>
      <w:r>
        <w:rPr>
          <w:rFonts w:hint="eastAsia" w:ascii="宋体" w:hAnsi="宋体"/>
          <w:sz w:val="21"/>
          <w:szCs w:val="21"/>
        </w:rPr>
        <w:t>项目建设地点：</w:t>
      </w:r>
      <w:r>
        <w:rPr>
          <w:rFonts w:hint="eastAsia" w:ascii="宋体" w:hAnsi="宋体"/>
          <w:sz w:val="21"/>
          <w:szCs w:val="21"/>
          <w:u w:val="single"/>
        </w:rPr>
        <w:t>仙居县</w:t>
      </w:r>
      <w:r>
        <w:rPr>
          <w:rFonts w:hint="eastAsia" w:ascii="宋体" w:hAnsi="宋体"/>
          <w:sz w:val="21"/>
          <w:szCs w:val="21"/>
        </w:rPr>
        <w:t>，项目工期：</w:t>
      </w:r>
      <w:r>
        <w:rPr>
          <w:rFonts w:hint="eastAsia" w:ascii="宋体" w:hAnsi="宋体"/>
          <w:sz w:val="21"/>
          <w:szCs w:val="21"/>
          <w:u w:val="single"/>
        </w:rPr>
        <w:t>工期不超过</w:t>
      </w:r>
      <w:r>
        <w:rPr>
          <w:rFonts w:hint="eastAsia" w:ascii="宋体" w:hAnsi="宋体"/>
          <w:sz w:val="21"/>
          <w:szCs w:val="21"/>
          <w:u w:val="single"/>
          <w:lang w:val="en-US" w:eastAsia="zh-CN"/>
        </w:rPr>
        <w:t>60</w:t>
      </w:r>
      <w:r>
        <w:rPr>
          <w:rFonts w:hint="eastAsia" w:ascii="宋体" w:hAnsi="宋体"/>
          <w:sz w:val="21"/>
          <w:szCs w:val="21"/>
          <w:u w:val="single"/>
        </w:rPr>
        <w:t xml:space="preserve">日历天 </w:t>
      </w:r>
      <w:r>
        <w:rPr>
          <w:rFonts w:hint="eastAsia" w:ascii="宋体" w:hAnsi="宋体"/>
          <w:sz w:val="21"/>
          <w:szCs w:val="21"/>
        </w:rPr>
        <w:t>。本项目分为</w:t>
      </w:r>
      <w:r>
        <w:rPr>
          <w:rFonts w:hint="eastAsia" w:ascii="宋体" w:hAnsi="宋体"/>
          <w:sz w:val="21"/>
          <w:szCs w:val="21"/>
          <w:u w:val="single"/>
        </w:rPr>
        <w:t xml:space="preserve">  一  </w:t>
      </w:r>
      <w:r>
        <w:rPr>
          <w:rFonts w:hint="eastAsia" w:ascii="宋体" w:hAnsi="宋体"/>
          <w:sz w:val="21"/>
          <w:szCs w:val="21"/>
        </w:rPr>
        <w:t>个合同段。</w:t>
      </w:r>
    </w:p>
    <w:p>
      <w:pPr>
        <w:snapToGrid w:val="0"/>
        <w:spacing w:line="400" w:lineRule="exact"/>
        <w:ind w:firstLine="420" w:firstLineChars="20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kern w:val="0"/>
          <w:sz w:val="21"/>
          <w:szCs w:val="21"/>
          <w:highlight w:val="none"/>
        </w:rPr>
        <w:t>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pPr>
        <w:snapToGrid w:val="0"/>
        <w:spacing w:line="400" w:lineRule="exact"/>
        <w:jc w:val="left"/>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二、规范要求</w:t>
      </w:r>
    </w:p>
    <w:p>
      <w:pPr>
        <w:pStyle w:val="8"/>
        <w:snapToGrid w:val="0"/>
        <w:spacing w:after="0" w:line="400" w:lineRule="exact"/>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1.依据设计施工图纸和技术规范要求，本工程项目的材料、设备、施工必须达到现行中华人民共和国及省、市、行业的一切有关法规、规范的要求，如标准及规范要求有出入则以较严格者为准。</w:t>
      </w:r>
    </w:p>
    <w:p>
      <w:pPr>
        <w:pStyle w:val="35"/>
        <w:spacing w:line="400" w:lineRule="exact"/>
        <w:ind w:firstLine="420" w:firstLineChars="200"/>
        <w:rPr>
          <w:rFonts w:ascii="宋体" w:hAnsi="宋体" w:eastAsia="宋体" w:cs="宋体"/>
          <w:bCs/>
          <w:color w:val="auto"/>
          <w:kern w:val="0"/>
          <w:sz w:val="21"/>
          <w:szCs w:val="21"/>
          <w:highlight w:val="none"/>
          <w:lang w:val="en-US"/>
        </w:rPr>
      </w:pPr>
      <w:r>
        <w:rPr>
          <w:rFonts w:hint="eastAsia" w:ascii="宋体" w:hAnsi="宋体" w:eastAsia="宋体" w:cs="宋体"/>
          <w:bCs/>
          <w:color w:val="auto"/>
          <w:kern w:val="0"/>
          <w:sz w:val="21"/>
          <w:szCs w:val="21"/>
          <w:highlight w:val="none"/>
          <w:lang w:val="en-US"/>
        </w:rPr>
        <w:t>2.技术规范由承包人自备，如有不足之处或未能达到国家最新标准时，承包人应使施工及选用的设备和材料符合最新版本的国家标准、规范。</w:t>
      </w:r>
    </w:p>
    <w:p>
      <w:pPr>
        <w:spacing w:line="400" w:lineRule="exac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三、施工要求</w:t>
      </w:r>
    </w:p>
    <w:p>
      <w:pPr>
        <w:pStyle w:val="35"/>
        <w:spacing w:line="400" w:lineRule="exact"/>
        <w:ind w:firstLine="420" w:firstLineChars="20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1、工程质量验收按技术规范及《公路工程质量检验评定标准》执行。</w:t>
      </w:r>
    </w:p>
    <w:p>
      <w:pPr>
        <w:pStyle w:val="35"/>
        <w:spacing w:line="400" w:lineRule="exact"/>
        <w:ind w:firstLine="420" w:firstLineChars="20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2、承包人必须遵守国家有关法律、法规和规章，严格执行《公路养护技术规范》（JTG H10-2009）、《公路技术状况评定标准》（JTG 5210-2018）等各类技术规范及规程，全面履行工程合同义务，依法对公路养护工程质量负责。</w:t>
      </w:r>
    </w:p>
    <w:p>
      <w:pPr>
        <w:pStyle w:val="35"/>
        <w:spacing w:line="400" w:lineRule="exact"/>
        <w:ind w:firstLine="420" w:firstLineChars="20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color w:val="auto"/>
          <w:kern w:val="2"/>
          <w:sz w:val="21"/>
          <w:szCs w:val="21"/>
          <w:highlight w:val="none"/>
          <w:lang w:val="en-US" w:eastAsia="zh-CN" w:bidi="ar"/>
        </w:rPr>
        <w:t>承包人应提供为完成合同工作所需的劳务、材料、施工设备、工程设备和其他物品，并按采购文件和合同约定负责临时设施的设计、建造、运行、维护、管理和拆除</w:t>
      </w:r>
      <w:r>
        <w:rPr>
          <w:rFonts w:hint="eastAsia" w:ascii="宋体" w:hAnsi="宋体" w:eastAsia="宋体" w:cs="宋体"/>
          <w:bCs/>
          <w:color w:val="auto"/>
          <w:kern w:val="0"/>
          <w:sz w:val="21"/>
          <w:szCs w:val="21"/>
          <w:highlight w:val="none"/>
          <w:lang w:val="en-US" w:eastAsia="zh-CN"/>
        </w:rPr>
        <w:t>。</w:t>
      </w:r>
    </w:p>
    <w:p>
      <w:pPr>
        <w:pStyle w:val="35"/>
        <w:spacing w:line="400" w:lineRule="exact"/>
        <w:ind w:firstLine="420" w:firstLineChars="200"/>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2"/>
          <w:sz w:val="21"/>
          <w:szCs w:val="21"/>
          <w:highlight w:val="none"/>
          <w:lang w:val="en-US" w:eastAsia="zh-CN" w:bidi="ar"/>
        </w:rPr>
        <w:t>承包人应负责做好合同规定的养护组织设计，精心组织养护，加强养护质量控制，完成本合同公路养护工程。为此，承包人应提供所需的全部监督管理、劳务、材料、设备、养护装备和其他物品。</w:t>
      </w:r>
    </w:p>
    <w:p>
      <w:pPr>
        <w:pStyle w:val="35"/>
        <w:spacing w:line="400" w:lineRule="exact"/>
        <w:ind w:firstLine="420" w:firstLineChars="20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5、承包人应按</w:t>
      </w:r>
      <w:r>
        <w:rPr>
          <w:rFonts w:hint="eastAsia" w:ascii="宋体" w:hAnsi="宋体" w:eastAsia="宋体" w:cs="宋体"/>
          <w:color w:val="auto"/>
          <w:kern w:val="2"/>
          <w:sz w:val="21"/>
          <w:szCs w:val="21"/>
          <w:highlight w:val="none"/>
          <w:lang w:val="en-US" w:eastAsia="zh-CN" w:bidi="ar"/>
        </w:rPr>
        <w:t>采购文件和</w:t>
      </w:r>
      <w:r>
        <w:rPr>
          <w:rFonts w:hint="eastAsia" w:ascii="宋体" w:hAnsi="宋体" w:eastAsia="宋体" w:cs="宋体"/>
          <w:bCs/>
          <w:color w:val="auto"/>
          <w:kern w:val="0"/>
          <w:sz w:val="21"/>
          <w:szCs w:val="21"/>
          <w:highlight w:val="none"/>
          <w:lang w:val="en-US" w:eastAsia="zh-CN"/>
        </w:rPr>
        <w:t>合同约定的工作内容和施工进度要求，编制养护工程作业方案和施工措施计划，并对所有施工作业和施工方法的完备性和安全可靠性负责。</w:t>
      </w:r>
    </w:p>
    <w:p>
      <w:pPr>
        <w:pStyle w:val="35"/>
        <w:spacing w:line="400" w:lineRule="exact"/>
        <w:ind w:firstLine="420" w:firstLineChars="20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承包人应对全部现场作业和施工方法的适用性、可靠性和安全性承担全部责任。承包人应根据发包人提供的原有公路技术状况，进行认真的核查，协助和配合发包人进行各项检查，发现病害及时查明原因，为消除病害，提交经补充修改后的养护作业方案。</w:t>
      </w:r>
    </w:p>
    <w:p>
      <w:pPr>
        <w:pStyle w:val="35"/>
        <w:spacing w:line="400" w:lineRule="exact"/>
        <w:ind w:firstLine="420" w:firstLineChars="20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7、在实施和完成养护工程的整个过程中，承包人应该充分关注和保障所有在现场工作的人员安全，采取有效措施，使养护作业现场和本合同养护工程的实施保持有条不紊，以免人员的安全受到威胁。</w:t>
      </w:r>
    </w:p>
    <w:p>
      <w:pPr>
        <w:pStyle w:val="48"/>
        <w:pageBreakBefore w:val="0"/>
        <w:widowControl w:val="0"/>
        <w:kinsoku/>
        <w:overflowPunct/>
        <w:topLinePunct w:val="0"/>
        <w:autoSpaceDE/>
        <w:autoSpaceDN/>
        <w:bidi w:val="0"/>
        <w:spacing w:line="360" w:lineRule="exact"/>
        <w:ind w:firstLine="420"/>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r>
        <w:rPr>
          <w:rFonts w:hint="default" w:ascii="宋体" w:hAnsi="宋体" w:eastAsia="宋体" w:cs="宋体"/>
          <w:color w:val="auto"/>
          <w:highlight w:val="none"/>
          <w:lang w:val="en-US" w:eastAsia="zh-CN"/>
        </w:rPr>
        <w:t>隐蔽工程必须经</w:t>
      </w:r>
      <w:r>
        <w:rPr>
          <w:rFonts w:hint="eastAsia" w:ascii="宋体" w:hAnsi="宋体" w:eastAsia="宋体" w:cs="宋体"/>
          <w:color w:val="auto"/>
          <w:highlight w:val="none"/>
          <w:lang w:val="en-US" w:eastAsia="zh-CN"/>
        </w:rPr>
        <w:t>发包人</w:t>
      </w:r>
      <w:r>
        <w:rPr>
          <w:rFonts w:hint="default" w:ascii="宋体" w:hAnsi="宋体" w:eastAsia="宋体" w:cs="宋体"/>
          <w:color w:val="auto"/>
          <w:highlight w:val="none"/>
          <w:lang w:val="en-US" w:eastAsia="zh-CN"/>
        </w:rPr>
        <w:t>检查、验收后，方可进行下一道工序。</w:t>
      </w:r>
    </w:p>
    <w:p>
      <w:pPr>
        <w:spacing w:line="400" w:lineRule="exac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四、材料</w:t>
      </w:r>
      <w:r>
        <w:rPr>
          <w:rFonts w:hint="eastAsia" w:ascii="宋体" w:hAnsi="宋体" w:eastAsia="宋体" w:cs="宋体"/>
          <w:b/>
          <w:color w:val="auto"/>
          <w:sz w:val="21"/>
          <w:szCs w:val="21"/>
          <w:highlight w:val="none"/>
          <w:lang w:val="en-US" w:eastAsia="zh-CN"/>
        </w:rPr>
        <w:t>和设备</w:t>
      </w:r>
      <w:r>
        <w:rPr>
          <w:rFonts w:hint="eastAsia" w:ascii="宋体" w:hAnsi="宋体" w:eastAsia="宋体" w:cs="宋体"/>
          <w:b/>
          <w:color w:val="auto"/>
          <w:sz w:val="21"/>
          <w:szCs w:val="21"/>
          <w:highlight w:val="none"/>
        </w:rPr>
        <w:t>质量要求</w:t>
      </w:r>
    </w:p>
    <w:p>
      <w:pPr>
        <w:pStyle w:val="48"/>
        <w:ind w:firstLine="42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kern w:val="2"/>
          <w:sz w:val="21"/>
          <w:szCs w:val="21"/>
          <w:highlight w:val="none"/>
          <w:lang w:val="en-US" w:eastAsia="zh-CN" w:bidi="ar"/>
        </w:rPr>
        <w:t>所有用于公路养护工程的材料和设备进场以前，承包人必须向发包人提交生产厂商出具的质量合格证书和承包人检验合格证书，证明材料、设备质量符合本合同技术规范的规定，以供发包人批准。</w:t>
      </w:r>
    </w:p>
    <w:p>
      <w:pPr>
        <w:pStyle w:val="48"/>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Cs/>
          <w:color w:val="auto"/>
          <w:kern w:val="2"/>
          <w:sz w:val="21"/>
          <w:szCs w:val="21"/>
          <w:highlight w:val="none"/>
          <w:lang w:val="en-US" w:eastAsia="zh-CN" w:bidi="ar"/>
        </w:rPr>
        <w:t>承包人应随时按</w:t>
      </w:r>
      <w:r>
        <w:rPr>
          <w:rFonts w:hint="eastAsia" w:ascii="宋体" w:hAnsi="宋体" w:eastAsia="宋体" w:cs="宋体"/>
          <w:color w:val="auto"/>
          <w:highlight w:val="none"/>
          <w:lang w:eastAsia="zh-CN"/>
        </w:rPr>
        <w:t>发包人</w:t>
      </w:r>
      <w:r>
        <w:rPr>
          <w:rFonts w:hint="eastAsia" w:ascii="宋体" w:hAnsi="宋体" w:eastAsia="宋体" w:cs="宋体"/>
          <w:bCs/>
          <w:color w:val="auto"/>
          <w:kern w:val="2"/>
          <w:sz w:val="21"/>
          <w:szCs w:val="21"/>
          <w:highlight w:val="none"/>
          <w:lang w:val="en-US" w:eastAsia="zh-CN" w:bidi="ar"/>
        </w:rPr>
        <w:t>的指令在制造、加工或养护施工现场对材料和设备进行检验。</w:t>
      </w:r>
    </w:p>
    <w:p>
      <w:pPr>
        <w:pStyle w:val="48"/>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bCs/>
          <w:color w:val="auto"/>
          <w:kern w:val="2"/>
          <w:sz w:val="21"/>
          <w:szCs w:val="21"/>
          <w:highlight w:val="none"/>
          <w:lang w:val="en-US" w:eastAsia="zh-CN" w:bidi="ar"/>
        </w:rPr>
        <w:t>承包人应为</w:t>
      </w:r>
      <w:r>
        <w:rPr>
          <w:rFonts w:hint="eastAsia" w:ascii="宋体" w:hAnsi="宋体" w:eastAsia="宋体" w:cs="宋体"/>
          <w:color w:val="auto"/>
          <w:highlight w:val="none"/>
          <w:lang w:eastAsia="zh-CN"/>
        </w:rPr>
        <w:t>发包人</w:t>
      </w:r>
      <w:r>
        <w:rPr>
          <w:rFonts w:hint="eastAsia" w:ascii="宋体" w:hAnsi="宋体" w:eastAsia="宋体" w:cs="宋体"/>
          <w:bCs/>
          <w:color w:val="auto"/>
          <w:kern w:val="2"/>
          <w:sz w:val="21"/>
          <w:szCs w:val="21"/>
          <w:highlight w:val="none"/>
          <w:lang w:val="en-US" w:eastAsia="zh-CN" w:bidi="ar"/>
        </w:rPr>
        <w:t>对材料或设备的检验提供一切必要的协助，在材料用于养护工程之前，承包人应按发包人的要求提供材料样品以供检验。</w:t>
      </w:r>
    </w:p>
    <w:p>
      <w:pPr>
        <w:pStyle w:val="48"/>
        <w:ind w:firstLine="420"/>
        <w:rPr>
          <w:rFonts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、本工程所采用的材料，承包人在磋商报价时必须考虑材料运至工地，到工地后的卸车、二次搬运、保管、验收所产生的费用。工程结算时，不作调整。承包人必须服从</w:t>
      </w:r>
      <w:r>
        <w:rPr>
          <w:rFonts w:hint="eastAsia" w:ascii="宋体" w:hAnsi="宋体" w:eastAsia="宋体" w:cs="宋体"/>
          <w:color w:val="auto"/>
          <w:highlight w:val="none"/>
          <w:lang w:eastAsia="zh-CN"/>
        </w:rPr>
        <w:t>发包人</w:t>
      </w:r>
      <w:r>
        <w:rPr>
          <w:rFonts w:hint="eastAsia" w:ascii="宋体" w:hAnsi="宋体" w:eastAsia="宋体" w:cs="宋体"/>
          <w:color w:val="auto"/>
          <w:highlight w:val="none"/>
        </w:rPr>
        <w:t>安排并按</w:t>
      </w:r>
      <w:r>
        <w:rPr>
          <w:rFonts w:hint="eastAsia" w:ascii="宋体" w:hAnsi="宋体" w:eastAsia="宋体" w:cs="宋体"/>
          <w:color w:val="auto"/>
          <w:highlight w:val="none"/>
          <w:lang w:eastAsia="zh-CN"/>
        </w:rPr>
        <w:t>发包人</w:t>
      </w:r>
      <w:r>
        <w:rPr>
          <w:rFonts w:hint="eastAsia" w:ascii="宋体" w:hAnsi="宋体" w:eastAsia="宋体" w:cs="宋体"/>
          <w:color w:val="auto"/>
          <w:highlight w:val="none"/>
        </w:rPr>
        <w:t>要求实施。</w:t>
      </w:r>
    </w:p>
    <w:p>
      <w:pPr>
        <w:pStyle w:val="35"/>
        <w:numPr>
          <w:ilvl w:val="0"/>
          <w:numId w:val="3"/>
        </w:numPr>
        <w:spacing w:line="400" w:lineRule="exact"/>
        <w:rPr>
          <w:rFonts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工程管理要求</w:t>
      </w:r>
    </w:p>
    <w:p>
      <w:pPr>
        <w:pStyle w:val="48"/>
        <w:pageBreakBefore w:val="0"/>
        <w:widowControl w:val="0"/>
        <w:kinsoku/>
        <w:overflowPunct/>
        <w:topLinePunct w:val="0"/>
        <w:autoSpaceDE/>
        <w:autoSpaceDN/>
        <w:bidi w:val="0"/>
        <w:spacing w:line="360" w:lineRule="exact"/>
        <w:ind w:firstLine="420"/>
        <w:textAlignment w:val="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hAnsi="宋体" w:eastAsia="宋体" w:cs="宋体"/>
          <w:color w:val="auto"/>
          <w:szCs w:val="21"/>
          <w:highlight w:val="none"/>
          <w:lang w:val="en-US" w:eastAsia="zh-CN"/>
        </w:rPr>
        <w:t>本工程承包范围内的工程项目，</w:t>
      </w:r>
      <w:r>
        <w:rPr>
          <w:rFonts w:hint="eastAsia" w:ascii="宋体" w:hAnsi="宋体" w:eastAsia="宋体" w:cs="宋体"/>
          <w:color w:val="auto"/>
          <w:highlight w:val="none"/>
        </w:rPr>
        <w:t>承包人</w:t>
      </w:r>
      <w:r>
        <w:rPr>
          <w:rFonts w:hint="eastAsia" w:hAnsi="宋体" w:eastAsia="宋体" w:cs="宋体"/>
          <w:color w:val="auto"/>
          <w:szCs w:val="21"/>
          <w:highlight w:val="none"/>
          <w:lang w:val="en-US" w:eastAsia="zh-CN"/>
        </w:rPr>
        <w:t>未经发包人同意，一律不得分包、转包，</w:t>
      </w:r>
      <w:r>
        <w:rPr>
          <w:rFonts w:hint="eastAsia" w:ascii="宋体" w:hAnsi="宋体" w:eastAsia="宋体" w:cs="宋体"/>
          <w:color w:val="auto"/>
          <w:highlight w:val="none"/>
        </w:rPr>
        <w:t>承包人</w:t>
      </w:r>
      <w:r>
        <w:rPr>
          <w:rFonts w:hint="eastAsia" w:hAnsi="宋体" w:eastAsia="宋体" w:cs="宋体"/>
          <w:color w:val="auto"/>
          <w:szCs w:val="21"/>
          <w:highlight w:val="none"/>
          <w:lang w:val="en-US" w:eastAsia="zh-CN"/>
        </w:rPr>
        <w:t>擅自分包、转包以违约论，一经发现立即取消</w:t>
      </w:r>
      <w:r>
        <w:rPr>
          <w:rFonts w:hint="eastAsia" w:ascii="宋体" w:hAnsi="宋体" w:eastAsia="宋体" w:cs="宋体"/>
          <w:color w:val="auto"/>
          <w:highlight w:val="none"/>
        </w:rPr>
        <w:t>承包人</w:t>
      </w:r>
      <w:r>
        <w:rPr>
          <w:rFonts w:hint="eastAsia" w:hAnsi="宋体" w:eastAsia="宋体" w:cs="宋体"/>
          <w:color w:val="auto"/>
          <w:szCs w:val="21"/>
          <w:highlight w:val="none"/>
          <w:lang w:val="en-US" w:eastAsia="zh-CN"/>
        </w:rPr>
        <w:t>的承包资格，承包人应承担由此引起的一切经济责任和法律责任。</w:t>
      </w:r>
    </w:p>
    <w:p>
      <w:pPr>
        <w:pStyle w:val="2"/>
        <w:pageBreakBefore w:val="0"/>
        <w:widowControl w:val="0"/>
        <w:kinsoku/>
        <w:overflowPunct/>
        <w:topLinePunct w:val="0"/>
        <w:autoSpaceDE/>
        <w:autoSpaceDN/>
        <w:bidi w:val="0"/>
        <w:snapToGrid w:val="0"/>
        <w:spacing w:line="360" w:lineRule="exact"/>
        <w:ind w:firstLine="420" w:firstLineChars="200"/>
        <w:textAlignment w:val="auto"/>
        <w:rPr>
          <w:rFonts w:hAnsi="宋体" w:cs="宋体"/>
          <w:color w:val="auto"/>
          <w:szCs w:val="21"/>
          <w:highlight w:val="none"/>
        </w:rPr>
      </w:pPr>
      <w:r>
        <w:rPr>
          <w:rFonts w:hint="eastAsia" w:hAnsi="宋体" w:eastAsia="宋体" w:cs="宋体"/>
          <w:color w:val="auto"/>
          <w:szCs w:val="21"/>
          <w:highlight w:val="none"/>
        </w:rPr>
        <w:t>2</w:t>
      </w:r>
      <w:r>
        <w:rPr>
          <w:rFonts w:hint="eastAsia" w:hAnsi="宋体" w:eastAsia="宋体" w:cs="宋体"/>
          <w:color w:val="auto"/>
          <w:szCs w:val="21"/>
          <w:highlight w:val="none"/>
          <w:lang w:val="en-US" w:eastAsia="zh-CN"/>
        </w:rPr>
        <w:t>.承包人</w:t>
      </w:r>
      <w:r>
        <w:rPr>
          <w:rFonts w:hint="eastAsia" w:hAnsi="宋体" w:eastAsia="宋体" w:cs="宋体"/>
          <w:color w:val="auto"/>
          <w:szCs w:val="21"/>
          <w:highlight w:val="none"/>
        </w:rPr>
        <w:t>应严格按已确认施工技术方案组织施工，并无条件地接受</w:t>
      </w:r>
      <w:r>
        <w:rPr>
          <w:rFonts w:hint="eastAsia" w:ascii="宋体" w:hAnsi="宋体" w:eastAsia="宋体" w:cs="宋体"/>
          <w:color w:val="auto"/>
          <w:highlight w:val="none"/>
          <w:lang w:eastAsia="zh-CN"/>
        </w:rPr>
        <w:t>发包人</w:t>
      </w:r>
      <w:r>
        <w:rPr>
          <w:rFonts w:hint="eastAsia" w:hAnsi="宋体" w:eastAsia="宋体" w:cs="宋体"/>
          <w:color w:val="auto"/>
          <w:szCs w:val="21"/>
          <w:highlight w:val="none"/>
        </w:rPr>
        <w:t>代表对施工质量的监督和管理。</w:t>
      </w:r>
      <w:r>
        <w:rPr>
          <w:rFonts w:hint="eastAsia" w:hAnsi="宋体" w:cs="宋体"/>
          <w:color w:val="auto"/>
          <w:szCs w:val="21"/>
          <w:highlight w:val="none"/>
        </w:rPr>
        <w:t>施工过程中，</w:t>
      </w:r>
      <w:r>
        <w:rPr>
          <w:rFonts w:hint="eastAsia" w:hAnsi="宋体" w:eastAsia="宋体" w:cs="宋体"/>
          <w:color w:val="auto"/>
          <w:szCs w:val="21"/>
          <w:highlight w:val="none"/>
          <w:lang w:val="en-US" w:eastAsia="zh-CN"/>
        </w:rPr>
        <w:t>承包人</w:t>
      </w:r>
      <w:r>
        <w:rPr>
          <w:rFonts w:hint="eastAsia" w:hAnsi="宋体" w:cs="宋体"/>
          <w:color w:val="auto"/>
          <w:szCs w:val="21"/>
          <w:highlight w:val="none"/>
        </w:rPr>
        <w:t>必须要严格把关，按照相应规范标准要求施工，如出现不符合标准要求的情况，</w:t>
      </w:r>
      <w:r>
        <w:rPr>
          <w:rFonts w:hint="eastAsia" w:hAnsi="宋体" w:eastAsia="宋体" w:cs="宋体"/>
          <w:color w:val="auto"/>
          <w:szCs w:val="21"/>
          <w:highlight w:val="none"/>
          <w:lang w:val="en-US" w:eastAsia="zh-CN"/>
        </w:rPr>
        <w:t>承包人</w:t>
      </w:r>
      <w:r>
        <w:rPr>
          <w:rFonts w:hint="eastAsia" w:hAnsi="宋体" w:cs="宋体"/>
          <w:color w:val="auto"/>
          <w:szCs w:val="21"/>
          <w:highlight w:val="none"/>
        </w:rPr>
        <w:t>必须无条件返工，直至达到规范标准要求。所发生的费用均由</w:t>
      </w:r>
      <w:r>
        <w:rPr>
          <w:rFonts w:hint="eastAsia" w:hAnsi="宋体" w:eastAsia="宋体" w:cs="宋体"/>
          <w:color w:val="auto"/>
          <w:szCs w:val="21"/>
          <w:highlight w:val="none"/>
          <w:lang w:val="en-US" w:eastAsia="zh-CN"/>
        </w:rPr>
        <w:t>承包人</w:t>
      </w:r>
      <w:r>
        <w:rPr>
          <w:rFonts w:hint="eastAsia" w:hAnsi="宋体" w:cs="宋体"/>
          <w:color w:val="auto"/>
          <w:szCs w:val="21"/>
          <w:highlight w:val="none"/>
        </w:rPr>
        <w:t>承担。</w:t>
      </w:r>
    </w:p>
    <w:p>
      <w:pPr>
        <w:pStyle w:val="48"/>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color w:val="auto"/>
          <w:highlight w:val="none"/>
        </w:rPr>
      </w:pPr>
      <w:r>
        <w:rPr>
          <w:rFonts w:hint="eastAsia" w:ascii="宋体" w:hAnsi="宋体" w:cs="宋体"/>
          <w:color w:val="auto"/>
          <w:highlight w:val="none"/>
        </w:rPr>
        <w:t>3</w:t>
      </w:r>
      <w:r>
        <w:rPr>
          <w:rFonts w:hint="eastAsia" w:ascii="宋体" w:hAnsi="宋体" w:eastAsia="宋体" w:cs="宋体"/>
          <w:color w:val="auto"/>
          <w:highlight w:val="none"/>
          <w:lang w:val="en-US" w:eastAsia="zh-CN"/>
        </w:rPr>
        <w:t>.</w:t>
      </w:r>
      <w:r>
        <w:rPr>
          <w:rFonts w:hint="eastAsia" w:hAnsi="宋体" w:eastAsia="宋体" w:cs="宋体"/>
          <w:color w:val="auto"/>
          <w:szCs w:val="21"/>
          <w:highlight w:val="none"/>
          <w:lang w:val="en-US" w:eastAsia="zh-CN"/>
        </w:rPr>
        <w:t>承包人</w:t>
      </w:r>
      <w:r>
        <w:rPr>
          <w:rFonts w:hint="eastAsia" w:ascii="宋体" w:hAnsi="宋体" w:eastAsia="宋体" w:cs="宋体"/>
          <w:color w:val="auto"/>
          <w:highlight w:val="none"/>
        </w:rPr>
        <w:t>在响应文件中的承诺的管理人员未经</w:t>
      </w:r>
      <w:r>
        <w:rPr>
          <w:rFonts w:hint="eastAsia" w:ascii="宋体" w:hAnsi="宋体" w:eastAsia="宋体" w:cs="宋体"/>
          <w:color w:val="auto"/>
          <w:highlight w:val="none"/>
          <w:lang w:eastAsia="zh-CN"/>
        </w:rPr>
        <w:t>发包人</w:t>
      </w:r>
      <w:r>
        <w:rPr>
          <w:rFonts w:hint="eastAsia" w:ascii="宋体" w:hAnsi="宋体" w:eastAsia="宋体" w:cs="宋体"/>
          <w:color w:val="auto"/>
          <w:highlight w:val="none"/>
        </w:rPr>
        <w:t>同意，不得调换和撤离，并按工程进度及时到位。</w:t>
      </w:r>
      <w:r>
        <w:rPr>
          <w:rFonts w:hint="eastAsia" w:ascii="宋体" w:hAnsi="宋体" w:eastAsia="宋体" w:cs="宋体"/>
          <w:color w:val="auto"/>
          <w:highlight w:val="none"/>
          <w:lang w:eastAsia="zh-CN"/>
        </w:rPr>
        <w:t>发包人</w:t>
      </w:r>
      <w:r>
        <w:rPr>
          <w:rFonts w:hint="eastAsia" w:ascii="宋体" w:hAnsi="宋体" w:eastAsia="宋体" w:cs="宋体"/>
          <w:color w:val="auto"/>
          <w:highlight w:val="none"/>
        </w:rPr>
        <w:t>有权要求撤换工作不负责任、管理不力、贻误工期和造成严重的安全事故和工程质量事故、违法乱纪的专业技术、管理人员、技术负责人，直至</w:t>
      </w:r>
      <w:r>
        <w:rPr>
          <w:rFonts w:hint="eastAsia" w:ascii="宋体" w:hAnsi="宋体" w:eastAsia="宋体" w:cs="宋体"/>
          <w:color w:val="auto"/>
          <w:highlight w:val="none"/>
          <w:lang w:eastAsia="zh-CN"/>
        </w:rPr>
        <w:t>发包人</w:t>
      </w:r>
      <w:r>
        <w:rPr>
          <w:rFonts w:hint="eastAsia" w:ascii="宋体" w:hAnsi="宋体" w:eastAsia="宋体" w:cs="宋体"/>
          <w:color w:val="auto"/>
          <w:highlight w:val="none"/>
        </w:rPr>
        <w:t>满意为止。如相应资质的专业技术人员未按要求到位，视作违约，</w:t>
      </w:r>
      <w:r>
        <w:rPr>
          <w:rFonts w:hint="eastAsia" w:ascii="宋体" w:hAnsi="宋体" w:eastAsia="宋体" w:cs="宋体"/>
          <w:color w:val="auto"/>
          <w:highlight w:val="none"/>
          <w:lang w:eastAsia="zh-CN"/>
        </w:rPr>
        <w:t>发包人</w:t>
      </w:r>
      <w:r>
        <w:rPr>
          <w:rFonts w:hint="eastAsia" w:ascii="宋体" w:hAnsi="宋体" w:eastAsia="宋体" w:cs="宋体"/>
          <w:color w:val="auto"/>
          <w:highlight w:val="none"/>
        </w:rPr>
        <w:t>有权单方面终止合同。</w:t>
      </w:r>
    </w:p>
    <w:p>
      <w:pPr>
        <w:pStyle w:val="48"/>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hAnsi="宋体" w:eastAsia="宋体" w:cs="宋体"/>
          <w:color w:val="auto"/>
          <w:szCs w:val="21"/>
          <w:highlight w:val="none"/>
          <w:lang w:val="en-US" w:eastAsia="zh-CN"/>
        </w:rPr>
        <w:t>承包人</w:t>
      </w:r>
      <w:r>
        <w:rPr>
          <w:rFonts w:hint="eastAsia" w:ascii="宋体" w:hAnsi="宋体" w:eastAsia="宋体" w:cs="宋体"/>
          <w:color w:val="auto"/>
          <w:szCs w:val="21"/>
          <w:highlight w:val="none"/>
          <w:lang w:val="en-US" w:eastAsia="zh-CN"/>
        </w:rPr>
        <w:t>在工程施工全过程中要认真做好产品保护。因失窃或失火造成的损失均由承包人负责，凡由此而损及</w:t>
      </w:r>
      <w:r>
        <w:rPr>
          <w:rFonts w:hint="eastAsia" w:ascii="宋体" w:hAnsi="宋体" w:eastAsia="宋体" w:cs="宋体"/>
          <w:color w:val="auto"/>
          <w:highlight w:val="none"/>
          <w:lang w:eastAsia="zh-CN"/>
        </w:rPr>
        <w:t>发包人</w:t>
      </w:r>
      <w:r>
        <w:rPr>
          <w:rFonts w:hint="eastAsia" w:ascii="宋体" w:hAnsi="宋体" w:eastAsia="宋体" w:cs="宋体"/>
          <w:color w:val="auto"/>
          <w:szCs w:val="21"/>
          <w:highlight w:val="none"/>
          <w:lang w:val="en-US" w:eastAsia="zh-CN"/>
        </w:rPr>
        <w:t>利益时，</w:t>
      </w:r>
      <w:r>
        <w:rPr>
          <w:rFonts w:hint="eastAsia" w:ascii="宋体" w:hAnsi="宋体" w:eastAsia="宋体" w:cs="宋体"/>
          <w:color w:val="auto"/>
          <w:highlight w:val="none"/>
          <w:lang w:eastAsia="zh-CN"/>
        </w:rPr>
        <w:t>发包人</w:t>
      </w:r>
      <w:r>
        <w:rPr>
          <w:rFonts w:hint="eastAsia" w:ascii="宋体" w:hAnsi="宋体" w:eastAsia="宋体" w:cs="宋体"/>
          <w:color w:val="auto"/>
          <w:szCs w:val="21"/>
          <w:highlight w:val="none"/>
          <w:lang w:val="en-US" w:eastAsia="zh-CN"/>
        </w:rPr>
        <w:t>将向</w:t>
      </w:r>
      <w:r>
        <w:rPr>
          <w:rFonts w:hint="eastAsia" w:hAnsi="宋体" w:eastAsia="宋体" w:cs="宋体"/>
          <w:color w:val="auto"/>
          <w:szCs w:val="21"/>
          <w:highlight w:val="none"/>
          <w:lang w:val="en-US" w:eastAsia="zh-CN"/>
        </w:rPr>
        <w:t>承包人</w:t>
      </w:r>
      <w:r>
        <w:rPr>
          <w:rFonts w:hint="eastAsia" w:ascii="宋体" w:hAnsi="宋体" w:eastAsia="宋体" w:cs="宋体"/>
          <w:color w:val="auto"/>
          <w:szCs w:val="21"/>
          <w:highlight w:val="none"/>
          <w:lang w:val="en-US" w:eastAsia="zh-CN"/>
        </w:rPr>
        <w:t>索赔。</w:t>
      </w:r>
    </w:p>
    <w:p>
      <w:pPr>
        <w:pStyle w:val="48"/>
        <w:ind w:firstLine="0" w:firstLineChars="0"/>
        <w:rPr>
          <w:rFonts w:ascii="宋体" w:hAnsi="宋体" w:eastAsia="宋体" w:cs="宋体"/>
          <w:b/>
          <w:bCs/>
          <w:color w:val="auto"/>
          <w:highlight w:val="none"/>
        </w:rPr>
      </w:pPr>
      <w:r>
        <w:rPr>
          <w:rFonts w:hint="eastAsia" w:ascii="宋体" w:hAnsi="宋体" w:eastAsia="宋体" w:cs="宋体"/>
          <w:b/>
          <w:bCs/>
          <w:color w:val="auto"/>
          <w:highlight w:val="none"/>
        </w:rPr>
        <w:t>▲六、拟投入</w:t>
      </w:r>
      <w:r>
        <w:rPr>
          <w:rFonts w:hint="eastAsia" w:ascii="宋体" w:hAnsi="宋体" w:eastAsia="宋体" w:cs="宋体"/>
          <w:b/>
          <w:bCs/>
          <w:color w:val="auto"/>
          <w:highlight w:val="none"/>
          <w:lang w:val="en-US" w:eastAsia="zh-CN"/>
        </w:rPr>
        <w:t>项目经理、项目技术负责人和安全负责人最低要求</w:t>
      </w:r>
      <w:r>
        <w:rPr>
          <w:rFonts w:hint="eastAsia" w:ascii="宋体" w:hAnsi="宋体" w:eastAsia="宋体" w:cs="宋体"/>
          <w:b/>
          <w:bCs/>
          <w:color w:val="auto"/>
          <w:highlight w:val="none"/>
        </w:rPr>
        <w:t>：</w:t>
      </w:r>
    </w:p>
    <w:tbl>
      <w:tblPr>
        <w:tblStyle w:val="24"/>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31"/>
        <w:gridCol w:w="914"/>
        <w:gridCol w:w="2952"/>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2"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人员</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数量</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资格要求</w:t>
            </w:r>
          </w:p>
        </w:tc>
        <w:tc>
          <w:tcPr>
            <w:tcW w:w="3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应附资料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3"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项目经理（即项目负责人，下同）</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、具有公路工程专业二级及以上注册建造师证书，工程师及以上技术职称（公路工程相关专业）。</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、具有有效期内的公路水运施工企业项目负责人安全生产考核合格证书（</w:t>
            </w:r>
            <w:r>
              <w:rPr>
                <w:rFonts w:hint="default" w:ascii="Times New Roman" w:hAnsi="Times New Roman" w:eastAsia="宋体" w:cs="Times New Roman"/>
                <w:color w:val="auto"/>
                <w:kern w:val="2"/>
                <w:sz w:val="21"/>
                <w:szCs w:val="21"/>
                <w:highlight w:val="none"/>
                <w:lang w:val="en-US" w:eastAsia="zh-CN" w:bidi="ar"/>
              </w:rPr>
              <w:t>B</w:t>
            </w:r>
            <w:r>
              <w:rPr>
                <w:rFonts w:hint="eastAsia" w:ascii="宋体" w:hAnsi="宋体" w:eastAsia="宋体" w:cs="宋体"/>
                <w:color w:val="auto"/>
                <w:kern w:val="2"/>
                <w:sz w:val="21"/>
                <w:szCs w:val="21"/>
                <w:highlight w:val="none"/>
                <w:lang w:val="en-US" w:eastAsia="zh-CN" w:bidi="ar"/>
              </w:rPr>
              <w:t>类）。</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auto"/>
                <w:kern w:val="2"/>
                <w:sz w:val="24"/>
                <w:szCs w:val="24"/>
                <w:highlight w:val="none"/>
              </w:rPr>
            </w:pPr>
            <w:r>
              <w:rPr>
                <w:rFonts w:hint="default" w:ascii="Times New Roman" w:hAnsi="Times New Roman" w:eastAsia="宋体" w:cs="Times New Roman"/>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、拟委任项目经理投标截止日未在其他在建合同工程中任项目经理（包括设计施工总承包项目中的施工负责人）。</w:t>
            </w:r>
          </w:p>
        </w:tc>
        <w:tc>
          <w:tcPr>
            <w:tcW w:w="356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72" w:leftChars="20" w:right="72" w:rightChars="2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“拟委任的项目经理、项目技术负责人和安全负责人资历表”应附以下资料： </w:t>
            </w:r>
          </w:p>
          <w:p>
            <w:pPr>
              <w:keepNext w:val="0"/>
              <w:keepLines w:val="0"/>
              <w:widowControl w:val="0"/>
              <w:numPr>
                <w:ilvl w:val="0"/>
                <w:numId w:val="4"/>
              </w:numPr>
              <w:suppressLineNumbers w:val="0"/>
              <w:spacing w:before="0" w:beforeAutospacing="0" w:after="0" w:afterAutospacing="0"/>
              <w:ind w:left="72" w:leftChars="20" w:right="72" w:rightChars="20" w:firstLine="0" w:firstLineChars="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项目经理：身份证、职称资格证书、有效期内的施工企业项目负责人安全生产考核合格证书（B类）、建造师注册证书；项目技术负责人：身份证、职称资格证书、有效期内的施工企业项目负责人安全生产考核合格证书（B类）；安全负责人：身份证、有效期内的施工企业专职安全生产管理人员安全生产考核合格证书（C类）。</w:t>
            </w:r>
          </w:p>
          <w:p>
            <w:pPr>
              <w:keepNext w:val="0"/>
              <w:keepLines w:val="0"/>
              <w:widowControl w:val="0"/>
              <w:numPr>
                <w:ilvl w:val="0"/>
                <w:numId w:val="0"/>
              </w:numPr>
              <w:suppressLineNumbers w:val="0"/>
              <w:spacing w:before="0" w:beforeAutospacing="0" w:after="0" w:afterAutospacing="0"/>
              <w:ind w:left="72" w:leftChars="20" w:right="72" w:rightChars="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身份证应提供正反双面扫描件。</w:t>
            </w:r>
          </w:p>
          <w:p>
            <w:pPr>
              <w:keepNext w:val="0"/>
              <w:keepLines w:val="0"/>
              <w:widowControl w:val="0"/>
              <w:suppressLineNumbers w:val="0"/>
              <w:spacing w:before="0" w:beforeAutospacing="0" w:after="0" w:afterAutospacing="0"/>
              <w:ind w:left="72" w:leftChars="20" w:right="72" w:rightChars="2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拟委任的项目经理的建造师注册证书、安全生产考核合格证书和项目技术负责人、安全负责人的安全生产考核合格证书上单位名称应与投标人名称一致。 </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项目经理若曾在其他在建合同工程中担任项目经理（包括设计施工总承包项目中的施工负责人）但已进行更换的，应附项目发包人的同意更换证明材料，否则更换前后的项目经理（包括设计施工总承包项目中的施工负责人）均视为有“在建合同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项目技术负责人</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、有工程师及以上技术职称（公路工程相关专业）；</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auto"/>
                <w:kern w:val="2"/>
                <w:sz w:val="24"/>
                <w:szCs w:val="24"/>
                <w:highlight w:val="none"/>
              </w:rPr>
            </w:pPr>
            <w:r>
              <w:rPr>
                <w:rFonts w:hint="default" w:ascii="Times New Roman" w:hAnsi="Times New Roman" w:eastAsia="宋体" w:cs="Times New Roman"/>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、具有有效期内的公路水运施工企业项目负责人安全生产考核合格证书（</w:t>
            </w:r>
            <w:r>
              <w:rPr>
                <w:rFonts w:hint="default" w:ascii="Times New Roman" w:hAnsi="Times New Roman" w:eastAsia="宋体" w:cs="Times New Roman"/>
                <w:color w:val="auto"/>
                <w:kern w:val="2"/>
                <w:sz w:val="21"/>
                <w:szCs w:val="21"/>
                <w:highlight w:val="none"/>
                <w:lang w:val="en-US" w:eastAsia="zh-CN" w:bidi="ar"/>
              </w:rPr>
              <w:t>B</w:t>
            </w:r>
            <w:r>
              <w:rPr>
                <w:rFonts w:hint="eastAsia" w:ascii="宋体" w:hAnsi="宋体" w:eastAsia="宋体" w:cs="宋体"/>
                <w:color w:val="auto"/>
                <w:kern w:val="2"/>
                <w:sz w:val="21"/>
                <w:szCs w:val="21"/>
                <w:highlight w:val="none"/>
                <w:lang w:val="en-US" w:eastAsia="zh-CN" w:bidi="ar"/>
              </w:rPr>
              <w:t>类）。</w:t>
            </w:r>
          </w:p>
        </w:tc>
        <w:tc>
          <w:tcPr>
            <w:tcW w:w="35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安全负责人</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cs="Times New Roman"/>
                <w:color w:val="auto"/>
                <w:spacing w:val="-4"/>
                <w:kern w:val="2"/>
                <w:sz w:val="21"/>
                <w:szCs w:val="21"/>
                <w:highlight w:val="none"/>
              </w:rPr>
            </w:pPr>
            <w:r>
              <w:rPr>
                <w:rFonts w:hint="eastAsia" w:ascii="宋体" w:hAnsi="宋体" w:eastAsia="宋体" w:cs="宋体"/>
                <w:color w:val="auto"/>
                <w:kern w:val="2"/>
                <w:sz w:val="21"/>
                <w:szCs w:val="21"/>
                <w:highlight w:val="none"/>
                <w:lang w:val="en-US" w:eastAsia="zh-CN" w:bidi="ar"/>
              </w:rPr>
              <w:t>具有有效期内的公路水运施工企业专职安全生产管理人员安全生产考核合格证书（</w:t>
            </w:r>
            <w:r>
              <w:rPr>
                <w:rFonts w:hint="default" w:ascii="Times New Roman" w:hAnsi="Times New Roman" w:eastAsia="宋体" w:cs="Times New Roman"/>
                <w:color w:val="auto"/>
                <w:kern w:val="2"/>
                <w:sz w:val="21"/>
                <w:szCs w:val="21"/>
                <w:highlight w:val="none"/>
                <w:lang w:val="en-US" w:eastAsia="zh-CN" w:bidi="ar"/>
              </w:rPr>
              <w:t>C</w:t>
            </w:r>
            <w:r>
              <w:rPr>
                <w:rFonts w:hint="eastAsia" w:ascii="宋体" w:hAnsi="宋体" w:eastAsia="宋体" w:cs="宋体"/>
                <w:color w:val="auto"/>
                <w:kern w:val="2"/>
                <w:sz w:val="21"/>
                <w:szCs w:val="21"/>
                <w:highlight w:val="none"/>
                <w:lang w:val="en-US" w:eastAsia="zh-CN" w:bidi="ar"/>
              </w:rPr>
              <w:t>类）。</w:t>
            </w:r>
          </w:p>
        </w:tc>
        <w:tc>
          <w:tcPr>
            <w:tcW w:w="35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bl>
    <w:p>
      <w:pPr>
        <w:pStyle w:val="35"/>
        <w:spacing w:line="4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在建合同工程的的开始时间为合同工程中标通知书发出之日（不通过招标方式的，开始时间为合同签订之日），结束时间为该合同工程通过交工验收或合同解除之日。</w:t>
      </w:r>
    </w:p>
    <w:p>
      <w:pPr>
        <w:pStyle w:val="35"/>
        <w:spacing w:line="4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该拟委任项目经理是否有“在建合同工程”按以下原则认定：</w:t>
      </w:r>
    </w:p>
    <w:p>
      <w:pPr>
        <w:pStyle w:val="35"/>
        <w:spacing w:line="4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（1）若合同协议书尚未签订，则中标通知书中明确的项目经理和备选项目经理均视为有“在建合同工程”。</w:t>
      </w:r>
    </w:p>
    <w:p>
      <w:pPr>
        <w:pStyle w:val="35"/>
        <w:spacing w:line="4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（2）若合同协议书已签订的，则仅合同协议书中明确的项目经理视为有“在建合同工程”。</w:t>
      </w:r>
    </w:p>
    <w:p>
      <w:pPr>
        <w:pStyle w:val="35"/>
        <w:spacing w:line="4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在建合同工程未通过验收或合同解除前，合同协议书中明确的项目经理已经更换的，则现任项目经理视为有“在建合同工程”，同时应在投标文件中附项目发包人的同意更换证明材料，否则更换前后的项目经理均视为有“在建合同工程”。</w:t>
      </w:r>
    </w:p>
    <w:p>
      <w:pPr>
        <w:pStyle w:val="35"/>
        <w:spacing w:line="4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“在建合同工程”范围：包括在中华人民共和国境内的所有建设工程，不受地域、行业和投资性质的限制。</w:t>
      </w:r>
    </w:p>
    <w:p>
      <w:pPr>
        <w:pStyle w:val="35"/>
        <w:spacing w:line="4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4.所附资料见上表规定，未按要求提供的按无效标处理。</w:t>
      </w:r>
    </w:p>
    <w:p>
      <w:pPr>
        <w:pStyle w:val="35"/>
        <w:spacing w:line="4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1）投标人拟派项目经理的一级建造师注册证书，须提供电子证书打印件。投标人一级建造师电子证书须执行住房和城乡建设部的文件（建办市〔2021〕40号）的相关规定。一级建造师电子证书打印后，应在个人签名处手写本人签名，未手写签名或与签名图像笔迹不一致的，该电子证书无效。</w:t>
      </w:r>
    </w:p>
    <w:p>
      <w:pPr>
        <w:pStyle w:val="35"/>
        <w:spacing w:line="4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（2）若投标人拟派项目经理为二级建造师的，可提供纸质证书扫描件或电子证书打印件。</w:t>
      </w:r>
    </w:p>
    <w:p>
      <w:pPr>
        <w:pStyle w:val="35"/>
        <w:spacing w:line="400" w:lineRule="exact"/>
        <w:rPr>
          <w:rFonts w:hAnsi="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rPr>
        <w:t>七、</w:t>
      </w:r>
      <w:r>
        <w:rPr>
          <w:rFonts w:hint="eastAsia" w:ascii="宋体" w:hAnsi="宋体"/>
          <w:b/>
          <w:bCs/>
          <w:color w:val="auto"/>
          <w:sz w:val="21"/>
          <w:szCs w:val="21"/>
          <w:highlight w:val="none"/>
        </w:rPr>
        <w:t>商务要求：</w:t>
      </w:r>
    </w:p>
    <w:tbl>
      <w:tblPr>
        <w:tblStyle w:val="24"/>
        <w:tblW w:w="90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3"/>
        <w:gridCol w:w="7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72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 不超过60日历天 </w:t>
            </w:r>
            <w:r>
              <w:rPr>
                <w:rFonts w:hint="eastAsia" w:ascii="宋体" w:hAnsi="宋体" w:eastAsia="宋体" w:cs="宋体"/>
                <w:color w:val="auto"/>
                <w:sz w:val="21"/>
                <w:szCs w:val="21"/>
                <w:highlight w:val="none"/>
              </w:rPr>
              <w:t xml:space="preserve"> （具体开工日期由</w:t>
            </w:r>
            <w:r>
              <w:rPr>
                <w:rFonts w:hint="eastAsia" w:ascii="宋体" w:hAnsi="宋体" w:eastAsia="宋体" w:cs="宋体"/>
                <w:color w:val="auto"/>
                <w:sz w:val="21"/>
                <w:szCs w:val="21"/>
                <w:highlight w:val="none"/>
                <w:lang w:eastAsia="zh-CN"/>
              </w:rPr>
              <w:t>发包人</w:t>
            </w:r>
            <w:r>
              <w:rPr>
                <w:rFonts w:hint="eastAsia" w:ascii="宋体" w:hAnsi="宋体" w:eastAsia="宋体" w:cs="宋体"/>
                <w:color w:val="auto"/>
                <w:sz w:val="21"/>
                <w:szCs w:val="21"/>
                <w:highlight w:val="none"/>
              </w:rPr>
              <w:t>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质量目标</w:t>
            </w:r>
          </w:p>
        </w:tc>
        <w:tc>
          <w:tcPr>
            <w:tcW w:w="72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标段工程交工验收的质量评定：合格；标段工程竣工验收的质量评定：</w:t>
            </w:r>
            <w:r>
              <w:rPr>
                <w:rFonts w:hint="eastAsia" w:ascii="宋体" w:hAnsi="宋体" w:eastAsia="宋体" w:cs="宋体"/>
                <w:color w:val="auto"/>
                <w:sz w:val="21"/>
                <w:szCs w:val="21"/>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 w:val="21"/>
                <w:szCs w:val="21"/>
                <w:highlight w:val="none"/>
              </w:rPr>
            </w:pPr>
            <w:r>
              <w:rPr>
                <w:rFonts w:hint="eastAsia" w:ascii="宋体" w:hAnsi="宋体" w:eastAsia="宋体" w:cs="宋体"/>
                <w:bCs/>
                <w:color w:val="auto"/>
                <w:sz w:val="21"/>
                <w:szCs w:val="21"/>
                <w:highlight w:val="none"/>
              </w:rPr>
              <w:t>缺陷责任期</w:t>
            </w:r>
          </w:p>
        </w:tc>
        <w:tc>
          <w:tcPr>
            <w:tcW w:w="72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自实际交工日期（交工证书颁发之日）起计算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保修期</w:t>
            </w:r>
          </w:p>
        </w:tc>
        <w:tc>
          <w:tcPr>
            <w:tcW w:w="72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自实际交工日期起计算1年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履约保证金的收取及退还</w:t>
            </w:r>
          </w:p>
        </w:tc>
        <w:tc>
          <w:tcPr>
            <w:tcW w:w="72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1.承包人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发包人</w:t>
            </w:r>
            <w:r>
              <w:rPr>
                <w:rFonts w:hint="eastAsia" w:ascii="宋体" w:hAnsi="宋体" w:eastAsia="宋体" w:cs="宋体"/>
                <w:color w:val="auto"/>
                <w:sz w:val="21"/>
                <w:szCs w:val="21"/>
                <w:highlight w:val="none"/>
              </w:rPr>
              <w:t>提供履约担保，担保方式为： 现金、转账、及</w:t>
            </w:r>
            <w:r>
              <w:rPr>
                <w:rFonts w:hint="eastAsia" w:ascii="宋体" w:hAnsi="宋体" w:eastAsia="宋体" w:cs="宋体"/>
                <w:color w:val="auto"/>
                <w:sz w:val="21"/>
                <w:szCs w:val="21"/>
                <w:highlight w:val="none"/>
                <w:lang w:eastAsia="zh-CN"/>
              </w:rPr>
              <w:t>发包人</w:t>
            </w:r>
            <w:r>
              <w:rPr>
                <w:rFonts w:hint="eastAsia" w:ascii="宋体" w:hAnsi="宋体" w:eastAsia="宋体" w:cs="宋体"/>
                <w:color w:val="auto"/>
                <w:sz w:val="21"/>
                <w:szCs w:val="21"/>
                <w:highlight w:val="none"/>
              </w:rPr>
              <w:t>认可的</w:t>
            </w:r>
            <w:r>
              <w:rPr>
                <w:rFonts w:hint="eastAsia" w:ascii="宋体" w:hAnsi="宋体" w:eastAsia="宋体" w:cs="宋体"/>
                <w:color w:val="auto"/>
                <w:sz w:val="21"/>
                <w:szCs w:val="21"/>
                <w:highlight w:val="none"/>
                <w:lang w:val="en-US" w:eastAsia="zh-CN"/>
              </w:rPr>
              <w:t>担保</w:t>
            </w:r>
            <w:r>
              <w:rPr>
                <w:rFonts w:hint="eastAsia" w:ascii="宋体" w:hAnsi="宋体" w:eastAsia="宋体" w:cs="宋体"/>
                <w:color w:val="auto"/>
                <w:sz w:val="21"/>
                <w:szCs w:val="21"/>
                <w:highlight w:val="none"/>
              </w:rPr>
              <w:t>形式（如银行保函、保险机构保证保险保单和融资担保公司保函 ），担保合同作为合同附件。</w:t>
            </w:r>
            <w:r>
              <w:rPr>
                <w:rFonts w:hint="eastAsia" w:ascii="宋体" w:hAnsi="宋体" w:eastAsia="宋体" w:cs="宋体"/>
                <w:color w:val="auto"/>
                <w:sz w:val="21"/>
                <w:szCs w:val="21"/>
                <w:highlight w:val="none"/>
                <w:lang w:val="en-US" w:eastAsia="zh-CN"/>
              </w:rPr>
              <w:t>如履约保证金采用现金或转账方式缴纳的，履约保证金按银行同期存款利率计息，利息随履约保证金退还时同时退还。</w:t>
            </w:r>
            <w:r>
              <w:rPr>
                <w:rFonts w:hint="eastAsia" w:ascii="宋体" w:hAnsi="宋体" w:eastAsia="宋体" w:cs="宋体"/>
                <w:color w:val="auto"/>
                <w:sz w:val="21"/>
                <w:szCs w:val="21"/>
                <w:highlight w:val="none"/>
              </w:rPr>
              <w:t>担保额度：合同价的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承包人</w:t>
            </w:r>
            <w:r>
              <w:rPr>
                <w:rFonts w:hint="eastAsia" w:ascii="宋体" w:hAnsi="宋体" w:eastAsia="宋体" w:cs="宋体"/>
                <w:color w:val="auto"/>
                <w:sz w:val="21"/>
                <w:szCs w:val="21"/>
                <w:highlight w:val="none"/>
              </w:rPr>
              <w:t>应按合同规定向</w:t>
            </w:r>
            <w:r>
              <w:rPr>
                <w:rFonts w:hint="eastAsia" w:ascii="宋体" w:hAnsi="宋体" w:eastAsia="宋体" w:cs="宋体"/>
                <w:color w:val="auto"/>
                <w:sz w:val="21"/>
                <w:szCs w:val="21"/>
                <w:highlight w:val="none"/>
                <w:lang w:eastAsia="zh-CN"/>
              </w:rPr>
              <w:t>发包人</w:t>
            </w:r>
            <w:r>
              <w:rPr>
                <w:rFonts w:hint="eastAsia" w:ascii="宋体" w:hAnsi="宋体" w:eastAsia="宋体" w:cs="宋体"/>
                <w:color w:val="auto"/>
                <w:sz w:val="21"/>
                <w:szCs w:val="21"/>
                <w:highlight w:val="none"/>
              </w:rPr>
              <w:t>提交履约保证金。</w:t>
            </w:r>
          </w:p>
          <w:p>
            <w:pPr>
              <w:keepNext w:val="0"/>
              <w:keepLines w:val="0"/>
              <w:suppressLineNumbers w:val="0"/>
              <w:snapToGrid w:val="0"/>
              <w:spacing w:before="0" w:beforeAutospacing="0" w:after="0" w:afterAutospacing="0" w:line="400" w:lineRule="exact"/>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0"/>
                <w:sz w:val="21"/>
                <w:szCs w:val="21"/>
                <w:highlight w:val="none"/>
                <w:lang w:val="zh-CN"/>
              </w:rPr>
              <w:t>工程竣工验收合格后无息退还</w:t>
            </w:r>
            <w:r>
              <w:rPr>
                <w:rFonts w:hint="eastAsia" w:ascii="宋体" w:hAnsi="宋体" w:eastAsia="宋体" w:cs="宋体"/>
                <w:color w:val="auto"/>
                <w:sz w:val="21"/>
                <w:szCs w:val="21"/>
                <w:highlight w:val="none"/>
                <w:lang w:val="en-US" w:eastAsia="zh-CN"/>
              </w:rPr>
              <w:t>，履约保证金一次性无息返还给承包人</w:t>
            </w:r>
            <w:r>
              <w:rPr>
                <w:rFonts w:hint="eastAsia" w:ascii="宋体" w:hAnsi="宋体" w:cs="宋体"/>
                <w:color w:val="auto"/>
                <w:sz w:val="21"/>
                <w:szCs w:val="21"/>
                <w:highlight w:val="none"/>
                <w:lang w:val="en-US" w:eastAsia="zh-CN"/>
              </w:rPr>
              <w:t>；</w:t>
            </w:r>
            <w:r>
              <w:rPr>
                <w:rFonts w:hint="default" w:ascii="宋体" w:hAnsi="宋体" w:eastAsia="宋体"/>
                <w:color w:val="auto"/>
                <w:sz w:val="21"/>
                <w:highlight w:val="none"/>
              </w:rPr>
              <w:t>承包人应保证履约担保在</w:t>
            </w:r>
            <w:r>
              <w:rPr>
                <w:rFonts w:hint="eastAsia" w:ascii="宋体" w:hAnsi="宋体" w:eastAsia="宋体" w:cs="宋体"/>
                <w:color w:val="auto"/>
                <w:kern w:val="0"/>
                <w:sz w:val="21"/>
                <w:szCs w:val="21"/>
                <w:highlight w:val="none"/>
                <w:lang w:val="en-US" w:eastAsia="zh-CN"/>
              </w:rPr>
              <w:t>竣</w:t>
            </w:r>
            <w:r>
              <w:rPr>
                <w:rFonts w:hint="eastAsia" w:ascii="宋体" w:hAnsi="宋体" w:eastAsia="宋体" w:cs="宋体"/>
                <w:color w:val="auto"/>
                <w:kern w:val="0"/>
                <w:sz w:val="21"/>
                <w:szCs w:val="21"/>
                <w:highlight w:val="none"/>
                <w:lang w:val="zh-CN"/>
              </w:rPr>
              <w:t>工验收合格</w:t>
            </w:r>
            <w:r>
              <w:rPr>
                <w:rFonts w:hint="default" w:ascii="宋体" w:hAnsi="宋体" w:eastAsia="宋体"/>
                <w:color w:val="auto"/>
                <w:sz w:val="21"/>
                <w:highlight w:val="none"/>
              </w:rPr>
              <w:t>前持续有效。</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val="en-US" w:eastAsia="zh-CN"/>
              </w:rPr>
              <w:t>承包人</w:t>
            </w:r>
            <w:r>
              <w:rPr>
                <w:rFonts w:hint="eastAsia" w:ascii="宋体" w:hAnsi="宋体" w:eastAsia="宋体" w:cs="宋体"/>
                <w:color w:val="auto"/>
                <w:sz w:val="21"/>
                <w:szCs w:val="21"/>
                <w:highlight w:val="none"/>
              </w:rPr>
              <w:t>原因造成合同中止，履约担保金不返还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val="en-US" w:eastAsia="zh-CN"/>
              </w:rPr>
              <w:t>承包人</w:t>
            </w:r>
            <w:r>
              <w:rPr>
                <w:rFonts w:hint="eastAsia" w:ascii="宋体" w:hAnsi="宋体" w:eastAsia="宋体" w:cs="宋体"/>
                <w:color w:val="auto"/>
                <w:sz w:val="21"/>
                <w:szCs w:val="21"/>
                <w:highlight w:val="none"/>
              </w:rPr>
              <w:t>不能按承诺和合同要求履约，</w:t>
            </w:r>
            <w:r>
              <w:rPr>
                <w:rFonts w:hint="eastAsia" w:ascii="宋体" w:hAnsi="宋体" w:eastAsia="宋体" w:cs="宋体"/>
                <w:color w:val="auto"/>
                <w:sz w:val="21"/>
                <w:szCs w:val="21"/>
                <w:highlight w:val="none"/>
                <w:lang w:eastAsia="zh-CN"/>
              </w:rPr>
              <w:t>发包人</w:t>
            </w:r>
            <w:r>
              <w:rPr>
                <w:rFonts w:hint="eastAsia" w:ascii="宋体" w:hAnsi="宋体" w:eastAsia="宋体" w:cs="宋体"/>
                <w:color w:val="auto"/>
                <w:sz w:val="21"/>
                <w:szCs w:val="21"/>
                <w:highlight w:val="none"/>
              </w:rPr>
              <w:t>将有权扣除相应甚至全部履约保证金。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7247"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spacing w:before="0" w:beforeAutospacing="0" w:after="0" w:afterAutospacing="0" w:line="420" w:lineRule="exact"/>
              <w:ind w:left="0" w:right="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kern w:val="2"/>
                <w:sz w:val="21"/>
                <w:szCs w:val="21"/>
                <w:highlight w:val="none"/>
                <w:lang w:val="en-US" w:eastAsia="zh-CN" w:bidi="ar-SA"/>
              </w:rPr>
              <w:t>开工预付款的金额为签约合同价的40%（其中签约合同价的1%，作为农民工工资预付款），在合同生效，承包人人员设备进场后7个工作日内支付。每月凭业主、监理工程师的签证付工程款一次，额度为该月实际完成经计量的合格工程量工程款的85%（包括40%的开工预付款）；交工验收达到要求的质量标准等级后付至合格工程量工程款的90%（包括40%的开工预付款）；结算经有资质的审价机构审定后，付至工程结算价的98.5%，</w:t>
            </w:r>
            <w:r>
              <w:rPr>
                <w:rFonts w:hint="eastAsia" w:ascii="宋体" w:hAnsi="宋体" w:eastAsia="宋体" w:cs="宋体"/>
                <w:color w:val="auto"/>
                <w:kern w:val="2"/>
                <w:sz w:val="21"/>
                <w:szCs w:val="21"/>
                <w:highlight w:val="none"/>
                <w:lang w:val="en-US" w:eastAsia="zh-CN" w:bidi="ar-SA"/>
              </w:rPr>
              <w:t>剩余1.5%在一年后无质量问题、无违约行为的情况下15日内付清。（</w:t>
            </w:r>
            <w:r>
              <w:rPr>
                <w:rFonts w:hint="eastAsia" w:ascii="宋体" w:hAnsi="宋体" w:cs="宋体"/>
                <w:color w:val="auto"/>
                <w:kern w:val="2"/>
                <w:sz w:val="21"/>
                <w:szCs w:val="21"/>
                <w:highlight w:val="none"/>
                <w:lang w:val="en-US" w:eastAsia="zh-CN" w:bidi="ar-SA"/>
              </w:rPr>
              <w:t>余下1.5%若承包人采用银行保函、保险机构保证保险保单和融资担保公司保函等形式向发包人提供与缺陷责任期时间一致的工程保函后（保函或保单的费用由承包人自行承担），可付至工程结算价的100%。</w:t>
            </w:r>
            <w:r>
              <w:rPr>
                <w:rFonts w:hint="eastAsia" w:ascii="宋体" w:hAnsi="宋体" w:eastAsia="宋体" w:cs="宋体"/>
                <w:color w:val="auto"/>
                <w:kern w:val="2"/>
                <w:sz w:val="21"/>
                <w:szCs w:val="21"/>
                <w:highlight w:val="none"/>
                <w:lang w:val="en-US" w:eastAsia="zh-CN" w:bidi="ar-SA"/>
              </w:rPr>
              <w:t>）</w:t>
            </w:r>
          </w:p>
          <w:p>
            <w:pPr>
              <w:keepNext w:val="0"/>
              <w:keepLines w:val="0"/>
              <w:suppressLineNumbers w:val="0"/>
              <w:spacing w:before="0" w:beforeAutospacing="0" w:after="0" w:afterAutospacing="0" w:line="420" w:lineRule="exact"/>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2.承包人须开具正规合法的建筑增值税发票提供给</w:t>
            </w:r>
            <w:r>
              <w:rPr>
                <w:rFonts w:hint="eastAsia" w:ascii="宋体" w:hAnsi="宋体" w:eastAsia="宋体" w:cs="宋体"/>
                <w:color w:val="auto"/>
                <w:sz w:val="21"/>
                <w:szCs w:val="21"/>
                <w:highlight w:val="none"/>
                <w:lang w:eastAsia="zh-CN"/>
              </w:rPr>
              <w:t>发包人</w:t>
            </w:r>
            <w:r>
              <w:rPr>
                <w:rFonts w:hint="eastAsia" w:ascii="宋体" w:hAnsi="宋体" w:eastAsia="宋体" w:cs="宋体"/>
                <w:color w:val="auto"/>
                <w:sz w:val="21"/>
                <w:szCs w:val="21"/>
                <w:highlight w:val="none"/>
              </w:rPr>
              <w:t>。</w:t>
            </w:r>
          </w:p>
          <w:p>
            <w:pPr>
              <w:keepNext w:val="0"/>
              <w:keepLines w:val="0"/>
              <w:suppressLineNumbers w:val="0"/>
              <w:spacing w:before="0" w:beforeAutospacing="0" w:after="0" w:afterAutospacing="0" w:line="420" w:lineRule="exact"/>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3.在项目实施中</w:t>
            </w:r>
            <w:r>
              <w:rPr>
                <w:rFonts w:hint="eastAsia" w:ascii="宋体" w:hAnsi="宋体" w:eastAsia="宋体" w:cs="宋体"/>
                <w:color w:val="auto"/>
                <w:sz w:val="21"/>
                <w:szCs w:val="21"/>
                <w:highlight w:val="none"/>
                <w:lang w:eastAsia="zh-CN"/>
              </w:rPr>
              <w:t>发包人</w:t>
            </w:r>
            <w:r>
              <w:rPr>
                <w:rFonts w:hint="eastAsia" w:ascii="宋体" w:hAnsi="宋体" w:eastAsia="宋体" w:cs="宋体"/>
                <w:color w:val="auto"/>
                <w:sz w:val="21"/>
                <w:szCs w:val="21"/>
                <w:highlight w:val="none"/>
              </w:rPr>
              <w:t>有工作量增减需要的，在竣工结算时以出具的有效联系单为准，列入竣工结算款项，无甲方书面明确要求的，乙方不得擅自调整或变更。</w:t>
            </w:r>
          </w:p>
        </w:tc>
      </w:tr>
    </w:tbl>
    <w:p>
      <w:pPr>
        <w:numPr>
          <w:ilvl w:val="0"/>
          <w:numId w:val="0"/>
        </w:numPr>
        <w:spacing w:line="400" w:lineRule="exact"/>
        <w:rPr>
          <w:rFonts w:ascii="宋体" w:hAnsi="宋体"/>
          <w:b/>
          <w:bCs/>
          <w:color w:val="auto"/>
          <w:sz w:val="21"/>
          <w:szCs w:val="21"/>
          <w:highlight w:val="none"/>
        </w:rPr>
      </w:pPr>
      <w:r>
        <w:rPr>
          <w:rFonts w:hint="eastAsia" w:ascii="宋体" w:hAnsi="宋体" w:eastAsia="宋体"/>
          <w:b/>
          <w:bCs/>
          <w:color w:val="auto"/>
          <w:sz w:val="21"/>
          <w:szCs w:val="21"/>
          <w:highlight w:val="none"/>
          <w:lang w:val="en-US" w:eastAsia="zh-CN"/>
        </w:rPr>
        <w:t>八、</w:t>
      </w:r>
      <w:r>
        <w:rPr>
          <w:rFonts w:hint="eastAsia" w:ascii="宋体" w:hAnsi="宋体"/>
          <w:b/>
          <w:bCs/>
          <w:color w:val="auto"/>
          <w:sz w:val="21"/>
          <w:szCs w:val="21"/>
          <w:highlight w:val="none"/>
        </w:rPr>
        <w:t>工程量清单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  本工程量清单是根据招标文件中包括的、有合同约束力的图纸以及有关工程量清单的国家标准、地方标准、行业标准、合同条款中约定的工程量计算规则编制；约定计量规划中没有的子目，其工程量按照有合同约束力的图纸所标示的理论净量计算，计量采用中华人民共和国法定计量单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  本工程量清单应与招标文件中的投标人须知、通用合同条款、专用合同条款、技术规范及图纸等一起阅读和理解。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  本工程量清单中所列工程数量是估算的或是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  工程量清单各章是按</w:t>
      </w:r>
      <w:r>
        <w:rPr>
          <w:rFonts w:hint="eastAsia" w:ascii="宋体" w:hAnsi="宋体" w:eastAsia="宋体" w:cs="宋体"/>
          <w:sz w:val="21"/>
          <w:szCs w:val="21"/>
          <w:lang w:val="en-US" w:eastAsia="zh-CN"/>
        </w:rPr>
        <w:t>十、</w:t>
      </w:r>
      <w:r>
        <w:rPr>
          <w:rFonts w:hint="eastAsia" w:ascii="宋体" w:hAnsi="宋体" w:eastAsia="宋体" w:cs="宋体"/>
          <w:sz w:val="21"/>
          <w:szCs w:val="21"/>
        </w:rPr>
        <w:t>“技术规范”的相应章次编号的。因此，工程量清单中各章的工程子目的范围与计量等应与“技术规范”的相应章节的范围、计量与支付条款结合起来理解或解释。</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 未修改或补充的技术规范未写入项目专用技术规范内，在给工程量清单各子目标价前，应参阅第七章“通用技术规范”的有关内容。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  工程量清单中所列工程量的变动，丝毫不会降低或影响合同条款的效力，也不免除承包人按规定的标准进行施工和修复缺陷的责任。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1.7  图纸中所列的工程数量表及数量汇总表仅是提供资料，不是工程量清单的外延。当图纸与工程量清单所列数量不一致时，以工程量清单所列数量作为报价的依据。</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2．投标报价说明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  工程量清单中的每一子目须填入单价或价格，且只允许有一个报价。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  工程量清单中投标人没有填入单价或价格的子目，其费用视为已分摊在工程量清单中其它相关子目的单价或价格之中。承包人必须按监理人指令完成工程量清单中未填入单价或价格的子目，但不能得到结算与支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  符合合同条款规定的全部费用应认为已被计入有标价的工程量清单所列各子目之中，未列子目不予计量的工作，其费用应视为已分摊在本合同工程的有关子目的单价或总额价之中。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  承包人用于本合同工程的各类装备的提供、运输、维护、拆卸、拼装等支付的费用，已包括在工程量清单的单价与总额价之中。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2.6  工程量清单中各项金额均以人民币（元）结算。</w:t>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2.7  暂列金额的数量及拟用子目的说明：  /   。</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3.计日工说明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本项目不适用。</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4．其它说明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4.1 工程量清单及其计价中所有要求署名、盖章处，必须由规定的单位和人员署名、盖章。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工程一切险的投保金额为工程量清单第100章（不含工程一切险、第三方责任险的保险费）至第</w:t>
      </w:r>
      <w:r>
        <w:rPr>
          <w:rFonts w:hint="eastAsia" w:ascii="宋体" w:hAnsi="宋体" w:eastAsia="宋体" w:cs="宋体"/>
          <w:sz w:val="21"/>
          <w:szCs w:val="21"/>
          <w:lang w:val="en-US" w:eastAsia="zh-CN"/>
        </w:rPr>
        <w:t>9</w:t>
      </w:r>
      <w:r>
        <w:rPr>
          <w:rFonts w:hint="eastAsia" w:ascii="宋体" w:hAnsi="宋体" w:eastAsia="宋体" w:cs="宋体"/>
          <w:sz w:val="21"/>
          <w:szCs w:val="21"/>
        </w:rPr>
        <w:t>00章的合计金额，保险费率暂定为 3‰；第三方者任险的投保金额为100万元，保险费率暂定为 5‰。</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4.</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安全生产费用应不少于投标价（不含建筑工程一切险、第三方责任险的保险费、安全生产费）的2%</w:t>
      </w:r>
      <w:r>
        <w:rPr>
          <w:rFonts w:hint="eastAsia" w:ascii="宋体" w:hAnsi="宋体" w:eastAsia="宋体" w:cs="宋体"/>
          <w:sz w:val="21"/>
          <w:szCs w:val="21"/>
          <w:lang w:eastAsia="zh-CN"/>
        </w:rPr>
        <w:t>，</w:t>
      </w:r>
      <w:r>
        <w:rPr>
          <w:rFonts w:hint="eastAsia" w:ascii="宋体" w:hAnsi="宋体" w:eastAsia="宋体" w:cs="宋体"/>
          <w:sz w:val="21"/>
          <w:szCs w:val="21"/>
        </w:rPr>
        <w:t>且不得作为竞争性报价，承包人计量按浙交[20</w:t>
      </w: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号《浙江省交通建设工程安全生产费用管理办法》及现行相关要求执行。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4</w:t>
      </w:r>
      <w:r>
        <w:rPr>
          <w:rFonts w:hint="eastAsia" w:ascii="宋体" w:hAnsi="宋体" w:eastAsia="宋体" w:cs="宋体"/>
          <w:sz w:val="21"/>
          <w:szCs w:val="21"/>
        </w:rPr>
        <w:t>投标人须按照‘营改增’之后的相关规定进行报价。本项目的结算、审计等均按照‘营改增’的相关规定执行，投标人应充分考虑‘营改增’之后的相关风险，并综合报价。中标后，在此方面不作调整。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5</w:t>
      </w:r>
      <w:r>
        <w:rPr>
          <w:rFonts w:hint="eastAsia" w:ascii="宋体" w:hAnsi="宋体" w:eastAsia="宋体" w:cs="宋体"/>
          <w:sz w:val="21"/>
          <w:szCs w:val="21"/>
        </w:rPr>
        <w:t>在发中标通知书之前，招标人有权对中标人投标文件中的明显不平衡报价的子目单价，在投标总报价不变的前提下，协商调整至双方认可的合理范围。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6</w:t>
      </w:r>
      <w:r>
        <w:rPr>
          <w:rFonts w:hint="eastAsia" w:ascii="宋体" w:hAnsi="宋体" w:eastAsia="宋体" w:cs="宋体"/>
          <w:sz w:val="21"/>
          <w:szCs w:val="21"/>
        </w:rPr>
        <w:t>其余未尽事宜按施工图及施工规范相应要求。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5.工程量清单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5.1工程量清单</w:t>
      </w:r>
    </w:p>
    <w:tbl>
      <w:tblPr>
        <w:tblStyle w:val="24"/>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9"/>
        <w:gridCol w:w="3857"/>
        <w:gridCol w:w="995"/>
        <w:gridCol w:w="1438"/>
        <w:gridCol w:w="138"/>
        <w:gridCol w:w="813"/>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9615"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48"/>
                <w:szCs w:val="48"/>
                <w:highlight w:val="none"/>
                <w:u w:val="none"/>
              </w:rPr>
            </w:pPr>
            <w:r>
              <w:rPr>
                <w:rFonts w:hint="eastAsia" w:ascii="宋体" w:hAnsi="宋体" w:eastAsia="宋体" w:cs="宋体"/>
                <w:b/>
                <w:bCs/>
                <w:i w:val="0"/>
                <w:iCs w:val="0"/>
                <w:color w:val="auto"/>
                <w:kern w:val="0"/>
                <w:sz w:val="48"/>
                <w:szCs w:val="48"/>
                <w:highlight w:val="none"/>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607" w:type="dxa"/>
            <w:gridSpan w:val="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 段：2024年省级挂牌治理道路交通事故多发点段（S322临石线K71+600永安路口）整治工程</w:t>
            </w:r>
          </w:p>
        </w:tc>
        <w:tc>
          <w:tcPr>
            <w:tcW w:w="2008"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货币单位：人民币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615" w:type="dxa"/>
            <w:gridSpan w:val="7"/>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6"/>
                <w:szCs w:val="26"/>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清单   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细目号</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细目名称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计量单位</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工程数量</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单价</w:t>
            </w: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7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0" w:beforeAutospacing="0" w:after="0" w:afterAutospacing="0" w:line="154" w:lineRule="exact"/>
              <w:ind w:left="522" w:leftChars="0" w:right="0"/>
              <w:rPr>
                <w:rFonts w:hint="eastAsia" w:ascii="微软雅黑" w:hAnsi="微软雅黑" w:eastAsia="微软雅黑" w:cs="微软雅黑"/>
                <w:kern w:val="2"/>
                <w:sz w:val="18"/>
                <w:szCs w:val="18"/>
                <w:lang w:val="en-US" w:eastAsia="en-US" w:bidi="ar-SA"/>
              </w:rPr>
            </w:pPr>
            <w:r>
              <w:rPr>
                <w:rFonts w:hint="default"/>
                <w:spacing w:val="-15"/>
                <w:position w:val="-2"/>
              </w:rPr>
              <w:t>101</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0" w:beforeAutospacing="0" w:after="0" w:afterAutospacing="0" w:line="184" w:lineRule="exact"/>
              <w:ind w:left="32" w:leftChars="0" w:right="0"/>
              <w:rPr>
                <w:rFonts w:hint="eastAsia" w:ascii="微软雅黑" w:hAnsi="微软雅黑" w:eastAsia="微软雅黑" w:cs="微软雅黑"/>
                <w:kern w:val="2"/>
                <w:sz w:val="18"/>
                <w:szCs w:val="18"/>
                <w:lang w:val="en-US" w:eastAsia="en-US" w:bidi="ar-SA"/>
              </w:rPr>
            </w:pPr>
            <w:r>
              <w:rPr>
                <w:rFonts w:hint="default"/>
                <w:spacing w:val="-2"/>
                <w:position w:val="-1"/>
              </w:rPr>
              <w:t>工程保险费</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17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6" w:beforeAutospacing="0" w:after="0" w:afterAutospacing="0" w:line="153" w:lineRule="exact"/>
              <w:ind w:left="432" w:leftChars="0" w:right="0"/>
              <w:rPr>
                <w:rFonts w:hint="eastAsia" w:ascii="微软雅黑" w:hAnsi="微软雅黑" w:eastAsia="微软雅黑" w:cs="微软雅黑"/>
                <w:kern w:val="2"/>
                <w:sz w:val="18"/>
                <w:szCs w:val="18"/>
                <w:lang w:val="en-US" w:eastAsia="en-US" w:bidi="ar-SA"/>
              </w:rPr>
            </w:pPr>
            <w:r>
              <w:rPr>
                <w:rFonts w:hint="default"/>
                <w:spacing w:val="-11"/>
                <w:position w:val="-2"/>
              </w:rPr>
              <w:t>101-1</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6" w:beforeAutospacing="0" w:after="0" w:afterAutospacing="0" w:line="183" w:lineRule="exact"/>
              <w:ind w:left="30" w:leftChars="0" w:right="0"/>
              <w:rPr>
                <w:rFonts w:hint="eastAsia" w:ascii="微软雅黑" w:hAnsi="微软雅黑" w:eastAsia="微软雅黑" w:cs="微软雅黑"/>
                <w:kern w:val="2"/>
                <w:sz w:val="18"/>
                <w:szCs w:val="18"/>
                <w:lang w:val="en-US" w:eastAsia="en-US" w:bidi="ar-SA"/>
              </w:rPr>
            </w:pPr>
            <w:r>
              <w:rPr>
                <w:rFonts w:hint="default"/>
                <w:spacing w:val="-2"/>
                <w:position w:val="-1"/>
              </w:rPr>
              <w:t>保险费</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7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2" w:beforeAutospacing="0" w:after="0" w:afterAutospacing="0" w:line="152" w:lineRule="exact"/>
              <w:ind w:left="342" w:leftChars="0" w:right="0"/>
              <w:rPr>
                <w:rFonts w:hint="eastAsia" w:ascii="微软雅黑" w:hAnsi="微软雅黑" w:eastAsia="微软雅黑" w:cs="微软雅黑"/>
                <w:kern w:val="2"/>
                <w:sz w:val="18"/>
                <w:szCs w:val="18"/>
                <w:lang w:val="en-US" w:eastAsia="en-US" w:bidi="ar-SA"/>
              </w:rPr>
            </w:pPr>
            <w:r>
              <w:rPr>
                <w:rFonts w:hint="default"/>
                <w:spacing w:val="-9"/>
                <w:position w:val="-2"/>
              </w:rPr>
              <w:t>101-1-1</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2" w:beforeAutospacing="0" w:after="0" w:afterAutospacing="0" w:line="182" w:lineRule="exact"/>
              <w:ind w:left="31" w:leftChars="0" w:right="0"/>
              <w:rPr>
                <w:rFonts w:hint="eastAsia" w:ascii="微软雅黑" w:hAnsi="微软雅黑" w:eastAsia="微软雅黑" w:cs="微软雅黑"/>
                <w:kern w:val="2"/>
                <w:sz w:val="18"/>
                <w:szCs w:val="18"/>
                <w:lang w:val="en-US" w:eastAsia="en-US" w:bidi="ar-SA"/>
              </w:rPr>
            </w:pPr>
            <w:r>
              <w:rPr>
                <w:rFonts w:hint="default"/>
                <w:spacing w:val="-1"/>
                <w:position w:val="-1"/>
              </w:rPr>
              <w:t>按合同条款规定，提供建筑工程一切险</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2" w:beforeAutospacing="0" w:after="0" w:afterAutospacing="0" w:line="182" w:lineRule="exact"/>
              <w:ind w:left="306" w:leftChars="0" w:right="0"/>
              <w:rPr>
                <w:rFonts w:hint="eastAsia" w:ascii="微软雅黑" w:hAnsi="微软雅黑" w:eastAsia="微软雅黑" w:cs="微软雅黑"/>
                <w:kern w:val="2"/>
                <w:sz w:val="18"/>
                <w:szCs w:val="18"/>
                <w:lang w:val="en-US" w:eastAsia="en-US" w:bidi="ar-SA"/>
              </w:rPr>
            </w:pPr>
            <w:r>
              <w:rPr>
                <w:rFonts w:hint="default"/>
                <w:spacing w:val="-4"/>
                <w:position w:val="-1"/>
              </w:rPr>
              <w:t>总额</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2" w:beforeAutospacing="0" w:after="0" w:afterAutospacing="0" w:line="152"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8"/>
                <w:position w:val="-2"/>
              </w:rPr>
              <w:t>1.000</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2" w:beforeAutospacing="0" w:after="0" w:afterAutospacing="0" w:line="152"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2" w:beforeAutospacing="0" w:after="0" w:afterAutospacing="0" w:line="152" w:lineRule="exact"/>
              <w:ind w:left="0" w:right="3"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17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3" w:beforeAutospacing="0" w:after="0" w:afterAutospacing="0" w:line="151" w:lineRule="exact"/>
              <w:ind w:left="342" w:leftChars="0" w:right="0"/>
              <w:rPr>
                <w:rFonts w:hint="eastAsia" w:ascii="微软雅黑" w:hAnsi="微软雅黑" w:eastAsia="微软雅黑" w:cs="微软雅黑"/>
                <w:kern w:val="2"/>
                <w:sz w:val="18"/>
                <w:szCs w:val="18"/>
                <w:lang w:val="en-US" w:eastAsia="en-US" w:bidi="ar-SA"/>
              </w:rPr>
            </w:pPr>
            <w:r>
              <w:rPr>
                <w:rFonts w:hint="default"/>
                <w:spacing w:val="-9"/>
                <w:position w:val="-2"/>
              </w:rPr>
              <w:t>101-1-2</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3" w:beforeAutospacing="0" w:after="0" w:afterAutospacing="0" w:line="181" w:lineRule="exact"/>
              <w:ind w:left="31" w:leftChars="0" w:right="0"/>
              <w:rPr>
                <w:rFonts w:hint="eastAsia" w:ascii="微软雅黑" w:hAnsi="微软雅黑" w:eastAsia="微软雅黑" w:cs="微软雅黑"/>
                <w:kern w:val="2"/>
                <w:sz w:val="18"/>
                <w:szCs w:val="18"/>
                <w:lang w:val="en-US" w:eastAsia="en-US" w:bidi="ar-SA"/>
              </w:rPr>
            </w:pPr>
            <w:r>
              <w:rPr>
                <w:rFonts w:hint="default"/>
                <w:spacing w:val="-1"/>
                <w:position w:val="-1"/>
              </w:rPr>
              <w:t>按合同条款规定，提供安责任险</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3" w:beforeAutospacing="0" w:after="0" w:afterAutospacing="0" w:line="181" w:lineRule="exact"/>
              <w:ind w:left="306" w:leftChars="0" w:right="0"/>
              <w:rPr>
                <w:rFonts w:hint="eastAsia" w:ascii="微软雅黑" w:hAnsi="微软雅黑" w:eastAsia="微软雅黑" w:cs="微软雅黑"/>
                <w:kern w:val="2"/>
                <w:sz w:val="18"/>
                <w:szCs w:val="18"/>
                <w:lang w:val="en-US" w:eastAsia="en-US" w:bidi="ar-SA"/>
              </w:rPr>
            </w:pPr>
            <w:r>
              <w:rPr>
                <w:rFonts w:hint="default"/>
                <w:spacing w:val="-4"/>
                <w:position w:val="-1"/>
              </w:rPr>
              <w:t>总额</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3" w:beforeAutospacing="0" w:after="0" w:afterAutospacing="0" w:line="151"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8"/>
                <w:position w:val="-2"/>
              </w:rPr>
              <w:t>1.000</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3" w:beforeAutospacing="0" w:after="0" w:afterAutospacing="0" w:line="151"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3" w:beforeAutospacing="0" w:after="0" w:afterAutospacing="0" w:line="151" w:lineRule="exact"/>
              <w:ind w:left="0" w:right="3"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7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9" w:beforeAutospacing="0" w:after="0" w:afterAutospacing="0" w:line="150" w:lineRule="exact"/>
              <w:ind w:left="522" w:leftChars="0" w:right="0"/>
              <w:rPr>
                <w:rFonts w:hint="eastAsia" w:ascii="微软雅黑" w:hAnsi="微软雅黑" w:eastAsia="微软雅黑" w:cs="微软雅黑"/>
                <w:kern w:val="2"/>
                <w:sz w:val="18"/>
                <w:szCs w:val="18"/>
                <w:lang w:val="en-US" w:eastAsia="en-US" w:bidi="ar-SA"/>
              </w:rPr>
            </w:pPr>
            <w:r>
              <w:rPr>
                <w:rFonts w:hint="default"/>
                <w:spacing w:val="-15"/>
                <w:position w:val="-2"/>
              </w:rPr>
              <w:t>102</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9" w:beforeAutospacing="0" w:after="0" w:afterAutospacing="0" w:line="180" w:lineRule="exact"/>
              <w:ind w:left="32" w:leftChars="0" w:right="0"/>
              <w:rPr>
                <w:rFonts w:hint="eastAsia" w:ascii="微软雅黑" w:hAnsi="微软雅黑" w:eastAsia="微软雅黑" w:cs="微软雅黑"/>
                <w:kern w:val="2"/>
                <w:sz w:val="18"/>
                <w:szCs w:val="18"/>
                <w:lang w:val="en-US" w:eastAsia="en-US" w:bidi="ar-SA"/>
              </w:rPr>
            </w:pPr>
            <w:r>
              <w:rPr>
                <w:rFonts w:hint="default"/>
                <w:spacing w:val="-2"/>
                <w:position w:val="-1"/>
              </w:rPr>
              <w:t>工程管理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17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432" w:leftChars="0" w:right="0"/>
              <w:rPr>
                <w:rFonts w:hint="eastAsia" w:ascii="微软雅黑" w:hAnsi="微软雅黑" w:eastAsia="微软雅黑" w:cs="微软雅黑"/>
                <w:kern w:val="2"/>
                <w:sz w:val="18"/>
                <w:szCs w:val="18"/>
                <w:lang w:val="en-US" w:eastAsia="en-US" w:bidi="ar-SA"/>
              </w:rPr>
            </w:pPr>
            <w:r>
              <w:rPr>
                <w:rFonts w:hint="default"/>
                <w:spacing w:val="-11"/>
                <w:position w:val="-2"/>
              </w:rPr>
              <w:t>102-1</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5" w:beforeAutospacing="0" w:after="0" w:afterAutospacing="0" w:line="180" w:lineRule="exact"/>
              <w:ind w:left="30" w:leftChars="0" w:right="0"/>
              <w:rPr>
                <w:rFonts w:hint="eastAsia" w:ascii="微软雅黑" w:hAnsi="微软雅黑" w:eastAsia="微软雅黑" w:cs="微软雅黑"/>
                <w:kern w:val="2"/>
                <w:sz w:val="18"/>
                <w:szCs w:val="18"/>
                <w:lang w:val="en-US" w:eastAsia="en-US" w:bidi="ar-SA"/>
              </w:rPr>
            </w:pPr>
            <w:r>
              <w:rPr>
                <w:rFonts w:hint="default"/>
                <w:spacing w:val="-2"/>
                <w:position w:val="-1"/>
              </w:rPr>
              <w:t>竣工文件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5" w:beforeAutospacing="0" w:after="0" w:afterAutospacing="0" w:line="180" w:lineRule="exact"/>
              <w:ind w:left="306" w:leftChars="0" w:right="0"/>
              <w:rPr>
                <w:rFonts w:hint="eastAsia" w:ascii="微软雅黑" w:hAnsi="微软雅黑" w:eastAsia="微软雅黑" w:cs="微软雅黑"/>
                <w:kern w:val="2"/>
                <w:sz w:val="18"/>
                <w:szCs w:val="18"/>
                <w:lang w:val="en-US" w:eastAsia="en-US" w:bidi="ar-SA"/>
              </w:rPr>
            </w:pPr>
            <w:r>
              <w:rPr>
                <w:rFonts w:hint="default"/>
                <w:spacing w:val="-4"/>
                <w:position w:val="-1"/>
              </w:rPr>
              <w:t>总额</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8"/>
                <w:position w:val="-2"/>
              </w:rPr>
              <w:t>1.000</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7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432" w:leftChars="0" w:right="0"/>
              <w:rPr>
                <w:rFonts w:hint="eastAsia" w:ascii="微软雅黑" w:hAnsi="微软雅黑" w:eastAsia="微软雅黑" w:cs="微软雅黑"/>
                <w:kern w:val="2"/>
                <w:sz w:val="18"/>
                <w:szCs w:val="18"/>
                <w:lang w:val="en-US" w:eastAsia="en-US" w:bidi="ar-SA"/>
              </w:rPr>
            </w:pPr>
            <w:r>
              <w:rPr>
                <w:rFonts w:hint="default"/>
                <w:spacing w:val="-11"/>
                <w:position w:val="-2"/>
              </w:rPr>
              <w:t>102-2</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5" w:beforeAutospacing="0" w:after="0" w:afterAutospacing="0" w:line="180" w:lineRule="exact"/>
              <w:ind w:left="30" w:leftChars="0" w:right="0"/>
              <w:rPr>
                <w:rFonts w:hint="eastAsia" w:ascii="微软雅黑" w:hAnsi="微软雅黑" w:eastAsia="微软雅黑" w:cs="微软雅黑"/>
                <w:kern w:val="2"/>
                <w:sz w:val="18"/>
                <w:szCs w:val="18"/>
                <w:lang w:val="en-US" w:eastAsia="en-US" w:bidi="ar-SA"/>
              </w:rPr>
            </w:pPr>
            <w:r>
              <w:rPr>
                <w:rFonts w:hint="default"/>
                <w:spacing w:val="-2"/>
                <w:position w:val="-1"/>
              </w:rPr>
              <w:t>施工环保费</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5" w:beforeAutospacing="0" w:after="0" w:afterAutospacing="0" w:line="180" w:lineRule="exact"/>
              <w:ind w:left="306" w:leftChars="0" w:right="0"/>
              <w:rPr>
                <w:rFonts w:hint="eastAsia" w:ascii="微软雅黑" w:hAnsi="微软雅黑" w:eastAsia="微软雅黑" w:cs="微软雅黑"/>
                <w:kern w:val="2"/>
                <w:sz w:val="18"/>
                <w:szCs w:val="18"/>
                <w:lang w:val="en-US" w:eastAsia="en-US" w:bidi="ar-SA"/>
              </w:rPr>
            </w:pPr>
            <w:r>
              <w:rPr>
                <w:rFonts w:hint="default"/>
                <w:spacing w:val="-4"/>
                <w:position w:val="-1"/>
              </w:rPr>
              <w:t>总额</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8"/>
                <w:position w:val="-2"/>
              </w:rPr>
              <w:t>1.000</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5" w:beforeAutospacing="0" w:after="0" w:afterAutospacing="0" w:line="150" w:lineRule="exact"/>
              <w:ind w:left="0" w:right="4"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17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0" w:beforeAutospacing="0" w:after="0" w:afterAutospacing="0" w:line="149" w:lineRule="exact"/>
              <w:ind w:left="432" w:leftChars="0" w:right="0"/>
              <w:rPr>
                <w:rFonts w:hint="eastAsia" w:ascii="微软雅黑" w:hAnsi="微软雅黑" w:eastAsia="微软雅黑" w:cs="微软雅黑"/>
                <w:kern w:val="2"/>
                <w:sz w:val="18"/>
                <w:szCs w:val="18"/>
                <w:lang w:val="en-US" w:eastAsia="en-US" w:bidi="ar-SA"/>
              </w:rPr>
            </w:pPr>
            <w:r>
              <w:rPr>
                <w:rFonts w:hint="default"/>
                <w:spacing w:val="-11"/>
                <w:position w:val="-2"/>
              </w:rPr>
              <w:t>102-3</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0" w:beforeAutospacing="0" w:after="0" w:afterAutospacing="0" w:line="179" w:lineRule="exact"/>
              <w:ind w:left="33" w:leftChars="0" w:right="0"/>
              <w:rPr>
                <w:rFonts w:hint="eastAsia" w:ascii="微软雅黑" w:hAnsi="微软雅黑" w:eastAsia="微软雅黑" w:cs="微软雅黑"/>
                <w:kern w:val="2"/>
                <w:sz w:val="18"/>
                <w:szCs w:val="18"/>
                <w:lang w:val="en-US" w:eastAsia="en-US" w:bidi="ar-SA"/>
              </w:rPr>
            </w:pPr>
            <w:r>
              <w:rPr>
                <w:rFonts w:hint="default"/>
                <w:spacing w:val="-2"/>
                <w:position w:val="-1"/>
              </w:rPr>
              <w:t>安全生产费</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0" w:beforeAutospacing="0" w:after="0" w:afterAutospacing="0" w:line="179" w:lineRule="exact"/>
              <w:ind w:left="306" w:leftChars="0" w:right="0"/>
              <w:rPr>
                <w:rFonts w:hint="eastAsia" w:ascii="微软雅黑" w:hAnsi="微软雅黑" w:eastAsia="微软雅黑" w:cs="微软雅黑"/>
                <w:kern w:val="2"/>
                <w:sz w:val="18"/>
                <w:szCs w:val="18"/>
                <w:lang w:val="en-US" w:eastAsia="en-US" w:bidi="ar-SA"/>
              </w:rPr>
            </w:pPr>
            <w:r>
              <w:rPr>
                <w:rFonts w:hint="default"/>
                <w:spacing w:val="-4"/>
                <w:position w:val="-1"/>
              </w:rPr>
              <w:t>总额</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0" w:beforeAutospacing="0" w:after="0" w:afterAutospacing="0" w:line="149"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8"/>
                <w:position w:val="-2"/>
              </w:rPr>
              <w:t>1.000</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0" w:beforeAutospacing="0" w:after="0" w:afterAutospacing="0" w:line="149"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70" w:beforeAutospacing="0" w:after="0" w:afterAutospacing="0" w:line="149" w:lineRule="exact"/>
              <w:ind w:left="0" w:right="1"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7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6" w:beforeAutospacing="0" w:after="0" w:afterAutospacing="0" w:line="148" w:lineRule="exact"/>
              <w:ind w:left="432" w:leftChars="0" w:right="0"/>
              <w:rPr>
                <w:rFonts w:hint="eastAsia" w:ascii="微软雅黑" w:hAnsi="微软雅黑" w:eastAsia="微软雅黑" w:cs="微软雅黑"/>
                <w:kern w:val="2"/>
                <w:sz w:val="18"/>
                <w:szCs w:val="18"/>
                <w:lang w:val="en-US" w:eastAsia="en-US" w:bidi="ar-SA"/>
              </w:rPr>
            </w:pPr>
            <w:r>
              <w:rPr>
                <w:rFonts w:hint="default"/>
                <w:spacing w:val="-11"/>
                <w:position w:val="-2"/>
              </w:rPr>
              <w:t>102-5</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6" w:beforeAutospacing="0" w:after="0" w:afterAutospacing="0" w:line="178" w:lineRule="exact"/>
              <w:ind w:left="32" w:leftChars="0" w:right="0"/>
              <w:rPr>
                <w:rFonts w:hint="eastAsia" w:ascii="微软雅黑" w:hAnsi="微软雅黑" w:eastAsia="微软雅黑" w:cs="微软雅黑"/>
                <w:kern w:val="2"/>
                <w:sz w:val="18"/>
                <w:szCs w:val="18"/>
                <w:lang w:val="en-US" w:eastAsia="en-US" w:bidi="ar-SA"/>
              </w:rPr>
            </w:pPr>
            <w:r>
              <w:rPr>
                <w:rFonts w:hint="default"/>
                <w:spacing w:val="-2"/>
                <w:position w:val="-1"/>
              </w:rPr>
              <w:t>交通管制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17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6" w:beforeAutospacing="0" w:after="0" w:afterAutospacing="0" w:line="148" w:lineRule="exact"/>
              <w:ind w:left="342" w:leftChars="0" w:right="0"/>
              <w:rPr>
                <w:rFonts w:hint="eastAsia" w:ascii="微软雅黑" w:hAnsi="微软雅黑" w:eastAsia="微软雅黑" w:cs="微软雅黑"/>
                <w:kern w:val="2"/>
                <w:sz w:val="18"/>
                <w:szCs w:val="18"/>
                <w:lang w:val="en-US" w:eastAsia="en-US" w:bidi="ar-SA"/>
              </w:rPr>
            </w:pPr>
            <w:r>
              <w:rPr>
                <w:rFonts w:hint="default"/>
                <w:spacing w:val="-9"/>
                <w:position w:val="-2"/>
              </w:rPr>
              <w:t>102-5-1</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6" w:beforeAutospacing="0" w:after="0" w:afterAutospacing="0" w:line="178" w:lineRule="exact"/>
              <w:ind w:left="41" w:leftChars="0" w:right="0"/>
              <w:rPr>
                <w:rFonts w:hint="eastAsia" w:ascii="微软雅黑" w:hAnsi="微软雅黑" w:eastAsia="微软雅黑" w:cs="微软雅黑"/>
                <w:kern w:val="2"/>
                <w:sz w:val="18"/>
                <w:szCs w:val="18"/>
                <w:lang w:val="en-US" w:eastAsia="en-US" w:bidi="ar-SA"/>
              </w:rPr>
            </w:pPr>
            <w:r>
              <w:rPr>
                <w:rFonts w:hint="default"/>
                <w:spacing w:val="-3"/>
                <w:position w:val="-1"/>
              </w:rPr>
              <w:t>陆上交通管制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6" w:beforeAutospacing="0" w:after="0" w:afterAutospacing="0" w:line="178" w:lineRule="exact"/>
              <w:ind w:left="306" w:leftChars="0" w:right="0"/>
              <w:rPr>
                <w:rFonts w:hint="eastAsia" w:ascii="微软雅黑" w:hAnsi="微软雅黑" w:eastAsia="微软雅黑" w:cs="微软雅黑"/>
                <w:kern w:val="2"/>
                <w:sz w:val="18"/>
                <w:szCs w:val="18"/>
                <w:lang w:val="en-US" w:eastAsia="en-US" w:bidi="ar-SA"/>
              </w:rPr>
            </w:pPr>
            <w:r>
              <w:rPr>
                <w:rFonts w:hint="default"/>
                <w:spacing w:val="-4"/>
                <w:position w:val="-1"/>
              </w:rPr>
              <w:t>总额</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6" w:beforeAutospacing="0" w:after="0" w:afterAutospacing="0" w:line="148"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8"/>
                <w:position w:val="-2"/>
              </w:rPr>
              <w:t>1.000</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6" w:beforeAutospacing="0" w:after="0" w:afterAutospacing="0" w:line="148"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6" w:beforeAutospacing="0" w:after="0" w:afterAutospacing="0" w:line="148" w:lineRule="exact"/>
              <w:ind w:left="0" w:right="4"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7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1" w:beforeAutospacing="0" w:after="0" w:afterAutospacing="0" w:line="148" w:lineRule="exact"/>
              <w:ind w:left="522" w:leftChars="0" w:right="0"/>
              <w:rPr>
                <w:rFonts w:hint="eastAsia" w:ascii="微软雅黑" w:hAnsi="微软雅黑" w:eastAsia="微软雅黑" w:cs="微软雅黑"/>
                <w:kern w:val="2"/>
                <w:sz w:val="18"/>
                <w:szCs w:val="18"/>
                <w:lang w:val="en-US" w:eastAsia="en-US" w:bidi="ar-SA"/>
              </w:rPr>
            </w:pPr>
            <w:r>
              <w:rPr>
                <w:rFonts w:hint="default"/>
                <w:spacing w:val="-15"/>
                <w:position w:val="-2"/>
              </w:rPr>
              <w:t>104</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1" w:beforeAutospacing="0" w:after="0" w:afterAutospacing="0" w:line="178" w:lineRule="exact"/>
              <w:ind w:left="30" w:leftChars="0" w:right="0"/>
              <w:rPr>
                <w:rFonts w:hint="eastAsia" w:ascii="微软雅黑" w:hAnsi="微软雅黑" w:eastAsia="微软雅黑" w:cs="微软雅黑"/>
                <w:kern w:val="2"/>
                <w:sz w:val="18"/>
                <w:szCs w:val="18"/>
                <w:lang w:val="en-US" w:eastAsia="en-US" w:bidi="ar-SA"/>
              </w:rPr>
            </w:pPr>
            <w:r>
              <w:rPr>
                <w:rFonts w:hint="default"/>
                <w:spacing w:val="-1"/>
                <w:position w:val="-1"/>
              </w:rPr>
              <w:t>承包人驻地建设</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17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432" w:leftChars="0" w:right="0"/>
              <w:rPr>
                <w:rFonts w:hint="eastAsia" w:ascii="微软雅黑" w:hAnsi="微软雅黑" w:eastAsia="微软雅黑" w:cs="微软雅黑"/>
                <w:kern w:val="2"/>
                <w:sz w:val="18"/>
                <w:szCs w:val="18"/>
                <w:lang w:val="en-US" w:eastAsia="en-US" w:bidi="ar-SA"/>
              </w:rPr>
            </w:pPr>
            <w:r>
              <w:rPr>
                <w:rFonts w:hint="default"/>
                <w:spacing w:val="-11"/>
                <w:position w:val="-2"/>
              </w:rPr>
              <w:t>104-1</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7" w:beforeAutospacing="0" w:after="0" w:afterAutospacing="0" w:line="177" w:lineRule="exact"/>
              <w:ind w:left="30" w:leftChars="0" w:right="0"/>
              <w:rPr>
                <w:rFonts w:hint="eastAsia" w:ascii="微软雅黑" w:hAnsi="微软雅黑" w:eastAsia="微软雅黑" w:cs="微软雅黑"/>
                <w:kern w:val="2"/>
                <w:sz w:val="18"/>
                <w:szCs w:val="18"/>
                <w:lang w:val="en-US" w:eastAsia="en-US" w:bidi="ar-SA"/>
              </w:rPr>
            </w:pPr>
            <w:r>
              <w:rPr>
                <w:rFonts w:hint="default"/>
                <w:spacing w:val="-1"/>
                <w:position w:val="-1"/>
              </w:rPr>
              <w:t>承包人驻地建设</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7" w:beforeAutospacing="0" w:after="0" w:afterAutospacing="0" w:line="177" w:lineRule="exact"/>
              <w:ind w:left="306" w:leftChars="0" w:right="0"/>
              <w:rPr>
                <w:rFonts w:hint="eastAsia" w:ascii="微软雅黑" w:hAnsi="微软雅黑" w:eastAsia="微软雅黑" w:cs="微软雅黑"/>
                <w:kern w:val="2"/>
                <w:sz w:val="18"/>
                <w:szCs w:val="18"/>
                <w:lang w:val="en-US" w:eastAsia="en-US" w:bidi="ar-SA"/>
              </w:rPr>
            </w:pPr>
            <w:r>
              <w:rPr>
                <w:rFonts w:hint="default"/>
                <w:spacing w:val="-4"/>
                <w:position w:val="-1"/>
              </w:rPr>
              <w:t>总额</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8"/>
                <w:position w:val="-2"/>
              </w:rPr>
              <w:t>1.000</w:t>
            </w: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7" w:beforeAutospacing="0" w:after="0" w:afterAutospacing="0" w:line="148" w:lineRule="exact"/>
              <w:ind w:left="0" w:right="3"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1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1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36" w:type="dxa"/>
            <w:gridSpan w:val="2"/>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清单 第100章 合计</w:t>
            </w:r>
          </w:p>
        </w:tc>
        <w:tc>
          <w:tcPr>
            <w:tcW w:w="4579" w:type="dxa"/>
            <w:gridSpan w:val="5"/>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人民币</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rPr>
          <w:rFonts w:hint="default" w:ascii="宋体" w:hAnsi="宋体" w:cs="宋体"/>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rPr>
          <w:rFonts w:hint="default" w:ascii="宋体" w:hAnsi="宋体" w:cs="宋体"/>
          <w:color w:val="auto"/>
          <w:sz w:val="21"/>
          <w:szCs w:val="21"/>
          <w:highlight w:val="none"/>
          <w:lang w:val="en-US" w:eastAsia="zh-CN"/>
        </w:rPr>
      </w:pPr>
    </w:p>
    <w:tbl>
      <w:tblPr>
        <w:tblStyle w:val="24"/>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0"/>
        <w:gridCol w:w="3766"/>
        <w:gridCol w:w="995"/>
        <w:gridCol w:w="1194"/>
        <w:gridCol w:w="1195"/>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9615"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48"/>
                <w:szCs w:val="48"/>
                <w:highlight w:val="none"/>
                <w:u w:val="none"/>
              </w:rPr>
            </w:pPr>
            <w:r>
              <w:rPr>
                <w:rFonts w:hint="eastAsia" w:ascii="宋体" w:hAnsi="宋体" w:eastAsia="宋体" w:cs="宋体"/>
                <w:b/>
                <w:bCs/>
                <w:i w:val="0"/>
                <w:iCs w:val="0"/>
                <w:color w:val="auto"/>
                <w:kern w:val="0"/>
                <w:sz w:val="48"/>
                <w:szCs w:val="48"/>
                <w:highlight w:val="none"/>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225" w:type="dxa"/>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 段：2024年省级挂牌治理道路交通事故多发点段（S322临石线K71+600永安路口）整治工程</w:t>
            </w:r>
          </w:p>
        </w:tc>
        <w:tc>
          <w:tcPr>
            <w:tcW w:w="2390"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货币单位：人民币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615" w:type="dxa"/>
            <w:gridSpan w:val="6"/>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6"/>
                <w:szCs w:val="26"/>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清单   第200章     路基工程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9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细目号</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细目名称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计量单位</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工程数量</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单价</w:t>
            </w: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995"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0" w:beforeAutospacing="0" w:after="0" w:afterAutospacing="0" w:line="154" w:lineRule="exact"/>
              <w:ind w:left="511" w:leftChars="0" w:right="0"/>
              <w:rPr>
                <w:rFonts w:hint="eastAsia" w:ascii="微软雅黑" w:hAnsi="微软雅黑" w:eastAsia="微软雅黑" w:cs="微软雅黑"/>
                <w:kern w:val="2"/>
                <w:sz w:val="18"/>
                <w:szCs w:val="18"/>
                <w:lang w:val="en-US" w:eastAsia="en-US" w:bidi="ar-SA"/>
              </w:rPr>
            </w:pPr>
            <w:r>
              <w:rPr>
                <w:rFonts w:hint="default"/>
                <w:spacing w:val="-13"/>
                <w:position w:val="-2"/>
              </w:rPr>
              <w:t>202</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0" w:beforeAutospacing="0" w:after="0" w:afterAutospacing="0" w:line="184" w:lineRule="exact"/>
              <w:ind w:left="29" w:leftChars="0" w:right="0"/>
              <w:rPr>
                <w:rFonts w:hint="eastAsia" w:ascii="微软雅黑" w:hAnsi="微软雅黑" w:eastAsia="微软雅黑" w:cs="微软雅黑"/>
                <w:kern w:val="2"/>
                <w:sz w:val="18"/>
                <w:szCs w:val="18"/>
                <w:lang w:val="en-US" w:eastAsia="en-US" w:bidi="ar-SA"/>
              </w:rPr>
            </w:pPr>
            <w:r>
              <w:rPr>
                <w:rFonts w:hint="default"/>
                <w:spacing w:val="-2"/>
                <w:position w:val="-1"/>
              </w:rPr>
              <w:t>场地清理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995"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6" w:beforeAutospacing="0" w:after="0" w:afterAutospacing="0" w:line="153" w:lineRule="exact"/>
              <w:ind w:left="421" w:leftChars="0" w:right="0"/>
              <w:rPr>
                <w:rFonts w:hint="eastAsia" w:ascii="微软雅黑" w:hAnsi="微软雅黑" w:eastAsia="微软雅黑" w:cs="微软雅黑"/>
                <w:kern w:val="2"/>
                <w:sz w:val="18"/>
                <w:szCs w:val="18"/>
                <w:lang w:val="en-US" w:eastAsia="en-US" w:bidi="ar-SA"/>
              </w:rPr>
            </w:pPr>
            <w:r>
              <w:rPr>
                <w:rFonts w:hint="default"/>
                <w:spacing w:val="-9"/>
                <w:position w:val="-2"/>
              </w:rPr>
              <w:t>202-2</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6" w:beforeAutospacing="0" w:after="0" w:afterAutospacing="0" w:line="183" w:lineRule="exact"/>
              <w:ind w:left="28" w:leftChars="0" w:right="0"/>
              <w:rPr>
                <w:rFonts w:hint="eastAsia" w:ascii="微软雅黑" w:hAnsi="微软雅黑" w:eastAsia="微软雅黑" w:cs="微软雅黑"/>
                <w:kern w:val="2"/>
                <w:sz w:val="18"/>
                <w:szCs w:val="18"/>
                <w:lang w:val="en-US" w:eastAsia="en-US" w:bidi="ar-SA"/>
              </w:rPr>
            </w:pPr>
            <w:r>
              <w:rPr>
                <w:rFonts w:hint="default"/>
                <w:spacing w:val="-1"/>
                <w:position w:val="-1"/>
              </w:rPr>
              <w:t>挖除旧路面</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995"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2" w:beforeAutospacing="0" w:after="0" w:afterAutospacing="0" w:line="152" w:lineRule="exact"/>
              <w:ind w:left="331" w:leftChars="0" w:right="0"/>
              <w:rPr>
                <w:rFonts w:hint="eastAsia" w:ascii="微软雅黑" w:hAnsi="微软雅黑" w:eastAsia="微软雅黑" w:cs="微软雅黑"/>
                <w:kern w:val="2"/>
                <w:sz w:val="18"/>
                <w:szCs w:val="18"/>
                <w:lang w:val="en-US" w:eastAsia="en-US" w:bidi="ar-SA"/>
              </w:rPr>
            </w:pPr>
            <w:r>
              <w:rPr>
                <w:rFonts w:hint="default"/>
                <w:spacing w:val="-7"/>
                <w:position w:val="-2"/>
              </w:rPr>
              <w:t>202-2-1</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2" w:beforeAutospacing="0" w:after="0" w:afterAutospacing="0" w:line="182" w:lineRule="exact"/>
              <w:ind w:left="31" w:leftChars="0" w:right="0"/>
              <w:rPr>
                <w:rFonts w:hint="eastAsia" w:ascii="微软雅黑" w:hAnsi="微软雅黑" w:eastAsia="微软雅黑" w:cs="微软雅黑"/>
                <w:kern w:val="2"/>
                <w:sz w:val="18"/>
                <w:szCs w:val="18"/>
                <w:lang w:val="en-US" w:eastAsia="en-US" w:bidi="ar-SA"/>
              </w:rPr>
            </w:pPr>
            <w:r>
              <w:rPr>
                <w:rFonts w:hint="default"/>
                <w:spacing w:val="-2"/>
                <w:position w:val="-1"/>
              </w:rPr>
              <w:t>水泥混凝土面层</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2" w:beforeAutospacing="0" w:after="0" w:afterAutospacing="0" w:line="152" w:lineRule="exact"/>
              <w:ind w:left="385" w:leftChars="0" w:right="0"/>
              <w:rPr>
                <w:rFonts w:hint="eastAsia" w:ascii="微软雅黑" w:hAnsi="微软雅黑" w:eastAsia="微软雅黑" w:cs="微软雅黑"/>
                <w:kern w:val="2"/>
                <w:sz w:val="18"/>
                <w:szCs w:val="18"/>
                <w:lang w:val="en-US" w:eastAsia="en-US" w:bidi="ar-SA"/>
              </w:rPr>
            </w:pPr>
            <w:r>
              <w:rPr>
                <w:rFonts w:hint="default"/>
                <w:spacing w:val="-25"/>
                <w:w w:val="96"/>
                <w:position w:val="-2"/>
              </w:rPr>
              <w:t>m3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2" w:beforeAutospacing="0" w:after="0" w:afterAutospacing="0" w:line="152"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10"/>
                <w:position w:val="-2"/>
              </w:rPr>
              <w:t>1</w:t>
            </w:r>
            <w:r>
              <w:rPr>
                <w:rFonts w:hint="default"/>
                <w:spacing w:val="-9"/>
                <w:position w:val="-2"/>
              </w:rPr>
              <w:t>9.23</w:t>
            </w:r>
            <w:r>
              <w:rPr>
                <w:rFonts w:hint="default"/>
                <w:spacing w:val="-8"/>
                <w:position w:val="-2"/>
              </w:rPr>
              <w:t>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2" w:beforeAutospacing="0" w:after="0" w:afterAutospacing="0" w:line="152"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2" w:beforeAutospacing="0" w:after="0" w:afterAutospacing="0" w:line="152" w:lineRule="exact"/>
              <w:ind w:left="0" w:right="3"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995"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3" w:beforeAutospacing="0" w:after="0" w:afterAutospacing="0" w:line="151" w:lineRule="exact"/>
              <w:ind w:left="331" w:leftChars="0" w:right="0"/>
              <w:rPr>
                <w:rFonts w:hint="eastAsia" w:ascii="微软雅黑" w:hAnsi="微软雅黑" w:eastAsia="微软雅黑" w:cs="微软雅黑"/>
                <w:kern w:val="2"/>
                <w:sz w:val="18"/>
                <w:szCs w:val="18"/>
                <w:lang w:val="en-US" w:eastAsia="en-US" w:bidi="ar-SA"/>
              </w:rPr>
            </w:pPr>
            <w:r>
              <w:rPr>
                <w:rFonts w:hint="default"/>
                <w:spacing w:val="-7"/>
                <w:position w:val="-2"/>
              </w:rPr>
              <w:t>202-2-2</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3" w:beforeAutospacing="0" w:after="0" w:afterAutospacing="0" w:line="181" w:lineRule="exact"/>
              <w:ind w:left="30" w:leftChars="0" w:right="0"/>
              <w:rPr>
                <w:rFonts w:hint="eastAsia" w:ascii="微软雅黑" w:hAnsi="微软雅黑" w:eastAsia="微软雅黑" w:cs="微软雅黑"/>
                <w:kern w:val="2"/>
                <w:sz w:val="18"/>
                <w:szCs w:val="18"/>
                <w:lang w:val="en-US" w:eastAsia="en-US" w:bidi="ar-SA"/>
              </w:rPr>
            </w:pPr>
            <w:r>
              <w:rPr>
                <w:rFonts w:hint="default"/>
                <w:spacing w:val="-1"/>
                <w:position w:val="-1"/>
              </w:rPr>
              <w:t>沥青混凝土面层</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995"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9" w:beforeAutospacing="0" w:after="0" w:afterAutospacing="0" w:line="150" w:lineRule="exact"/>
              <w:ind w:left="241" w:leftChars="0" w:right="0"/>
              <w:rPr>
                <w:rFonts w:hint="eastAsia" w:ascii="微软雅黑" w:hAnsi="微软雅黑" w:eastAsia="微软雅黑" w:cs="微软雅黑"/>
                <w:kern w:val="2"/>
                <w:sz w:val="18"/>
                <w:szCs w:val="18"/>
                <w:lang w:val="en-US" w:eastAsia="en-US" w:bidi="ar-SA"/>
              </w:rPr>
            </w:pPr>
            <w:r>
              <w:rPr>
                <w:rFonts w:hint="default"/>
                <w:spacing w:val="-6"/>
                <w:position w:val="-2"/>
              </w:rPr>
              <w:t>202-2-2-1</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9" w:beforeAutospacing="0" w:after="0" w:afterAutospacing="0" w:line="180" w:lineRule="exact"/>
              <w:ind w:left="30" w:leftChars="0" w:right="0"/>
              <w:rPr>
                <w:rFonts w:hint="eastAsia" w:ascii="微软雅黑" w:hAnsi="微软雅黑" w:eastAsia="微软雅黑" w:cs="微软雅黑"/>
                <w:kern w:val="2"/>
                <w:sz w:val="18"/>
                <w:szCs w:val="18"/>
                <w:lang w:val="en-US" w:eastAsia="en-US" w:bidi="ar-SA"/>
              </w:rPr>
            </w:pPr>
            <w:r>
              <w:rPr>
                <w:rFonts w:hint="default"/>
                <w:spacing w:val="-2"/>
                <w:position w:val="-1"/>
              </w:rPr>
              <w:t>铣刨</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9" w:beforeAutospacing="0" w:after="0" w:afterAutospacing="0" w:line="150" w:lineRule="exact"/>
              <w:ind w:left="385" w:leftChars="0" w:right="0"/>
              <w:rPr>
                <w:rFonts w:hint="eastAsia" w:ascii="微软雅黑" w:hAnsi="微软雅黑" w:eastAsia="微软雅黑" w:cs="微软雅黑"/>
                <w:kern w:val="2"/>
                <w:sz w:val="18"/>
                <w:szCs w:val="18"/>
                <w:lang w:val="en-US" w:eastAsia="en-US" w:bidi="ar-SA"/>
              </w:rPr>
            </w:pPr>
            <w:r>
              <w:rPr>
                <w:rFonts w:hint="default"/>
                <w:spacing w:val="-25"/>
                <w:w w:val="96"/>
                <w:position w:val="-2"/>
              </w:rPr>
              <w:t>m3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9" w:beforeAutospacing="0" w:after="0" w:afterAutospacing="0" w:line="150"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11"/>
                <w:position w:val="-2"/>
              </w:rPr>
              <w:t>19</w:t>
            </w:r>
            <w:r>
              <w:rPr>
                <w:rFonts w:hint="default"/>
                <w:spacing w:val="-10"/>
                <w:position w:val="-2"/>
              </w:rPr>
              <w:t>3.20</w:t>
            </w:r>
            <w:r>
              <w:rPr>
                <w:rFonts w:hint="default"/>
                <w:spacing w:val="-8"/>
                <w:position w:val="-2"/>
              </w:rPr>
              <w:t>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9" w:beforeAutospacing="0" w:after="0" w:afterAutospacing="0" w:line="150"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69" w:beforeAutospacing="0" w:after="0" w:afterAutospacing="0" w:line="150" w:lineRule="exact"/>
              <w:ind w:left="0" w:right="1"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995"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511" w:leftChars="0" w:right="0"/>
              <w:rPr>
                <w:rFonts w:hint="eastAsia" w:ascii="微软雅黑" w:hAnsi="微软雅黑" w:eastAsia="微软雅黑" w:cs="微软雅黑"/>
                <w:kern w:val="2"/>
                <w:sz w:val="18"/>
                <w:szCs w:val="18"/>
                <w:lang w:val="en-US" w:eastAsia="en-US" w:bidi="ar-SA"/>
              </w:rPr>
            </w:pPr>
            <w:r>
              <w:rPr>
                <w:rFonts w:hint="default"/>
                <w:spacing w:val="-13"/>
                <w:position w:val="-2"/>
              </w:rPr>
              <w:t>203</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5" w:beforeAutospacing="0" w:after="0" w:afterAutospacing="0" w:line="180" w:lineRule="exact"/>
              <w:ind w:left="28" w:leftChars="0" w:right="0"/>
              <w:rPr>
                <w:rFonts w:hint="eastAsia" w:ascii="微软雅黑" w:hAnsi="微软雅黑" w:eastAsia="微软雅黑" w:cs="微软雅黑"/>
                <w:kern w:val="2"/>
                <w:sz w:val="18"/>
                <w:szCs w:val="18"/>
                <w:lang w:val="en-US" w:eastAsia="en-US" w:bidi="ar-SA"/>
              </w:rPr>
            </w:pPr>
            <w:r>
              <w:rPr>
                <w:rFonts w:hint="default"/>
                <w:spacing w:val="-2"/>
                <w:position w:val="-1"/>
              </w:rPr>
              <w:t>挖方路基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995"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421" w:leftChars="0" w:right="0"/>
              <w:rPr>
                <w:rFonts w:hint="eastAsia" w:ascii="微软雅黑" w:hAnsi="微软雅黑" w:eastAsia="微软雅黑" w:cs="微软雅黑"/>
                <w:kern w:val="2"/>
                <w:sz w:val="18"/>
                <w:szCs w:val="18"/>
                <w:lang w:val="en-US" w:eastAsia="en-US" w:bidi="ar-SA"/>
              </w:rPr>
            </w:pPr>
            <w:r>
              <w:rPr>
                <w:rFonts w:hint="default"/>
                <w:spacing w:val="-9"/>
                <w:position w:val="-2"/>
              </w:rPr>
              <w:t>203-1</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5" w:beforeAutospacing="0" w:after="0" w:afterAutospacing="0" w:line="180" w:lineRule="exact"/>
              <w:ind w:left="31" w:leftChars="0" w:right="0"/>
              <w:rPr>
                <w:rFonts w:hint="eastAsia" w:ascii="微软雅黑" w:hAnsi="微软雅黑" w:eastAsia="微软雅黑" w:cs="微软雅黑"/>
                <w:kern w:val="2"/>
                <w:sz w:val="18"/>
                <w:szCs w:val="18"/>
                <w:lang w:val="en-US" w:eastAsia="en-US" w:bidi="ar-SA"/>
              </w:rPr>
            </w:pPr>
            <w:r>
              <w:rPr>
                <w:rFonts w:hint="default"/>
                <w:spacing w:val="-2"/>
                <w:position w:val="-1"/>
              </w:rPr>
              <w:t>路基挖方</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995"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0" w:beforeAutospacing="0" w:after="0" w:afterAutospacing="0" w:line="149" w:lineRule="exact"/>
              <w:ind w:left="331" w:leftChars="0" w:right="0"/>
              <w:rPr>
                <w:rFonts w:hint="eastAsia" w:ascii="微软雅黑" w:hAnsi="微软雅黑" w:eastAsia="微软雅黑" w:cs="微软雅黑"/>
                <w:kern w:val="2"/>
                <w:sz w:val="18"/>
                <w:szCs w:val="18"/>
                <w:lang w:val="en-US" w:eastAsia="en-US" w:bidi="ar-SA"/>
              </w:rPr>
            </w:pPr>
            <w:r>
              <w:rPr>
                <w:rFonts w:hint="default"/>
                <w:spacing w:val="-7"/>
                <w:position w:val="-2"/>
              </w:rPr>
              <w:t>203-1-1</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0" w:beforeAutospacing="0" w:after="0" w:afterAutospacing="0" w:line="179" w:lineRule="exact"/>
              <w:ind w:left="28" w:leftChars="0" w:right="0"/>
              <w:rPr>
                <w:rFonts w:hint="eastAsia" w:ascii="微软雅黑" w:hAnsi="微软雅黑" w:eastAsia="微软雅黑" w:cs="微软雅黑"/>
                <w:kern w:val="2"/>
                <w:sz w:val="18"/>
                <w:szCs w:val="18"/>
                <w:lang w:val="en-US" w:eastAsia="en-US" w:bidi="ar-SA"/>
              </w:rPr>
            </w:pPr>
            <w:r>
              <w:rPr>
                <w:rFonts w:hint="default"/>
                <w:spacing w:val="-2"/>
                <w:position w:val="-1"/>
              </w:rPr>
              <w:t>挖土方</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0" w:beforeAutospacing="0" w:after="0" w:afterAutospacing="0" w:line="149" w:lineRule="exact"/>
              <w:ind w:left="385" w:leftChars="0" w:right="0"/>
              <w:rPr>
                <w:rFonts w:hint="eastAsia" w:ascii="微软雅黑" w:hAnsi="微软雅黑" w:eastAsia="微软雅黑" w:cs="微软雅黑"/>
                <w:kern w:val="2"/>
                <w:sz w:val="18"/>
                <w:szCs w:val="18"/>
                <w:lang w:val="en-US" w:eastAsia="en-US" w:bidi="ar-SA"/>
              </w:rPr>
            </w:pPr>
            <w:r>
              <w:rPr>
                <w:rFonts w:hint="default"/>
                <w:spacing w:val="-25"/>
                <w:w w:val="96"/>
                <w:position w:val="-2"/>
              </w:rPr>
              <w:t>m3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0" w:beforeAutospacing="0" w:after="0" w:afterAutospacing="0" w:line="149" w:lineRule="exact"/>
              <w:ind w:left="0" w:right="1" w:rightChars="0"/>
              <w:jc w:val="right"/>
              <w:rPr>
                <w:rFonts w:hint="eastAsia" w:ascii="微软雅黑" w:hAnsi="微软雅黑" w:eastAsia="微软雅黑" w:cs="微软雅黑"/>
                <w:kern w:val="2"/>
                <w:sz w:val="18"/>
                <w:szCs w:val="18"/>
                <w:lang w:val="en-US" w:eastAsia="en-US" w:bidi="ar-SA"/>
              </w:rPr>
            </w:pPr>
            <w:r>
              <w:rPr>
                <w:rFonts w:hint="default"/>
                <w:spacing w:val="-4"/>
                <w:position w:val="-2"/>
              </w:rPr>
              <w:t>8.000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0" w:beforeAutospacing="0" w:after="0" w:afterAutospacing="0" w:line="149"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70" w:beforeAutospacing="0" w:after="0" w:afterAutospacing="0" w:line="149" w:lineRule="exact"/>
              <w:ind w:left="0" w:right="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995"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6" w:beforeAutospacing="0" w:after="0" w:afterAutospacing="0" w:line="148" w:lineRule="exact"/>
              <w:ind w:left="511" w:leftChars="0" w:right="0"/>
              <w:rPr>
                <w:rFonts w:hint="eastAsia" w:ascii="微软雅黑" w:hAnsi="微软雅黑" w:eastAsia="微软雅黑" w:cs="微软雅黑"/>
                <w:kern w:val="2"/>
                <w:sz w:val="18"/>
                <w:szCs w:val="18"/>
                <w:lang w:val="en-US" w:eastAsia="en-US" w:bidi="ar-SA"/>
              </w:rPr>
            </w:pPr>
            <w:r>
              <w:rPr>
                <w:rFonts w:hint="default"/>
                <w:spacing w:val="-13"/>
                <w:position w:val="-2"/>
              </w:rPr>
              <w:t>205</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6" w:beforeAutospacing="0" w:after="0" w:afterAutospacing="0" w:line="178" w:lineRule="exact"/>
              <w:ind w:left="27" w:leftChars="0" w:right="0"/>
              <w:rPr>
                <w:rFonts w:hint="eastAsia" w:ascii="微软雅黑" w:hAnsi="微软雅黑" w:eastAsia="微软雅黑" w:cs="微软雅黑"/>
                <w:kern w:val="2"/>
                <w:sz w:val="18"/>
                <w:szCs w:val="18"/>
                <w:lang w:val="en-US" w:eastAsia="en-US" w:bidi="ar-SA"/>
              </w:rPr>
            </w:pPr>
            <w:r>
              <w:rPr>
                <w:rFonts w:hint="default"/>
                <w:spacing w:val="-1"/>
                <w:position w:val="-1"/>
              </w:rPr>
              <w:t>特殊地区路基处理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995"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6" w:beforeAutospacing="0" w:after="0" w:afterAutospacing="0" w:line="148" w:lineRule="exact"/>
              <w:ind w:left="421" w:leftChars="0" w:right="0"/>
              <w:rPr>
                <w:rFonts w:hint="eastAsia" w:ascii="微软雅黑" w:hAnsi="微软雅黑" w:eastAsia="微软雅黑" w:cs="微软雅黑"/>
                <w:kern w:val="2"/>
                <w:sz w:val="18"/>
                <w:szCs w:val="18"/>
                <w:lang w:val="en-US" w:eastAsia="en-US" w:bidi="ar-SA"/>
              </w:rPr>
            </w:pPr>
            <w:r>
              <w:rPr>
                <w:rFonts w:hint="default"/>
                <w:spacing w:val="-9"/>
                <w:position w:val="-2"/>
              </w:rPr>
              <w:t>205-1</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6" w:beforeAutospacing="0" w:after="0" w:afterAutospacing="0" w:line="178" w:lineRule="exact"/>
              <w:ind w:left="32" w:leftChars="0" w:right="0"/>
              <w:rPr>
                <w:rFonts w:hint="eastAsia" w:ascii="微软雅黑" w:hAnsi="微软雅黑" w:eastAsia="微软雅黑" w:cs="微软雅黑"/>
                <w:kern w:val="2"/>
                <w:sz w:val="18"/>
                <w:szCs w:val="18"/>
                <w:lang w:val="en-US" w:eastAsia="en-US" w:bidi="ar-SA"/>
              </w:rPr>
            </w:pPr>
            <w:r>
              <w:rPr>
                <w:rFonts w:hint="default"/>
                <w:spacing w:val="-2"/>
                <w:position w:val="-1"/>
              </w:rPr>
              <w:t>软土路基处理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995"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1" w:beforeAutospacing="0" w:after="0" w:afterAutospacing="0" w:line="148" w:lineRule="exact"/>
              <w:ind w:left="331" w:leftChars="0" w:right="0"/>
              <w:rPr>
                <w:rFonts w:hint="eastAsia" w:ascii="微软雅黑" w:hAnsi="微软雅黑" w:eastAsia="微软雅黑" w:cs="微软雅黑"/>
                <w:kern w:val="2"/>
                <w:sz w:val="18"/>
                <w:szCs w:val="18"/>
                <w:lang w:val="en-US" w:eastAsia="en-US" w:bidi="ar-SA"/>
              </w:rPr>
            </w:pPr>
            <w:r>
              <w:rPr>
                <w:rFonts w:hint="default"/>
                <w:spacing w:val="-7"/>
                <w:position w:val="-2"/>
              </w:rPr>
              <w:t>205-1-4</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1" w:beforeAutospacing="0" w:after="0" w:afterAutospacing="0" w:line="178" w:lineRule="exact"/>
              <w:ind w:left="30" w:leftChars="0" w:right="0"/>
              <w:rPr>
                <w:rFonts w:hint="eastAsia" w:ascii="微软雅黑" w:hAnsi="微软雅黑" w:eastAsia="微软雅黑" w:cs="微软雅黑"/>
                <w:kern w:val="2"/>
                <w:sz w:val="18"/>
                <w:szCs w:val="18"/>
                <w:lang w:val="en-US" w:eastAsia="en-US" w:bidi="ar-SA"/>
              </w:rPr>
            </w:pPr>
            <w:r>
              <w:rPr>
                <w:rFonts w:hint="default"/>
                <w:spacing w:val="-2"/>
                <w:position w:val="-1"/>
              </w:rPr>
              <w:t>土工合成材料</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995"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241" w:leftChars="0" w:right="0"/>
              <w:rPr>
                <w:rFonts w:hint="eastAsia" w:ascii="微软雅黑" w:hAnsi="微软雅黑" w:eastAsia="微软雅黑" w:cs="微软雅黑"/>
                <w:kern w:val="2"/>
                <w:sz w:val="18"/>
                <w:szCs w:val="18"/>
                <w:lang w:val="en-US" w:eastAsia="en-US" w:bidi="ar-SA"/>
              </w:rPr>
            </w:pPr>
            <w:r>
              <w:rPr>
                <w:rFonts w:hint="default"/>
                <w:spacing w:val="-6"/>
                <w:position w:val="-2"/>
              </w:rPr>
              <w:t>205-1-4-1</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7" w:beforeAutospacing="0" w:after="0" w:afterAutospacing="0" w:line="177" w:lineRule="exact"/>
              <w:ind w:left="30" w:leftChars="0" w:right="0"/>
              <w:rPr>
                <w:rFonts w:hint="eastAsia" w:ascii="微软雅黑" w:hAnsi="微软雅黑" w:eastAsia="微软雅黑" w:cs="微软雅黑"/>
                <w:kern w:val="2"/>
                <w:sz w:val="18"/>
                <w:szCs w:val="18"/>
                <w:lang w:val="en-US" w:eastAsia="en-US" w:bidi="ar-SA"/>
              </w:rPr>
            </w:pPr>
            <w:r>
              <w:rPr>
                <w:rFonts w:hint="default"/>
                <w:spacing w:val="-2"/>
                <w:position w:val="-1"/>
              </w:rPr>
              <w:t>抗裂贴</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385" w:leftChars="0" w:right="0"/>
              <w:rPr>
                <w:rFonts w:hint="eastAsia" w:ascii="微软雅黑" w:hAnsi="微软雅黑" w:eastAsia="微软雅黑" w:cs="微软雅黑"/>
                <w:kern w:val="2"/>
                <w:sz w:val="18"/>
                <w:szCs w:val="18"/>
                <w:lang w:val="en-US" w:eastAsia="en-US" w:bidi="ar-SA"/>
              </w:rPr>
            </w:pPr>
            <w:r>
              <w:rPr>
                <w:rFonts w:hint="default"/>
                <w:spacing w:val="-21"/>
                <w:w w:val="93"/>
                <w:position w:val="-3"/>
              </w:rPr>
              <w:t>m2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6"/>
                <w:position w:val="-2"/>
              </w:rPr>
              <w:t>48.000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7" w:beforeAutospacing="0" w:after="0" w:afterAutospacing="0" w:line="148" w:lineRule="exact"/>
              <w:ind w:left="0" w:right="2"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99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99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99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36" w:type="dxa"/>
            <w:gridSpan w:val="2"/>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清单 第200章 合计</w:t>
            </w:r>
          </w:p>
        </w:tc>
        <w:tc>
          <w:tcPr>
            <w:tcW w:w="4579" w:type="dxa"/>
            <w:gridSpan w:val="4"/>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firstLine="900" w:firstLineChars="5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人民币</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rPr>
          <w:rFonts w:hint="default" w:ascii="宋体" w:hAnsi="宋体" w:cs="宋体"/>
          <w:color w:val="auto"/>
          <w:sz w:val="21"/>
          <w:szCs w:val="21"/>
          <w:highlight w:val="none"/>
          <w:lang w:val="en-US" w:eastAsia="zh-CN"/>
        </w:rPr>
      </w:pPr>
    </w:p>
    <w:p>
      <w:pPr>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rPr>
          <w:rFonts w:hint="default" w:ascii="宋体" w:hAnsi="宋体" w:cs="宋体"/>
          <w:color w:val="auto"/>
          <w:sz w:val="21"/>
          <w:szCs w:val="21"/>
          <w:highlight w:val="none"/>
          <w:lang w:val="en-US" w:eastAsia="zh-CN"/>
        </w:rPr>
      </w:pPr>
    </w:p>
    <w:tbl>
      <w:tblPr>
        <w:tblStyle w:val="24"/>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4"/>
        <w:gridCol w:w="3692"/>
        <w:gridCol w:w="995"/>
        <w:gridCol w:w="1194"/>
        <w:gridCol w:w="1195"/>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9615"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48"/>
                <w:szCs w:val="48"/>
                <w:highlight w:val="none"/>
                <w:u w:val="none"/>
              </w:rPr>
            </w:pPr>
            <w:r>
              <w:rPr>
                <w:rFonts w:hint="eastAsia" w:ascii="宋体" w:hAnsi="宋体" w:eastAsia="宋体" w:cs="宋体"/>
                <w:b/>
                <w:bCs/>
                <w:i w:val="0"/>
                <w:iCs w:val="0"/>
                <w:color w:val="auto"/>
                <w:kern w:val="0"/>
                <w:sz w:val="48"/>
                <w:szCs w:val="48"/>
                <w:highlight w:val="none"/>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225" w:type="dxa"/>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 段：2024年省级挂牌治理道路交通事故多发点段（S322临石线K71+600永安路口）整治工程</w:t>
            </w:r>
          </w:p>
        </w:tc>
        <w:tc>
          <w:tcPr>
            <w:tcW w:w="2390"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货币单位：人民币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615" w:type="dxa"/>
            <w:gridSpan w:val="6"/>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6"/>
                <w:szCs w:val="26"/>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清单   第300章     路面工程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细目号</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细目名称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计量单位</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工程数量</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单价</w:t>
            </w: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0" w:beforeAutospacing="0" w:after="0" w:afterAutospacing="0" w:line="154" w:lineRule="exact"/>
              <w:ind w:left="0" w:right="0"/>
              <w:rPr>
                <w:rFonts w:hint="eastAsia" w:ascii="微软雅黑" w:hAnsi="微软雅黑" w:eastAsia="微软雅黑" w:cs="微软雅黑"/>
                <w:kern w:val="2"/>
                <w:sz w:val="18"/>
                <w:szCs w:val="18"/>
                <w:lang w:val="en-US" w:eastAsia="en-US" w:bidi="ar-SA"/>
              </w:rPr>
            </w:pPr>
            <w:r>
              <w:rPr>
                <w:rFonts w:hint="default"/>
                <w:spacing w:val="-13"/>
                <w:position w:val="-2"/>
              </w:rPr>
              <w:t>302</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0" w:beforeAutospacing="0" w:after="0" w:afterAutospacing="0" w:line="184" w:lineRule="exact"/>
              <w:ind w:left="31" w:leftChars="0" w:right="0"/>
              <w:rPr>
                <w:rFonts w:hint="eastAsia" w:ascii="微软雅黑" w:hAnsi="微软雅黑" w:eastAsia="微软雅黑" w:cs="微软雅黑"/>
                <w:kern w:val="2"/>
                <w:sz w:val="18"/>
                <w:szCs w:val="18"/>
                <w:lang w:val="en-US" w:eastAsia="en-US" w:bidi="ar-SA"/>
              </w:rPr>
            </w:pPr>
            <w:r>
              <w:rPr>
                <w:rFonts w:hint="default"/>
                <w:spacing w:val="-3"/>
                <w:position w:val="-1"/>
              </w:rPr>
              <w:t>垫层</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6" w:beforeAutospacing="0" w:after="0" w:afterAutospacing="0" w:line="153" w:lineRule="exact"/>
              <w:ind w:left="0" w:right="0"/>
              <w:rPr>
                <w:rFonts w:hint="eastAsia" w:ascii="微软雅黑" w:hAnsi="微软雅黑" w:eastAsia="微软雅黑" w:cs="微软雅黑"/>
                <w:kern w:val="2"/>
                <w:sz w:val="18"/>
                <w:szCs w:val="18"/>
                <w:lang w:val="en-US" w:eastAsia="en-US" w:bidi="ar-SA"/>
              </w:rPr>
            </w:pPr>
            <w:r>
              <w:rPr>
                <w:rFonts w:hint="default"/>
                <w:spacing w:val="-10"/>
                <w:position w:val="-2"/>
              </w:rPr>
              <w:t>302-8</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6" w:beforeAutospacing="0" w:after="0" w:afterAutospacing="0" w:line="183" w:lineRule="exact"/>
              <w:ind w:left="32" w:leftChars="0" w:right="0"/>
              <w:rPr>
                <w:rFonts w:hint="eastAsia" w:ascii="微软雅黑" w:hAnsi="微软雅黑" w:eastAsia="微软雅黑" w:cs="微软雅黑"/>
                <w:kern w:val="2"/>
                <w:sz w:val="18"/>
                <w:szCs w:val="18"/>
                <w:lang w:val="en-US" w:eastAsia="en-US" w:bidi="ar-SA"/>
              </w:rPr>
            </w:pPr>
            <w:r>
              <w:rPr>
                <w:rFonts w:hint="default"/>
                <w:spacing w:val="-7"/>
                <w:position w:val="-1"/>
              </w:rPr>
              <w:t>素混凝土垫层</w:t>
            </w:r>
            <w:r>
              <w:rPr>
                <w:rFonts w:hint="default"/>
                <w:spacing w:val="49"/>
                <w:position w:val="-1"/>
              </w:rPr>
              <w:t xml:space="preserve"> </w:t>
            </w:r>
            <w:r>
              <w:rPr>
                <w:rFonts w:hint="default"/>
                <w:spacing w:val="-7"/>
                <w:position w:val="-1"/>
              </w:rPr>
              <w:t>C20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6" w:beforeAutospacing="0" w:after="0" w:afterAutospacing="0" w:line="153" w:lineRule="exact"/>
              <w:ind w:left="385" w:leftChars="0" w:right="0"/>
              <w:rPr>
                <w:rFonts w:hint="eastAsia" w:ascii="微软雅黑" w:hAnsi="微软雅黑" w:eastAsia="微软雅黑" w:cs="微软雅黑"/>
                <w:kern w:val="2"/>
                <w:sz w:val="18"/>
                <w:szCs w:val="18"/>
                <w:lang w:val="en-US" w:eastAsia="en-US" w:bidi="ar-SA"/>
              </w:rPr>
            </w:pPr>
            <w:r>
              <w:rPr>
                <w:rFonts w:hint="default"/>
                <w:spacing w:val="-25"/>
                <w:w w:val="96"/>
                <w:position w:val="-2"/>
              </w:rPr>
              <w:t>m3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6" w:beforeAutospacing="0" w:after="0" w:afterAutospacing="0" w:line="153" w:lineRule="exact"/>
              <w:ind w:left="0" w:right="1" w:rightChars="0"/>
              <w:jc w:val="right"/>
              <w:rPr>
                <w:rFonts w:hint="eastAsia" w:ascii="微软雅黑" w:hAnsi="微软雅黑" w:eastAsia="微软雅黑" w:cs="微软雅黑"/>
                <w:kern w:val="2"/>
                <w:sz w:val="18"/>
                <w:szCs w:val="18"/>
                <w:lang w:val="en-US" w:eastAsia="en-US" w:bidi="ar-SA"/>
              </w:rPr>
            </w:pPr>
            <w:r>
              <w:rPr>
                <w:rFonts w:hint="default"/>
                <w:spacing w:val="-5"/>
                <w:position w:val="-2"/>
              </w:rPr>
              <w:t>3.200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6" w:beforeAutospacing="0" w:after="0" w:afterAutospacing="0" w:line="153"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66" w:beforeAutospacing="0" w:after="0" w:afterAutospacing="0" w:line="153" w:lineRule="exact"/>
              <w:ind w:left="0" w:right="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2" w:beforeAutospacing="0" w:after="0" w:afterAutospacing="0" w:line="152" w:lineRule="exact"/>
              <w:ind w:left="0" w:right="0"/>
              <w:rPr>
                <w:rFonts w:hint="eastAsia" w:ascii="微软雅黑" w:hAnsi="微软雅黑" w:eastAsia="微软雅黑" w:cs="微软雅黑"/>
                <w:kern w:val="2"/>
                <w:sz w:val="18"/>
                <w:szCs w:val="18"/>
                <w:lang w:val="en-US" w:eastAsia="en-US" w:bidi="ar-SA"/>
              </w:rPr>
            </w:pPr>
            <w:r>
              <w:rPr>
                <w:rFonts w:hint="default"/>
                <w:spacing w:val="-13"/>
                <w:position w:val="-2"/>
              </w:rPr>
              <w:t>305</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2" w:beforeAutospacing="0" w:after="0" w:afterAutospacing="0" w:line="182" w:lineRule="exact"/>
              <w:ind w:left="29" w:leftChars="0" w:right="0"/>
              <w:rPr>
                <w:rFonts w:hint="eastAsia" w:ascii="微软雅黑" w:hAnsi="微软雅黑" w:eastAsia="微软雅黑" w:cs="微软雅黑"/>
                <w:kern w:val="2"/>
                <w:sz w:val="18"/>
                <w:szCs w:val="18"/>
                <w:lang w:val="en-US" w:eastAsia="en-US" w:bidi="ar-SA"/>
              </w:rPr>
            </w:pPr>
            <w:r>
              <w:rPr>
                <w:rFonts w:hint="default"/>
                <w:spacing w:val="-1"/>
                <w:position w:val="-1"/>
              </w:rPr>
              <w:t>透层、封层、黏层</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3" w:beforeAutospacing="0" w:after="0" w:afterAutospacing="0" w:line="151" w:lineRule="exact"/>
              <w:ind w:left="0" w:right="0"/>
              <w:rPr>
                <w:rFonts w:hint="eastAsia" w:ascii="微软雅黑" w:hAnsi="微软雅黑" w:eastAsia="微软雅黑" w:cs="微软雅黑"/>
                <w:kern w:val="2"/>
                <w:sz w:val="18"/>
                <w:szCs w:val="18"/>
                <w:lang w:val="en-US" w:eastAsia="en-US" w:bidi="ar-SA"/>
              </w:rPr>
            </w:pPr>
            <w:r>
              <w:rPr>
                <w:rFonts w:hint="default"/>
                <w:spacing w:val="-10"/>
                <w:position w:val="-2"/>
              </w:rPr>
              <w:t>305-2</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3" w:beforeAutospacing="0" w:after="0" w:afterAutospacing="0" w:line="181" w:lineRule="exact"/>
              <w:ind w:left="32" w:leftChars="0" w:right="0"/>
              <w:rPr>
                <w:rFonts w:hint="eastAsia" w:ascii="微软雅黑" w:hAnsi="微软雅黑" w:eastAsia="微软雅黑" w:cs="微软雅黑"/>
                <w:kern w:val="2"/>
                <w:sz w:val="18"/>
                <w:szCs w:val="18"/>
                <w:lang w:val="en-US" w:eastAsia="en-US" w:bidi="ar-SA"/>
              </w:rPr>
            </w:pPr>
            <w:r>
              <w:rPr>
                <w:rFonts w:hint="default"/>
                <w:spacing w:val="-3"/>
                <w:position w:val="-1"/>
              </w:rPr>
              <w:t>黏层</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3" w:beforeAutospacing="0" w:after="0" w:afterAutospacing="0" w:line="151" w:lineRule="exact"/>
              <w:ind w:left="385" w:leftChars="0" w:right="0"/>
              <w:rPr>
                <w:rFonts w:hint="eastAsia" w:ascii="微软雅黑" w:hAnsi="微软雅黑" w:eastAsia="微软雅黑" w:cs="微软雅黑"/>
                <w:kern w:val="2"/>
                <w:sz w:val="18"/>
                <w:szCs w:val="18"/>
                <w:lang w:val="en-US" w:eastAsia="en-US" w:bidi="ar-SA"/>
              </w:rPr>
            </w:pPr>
            <w:r>
              <w:rPr>
                <w:rFonts w:hint="default"/>
                <w:spacing w:val="-21"/>
                <w:w w:val="93"/>
                <w:position w:val="-2"/>
              </w:rPr>
              <w:t>m2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3" w:beforeAutospacing="0" w:after="0" w:afterAutospacing="0" w:line="151"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10"/>
                <w:position w:val="-2"/>
              </w:rPr>
              <w:t>2</w:t>
            </w:r>
            <w:r>
              <w:rPr>
                <w:rFonts w:hint="default"/>
                <w:spacing w:val="-9"/>
                <w:position w:val="-2"/>
              </w:rPr>
              <w:t>096.30</w:t>
            </w:r>
            <w:r>
              <w:rPr>
                <w:rFonts w:hint="default"/>
                <w:spacing w:val="-8"/>
                <w:position w:val="-2"/>
              </w:rPr>
              <w:t>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3" w:beforeAutospacing="0" w:after="0" w:afterAutospacing="0" w:line="151" w:lineRule="exact"/>
              <w:ind w:left="0" w:right="4" w:rightChars="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3" w:beforeAutospacing="0" w:after="0" w:afterAutospacing="0" w:line="151" w:lineRule="exact"/>
              <w:ind w:left="0" w:right="3"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9" w:beforeAutospacing="0" w:after="0" w:afterAutospacing="0" w:line="150" w:lineRule="exact"/>
              <w:ind w:left="0" w:right="0"/>
              <w:rPr>
                <w:rFonts w:hint="eastAsia" w:ascii="微软雅黑" w:hAnsi="微软雅黑" w:eastAsia="微软雅黑" w:cs="微软雅黑"/>
                <w:kern w:val="2"/>
                <w:sz w:val="18"/>
                <w:szCs w:val="18"/>
                <w:lang w:val="en-US" w:eastAsia="en-US" w:bidi="ar-SA"/>
              </w:rPr>
            </w:pPr>
            <w:r>
              <w:rPr>
                <w:rFonts w:hint="default"/>
                <w:spacing w:val="-10"/>
                <w:position w:val="-2"/>
              </w:rPr>
              <w:t>305-3</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9" w:beforeAutospacing="0" w:after="0" w:afterAutospacing="0" w:line="180" w:lineRule="exact"/>
              <w:ind w:left="29" w:leftChars="0" w:right="0"/>
              <w:rPr>
                <w:rFonts w:hint="eastAsia" w:ascii="微软雅黑" w:hAnsi="微软雅黑" w:eastAsia="微软雅黑" w:cs="微软雅黑"/>
                <w:kern w:val="2"/>
                <w:sz w:val="18"/>
                <w:szCs w:val="18"/>
                <w:lang w:val="en-US" w:eastAsia="en-US" w:bidi="ar-SA"/>
              </w:rPr>
            </w:pPr>
            <w:r>
              <w:rPr>
                <w:rFonts w:hint="default"/>
                <w:spacing w:val="-2"/>
                <w:position w:val="-1"/>
              </w:rPr>
              <w:t>封层</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0" w:right="0"/>
              <w:rPr>
                <w:rFonts w:hint="eastAsia" w:ascii="微软雅黑" w:hAnsi="微软雅黑" w:eastAsia="微软雅黑" w:cs="微软雅黑"/>
                <w:kern w:val="2"/>
                <w:sz w:val="18"/>
                <w:szCs w:val="18"/>
                <w:lang w:val="en-US" w:eastAsia="en-US" w:bidi="ar-SA"/>
              </w:rPr>
            </w:pPr>
            <w:r>
              <w:rPr>
                <w:rFonts w:hint="default"/>
                <w:spacing w:val="-7"/>
                <w:position w:val="-2"/>
              </w:rPr>
              <w:t>305-3-2</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5" w:beforeAutospacing="0" w:after="0" w:afterAutospacing="0" w:line="180" w:lineRule="exact"/>
              <w:ind w:left="32" w:leftChars="0" w:right="0"/>
              <w:rPr>
                <w:rFonts w:hint="eastAsia" w:ascii="微软雅黑" w:hAnsi="微软雅黑" w:eastAsia="微软雅黑" w:cs="微软雅黑"/>
                <w:kern w:val="2"/>
                <w:sz w:val="18"/>
                <w:szCs w:val="18"/>
                <w:lang w:val="en-US" w:eastAsia="en-US" w:bidi="ar-SA"/>
              </w:rPr>
            </w:pPr>
            <w:r>
              <w:rPr>
                <w:rFonts w:hint="default"/>
                <w:spacing w:val="-2"/>
                <w:position w:val="-1"/>
              </w:rPr>
              <w:t>乳化沥青封层</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385" w:leftChars="0" w:right="0"/>
              <w:rPr>
                <w:rFonts w:hint="eastAsia" w:ascii="微软雅黑" w:hAnsi="微软雅黑" w:eastAsia="微软雅黑" w:cs="微软雅黑"/>
                <w:kern w:val="2"/>
                <w:sz w:val="18"/>
                <w:szCs w:val="18"/>
                <w:lang w:val="en-US" w:eastAsia="en-US" w:bidi="ar-SA"/>
              </w:rPr>
            </w:pPr>
            <w:r>
              <w:rPr>
                <w:rFonts w:hint="default"/>
                <w:spacing w:val="-21"/>
                <w:w w:val="93"/>
                <w:position w:val="-2"/>
              </w:rPr>
              <w:t>m2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12"/>
                <w:position w:val="-2"/>
              </w:rPr>
              <w:t>161</w:t>
            </w:r>
            <w:r>
              <w:rPr>
                <w:rFonts w:hint="default"/>
                <w:spacing w:val="-11"/>
                <w:position w:val="-2"/>
              </w:rPr>
              <w:t>0.00</w:t>
            </w:r>
            <w:r>
              <w:rPr>
                <w:rFonts w:hint="default"/>
                <w:spacing w:val="-8"/>
                <w:position w:val="-2"/>
              </w:rPr>
              <w:t>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0" w:right="3" w:rightChars="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5" w:beforeAutospacing="0" w:after="0" w:afterAutospacing="0" w:line="150" w:lineRule="exact"/>
              <w:ind w:left="0" w:right="1"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0" w:right="0"/>
              <w:rPr>
                <w:rFonts w:hint="eastAsia" w:ascii="微软雅黑" w:hAnsi="微软雅黑" w:eastAsia="微软雅黑" w:cs="微软雅黑"/>
                <w:kern w:val="2"/>
                <w:sz w:val="18"/>
                <w:szCs w:val="18"/>
                <w:lang w:val="en-US" w:eastAsia="en-US" w:bidi="ar-SA"/>
              </w:rPr>
            </w:pPr>
            <w:r>
              <w:rPr>
                <w:rFonts w:hint="default"/>
                <w:spacing w:val="-13"/>
                <w:position w:val="-2"/>
              </w:rPr>
              <w:t>306</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5" w:beforeAutospacing="0" w:after="0" w:afterAutospacing="0" w:line="180" w:lineRule="exact"/>
              <w:ind w:left="30" w:leftChars="0" w:right="0"/>
              <w:rPr>
                <w:rFonts w:hint="eastAsia" w:ascii="微软雅黑" w:hAnsi="微软雅黑" w:eastAsia="微软雅黑" w:cs="微软雅黑"/>
                <w:kern w:val="2"/>
                <w:sz w:val="18"/>
                <w:szCs w:val="18"/>
                <w:lang w:val="en-US" w:eastAsia="en-US" w:bidi="ar-SA"/>
              </w:rPr>
            </w:pPr>
            <w:r>
              <w:rPr>
                <w:rFonts w:hint="default"/>
                <w:spacing w:val="-1"/>
                <w:position w:val="-1"/>
              </w:rPr>
              <w:t>沥青混凝土面层</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0" w:beforeAutospacing="0" w:after="0" w:afterAutospacing="0" w:line="149" w:lineRule="exact"/>
              <w:ind w:left="0" w:right="0"/>
              <w:rPr>
                <w:rFonts w:hint="eastAsia" w:ascii="微软雅黑" w:hAnsi="微软雅黑" w:eastAsia="微软雅黑" w:cs="微软雅黑"/>
                <w:kern w:val="2"/>
                <w:sz w:val="18"/>
                <w:szCs w:val="18"/>
                <w:lang w:val="en-US" w:eastAsia="en-US" w:bidi="ar-SA"/>
              </w:rPr>
            </w:pPr>
            <w:r>
              <w:rPr>
                <w:rFonts w:hint="default"/>
                <w:spacing w:val="-10"/>
                <w:position w:val="-2"/>
              </w:rPr>
              <w:t>306-2</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0" w:beforeAutospacing="0" w:after="0" w:afterAutospacing="0" w:line="179" w:lineRule="exact"/>
              <w:ind w:left="36" w:leftChars="0" w:right="0"/>
              <w:rPr>
                <w:rFonts w:hint="eastAsia" w:ascii="微软雅黑" w:hAnsi="微软雅黑" w:eastAsia="微软雅黑" w:cs="微软雅黑"/>
                <w:kern w:val="2"/>
                <w:sz w:val="18"/>
                <w:szCs w:val="18"/>
                <w:lang w:val="en-US" w:eastAsia="en-US" w:bidi="ar-SA"/>
              </w:rPr>
            </w:pPr>
            <w:r>
              <w:rPr>
                <w:rFonts w:hint="default"/>
                <w:spacing w:val="-2"/>
                <w:position w:val="-1"/>
              </w:rPr>
              <w:t>改性沥青混凝土面层</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6" w:beforeAutospacing="0" w:after="0" w:afterAutospacing="0" w:line="148" w:lineRule="exact"/>
              <w:ind w:left="0" w:right="0"/>
              <w:rPr>
                <w:rFonts w:hint="eastAsia" w:ascii="微软雅黑" w:hAnsi="微软雅黑" w:eastAsia="微软雅黑" w:cs="微软雅黑"/>
                <w:kern w:val="2"/>
                <w:sz w:val="18"/>
                <w:szCs w:val="18"/>
                <w:lang w:val="en-US" w:eastAsia="en-US" w:bidi="ar-SA"/>
              </w:rPr>
            </w:pPr>
            <w:r>
              <w:rPr>
                <w:rFonts w:hint="default"/>
                <w:spacing w:val="-7"/>
                <w:position w:val="-2"/>
              </w:rPr>
              <w:t>306-2-1</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6" w:beforeAutospacing="0" w:after="0" w:afterAutospacing="0" w:line="178" w:lineRule="exact"/>
              <w:ind w:left="32" w:leftChars="0" w:right="0"/>
              <w:rPr>
                <w:rFonts w:hint="eastAsia" w:ascii="微软雅黑" w:hAnsi="微软雅黑" w:eastAsia="微软雅黑" w:cs="微软雅黑"/>
                <w:kern w:val="2"/>
                <w:sz w:val="18"/>
                <w:szCs w:val="18"/>
                <w:lang w:val="en-US" w:eastAsia="en-US" w:bidi="ar-SA"/>
              </w:rPr>
            </w:pPr>
            <w:r>
              <w:rPr>
                <w:rFonts w:hint="default"/>
                <w:spacing w:val="-1"/>
                <w:position w:val="-1"/>
              </w:rPr>
              <w:t>细粒式改性沥青混凝土</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6" w:beforeAutospacing="0" w:after="0" w:afterAutospacing="0" w:line="148" w:lineRule="exact"/>
              <w:ind w:left="0" w:right="0"/>
              <w:rPr>
                <w:rFonts w:hint="eastAsia" w:ascii="微软雅黑" w:hAnsi="微软雅黑" w:eastAsia="微软雅黑" w:cs="微软雅黑"/>
                <w:kern w:val="2"/>
                <w:sz w:val="18"/>
                <w:szCs w:val="18"/>
                <w:lang w:val="en-US" w:eastAsia="en-US" w:bidi="ar-SA"/>
              </w:rPr>
            </w:pPr>
            <w:r>
              <w:rPr>
                <w:rFonts w:hint="default"/>
                <w:spacing w:val="-6"/>
                <w:position w:val="-2"/>
              </w:rPr>
              <w:t>306-2-1-3</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6" w:beforeAutospacing="0" w:after="0" w:afterAutospacing="0" w:line="178" w:lineRule="exact"/>
              <w:ind w:left="30" w:leftChars="0" w:right="0"/>
              <w:rPr>
                <w:rFonts w:hint="eastAsia" w:ascii="微软雅黑" w:hAnsi="微软雅黑" w:eastAsia="微软雅黑" w:cs="微软雅黑"/>
                <w:kern w:val="2"/>
                <w:sz w:val="18"/>
                <w:szCs w:val="18"/>
                <w:lang w:val="en-US" w:eastAsia="en-US" w:bidi="ar-SA"/>
              </w:rPr>
            </w:pPr>
            <w:r>
              <w:rPr>
                <w:rFonts w:hint="default"/>
                <w:spacing w:val="-14"/>
                <w:position w:val="-1"/>
              </w:rPr>
              <w:t>SMA-13沥青混凝土  厚5cm</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6" w:beforeAutospacing="0" w:after="0" w:afterAutospacing="0" w:line="148" w:lineRule="exact"/>
              <w:ind w:left="385" w:leftChars="0" w:right="0"/>
              <w:rPr>
                <w:rFonts w:hint="eastAsia" w:ascii="微软雅黑" w:hAnsi="微软雅黑" w:eastAsia="微软雅黑" w:cs="微软雅黑"/>
                <w:kern w:val="2"/>
                <w:sz w:val="18"/>
                <w:szCs w:val="18"/>
                <w:lang w:val="en-US" w:eastAsia="en-US" w:bidi="ar-SA"/>
              </w:rPr>
            </w:pPr>
            <w:r>
              <w:rPr>
                <w:rFonts w:hint="default"/>
                <w:spacing w:val="-21"/>
                <w:w w:val="93"/>
                <w:position w:val="-2"/>
              </w:rPr>
              <w:t>m2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6" w:beforeAutospacing="0" w:after="0" w:afterAutospacing="0" w:line="148"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10"/>
                <w:position w:val="-2"/>
              </w:rPr>
              <w:t>2</w:t>
            </w:r>
            <w:r>
              <w:rPr>
                <w:rFonts w:hint="default"/>
                <w:spacing w:val="-9"/>
                <w:position w:val="-2"/>
              </w:rPr>
              <w:t>096.30</w:t>
            </w:r>
            <w:r>
              <w:rPr>
                <w:rFonts w:hint="default"/>
                <w:spacing w:val="-8"/>
                <w:position w:val="-2"/>
              </w:rPr>
              <w:t>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6" w:beforeAutospacing="0" w:after="0" w:afterAutospacing="0" w:line="148"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6" w:beforeAutospacing="0" w:after="0" w:afterAutospacing="0" w:line="148" w:lineRule="exact"/>
              <w:ind w:left="0" w:right="4"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1" w:beforeAutospacing="0" w:after="0" w:afterAutospacing="0" w:line="148" w:lineRule="exact"/>
              <w:ind w:left="0" w:right="0"/>
              <w:rPr>
                <w:rFonts w:hint="eastAsia" w:ascii="微软雅黑" w:hAnsi="微软雅黑" w:eastAsia="微软雅黑" w:cs="微软雅黑"/>
                <w:kern w:val="2"/>
                <w:sz w:val="18"/>
                <w:szCs w:val="18"/>
                <w:lang w:val="en-US" w:eastAsia="en-US" w:bidi="ar-SA"/>
              </w:rPr>
            </w:pPr>
            <w:r>
              <w:rPr>
                <w:rFonts w:hint="default"/>
                <w:spacing w:val="-7"/>
                <w:position w:val="-2"/>
              </w:rPr>
              <w:t>306-2-2</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1" w:beforeAutospacing="0" w:after="0" w:afterAutospacing="0" w:line="178" w:lineRule="exact"/>
              <w:ind w:left="45" w:leftChars="0" w:right="0"/>
              <w:rPr>
                <w:rFonts w:hint="eastAsia" w:ascii="微软雅黑" w:hAnsi="微软雅黑" w:eastAsia="微软雅黑" w:cs="微软雅黑"/>
                <w:kern w:val="2"/>
                <w:sz w:val="18"/>
                <w:szCs w:val="18"/>
                <w:lang w:val="en-US" w:eastAsia="en-US" w:bidi="ar-SA"/>
              </w:rPr>
            </w:pPr>
            <w:r>
              <w:rPr>
                <w:rFonts w:hint="default"/>
                <w:spacing w:val="-3"/>
                <w:position w:val="-1"/>
              </w:rPr>
              <w:t>中粒式改性沥青混凝土</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0" w:right="0"/>
              <w:rPr>
                <w:rFonts w:hint="eastAsia" w:ascii="微软雅黑" w:hAnsi="微软雅黑" w:eastAsia="微软雅黑" w:cs="微软雅黑"/>
                <w:kern w:val="2"/>
                <w:sz w:val="18"/>
                <w:szCs w:val="18"/>
                <w:lang w:val="en-US" w:eastAsia="en-US" w:bidi="ar-SA"/>
              </w:rPr>
            </w:pPr>
            <w:r>
              <w:rPr>
                <w:rFonts w:hint="default"/>
                <w:spacing w:val="-6"/>
                <w:position w:val="-2"/>
              </w:rPr>
              <w:t>306-2-2-4</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7" w:beforeAutospacing="0" w:after="0" w:afterAutospacing="0" w:line="177" w:lineRule="exact"/>
              <w:ind w:left="27" w:leftChars="0" w:right="0"/>
              <w:rPr>
                <w:rFonts w:hint="eastAsia" w:ascii="微软雅黑" w:hAnsi="微软雅黑" w:eastAsia="微软雅黑" w:cs="微软雅黑"/>
                <w:kern w:val="2"/>
                <w:sz w:val="18"/>
                <w:szCs w:val="18"/>
                <w:lang w:val="en-US" w:eastAsia="en-US" w:bidi="ar-SA"/>
              </w:rPr>
            </w:pPr>
            <w:r>
              <w:rPr>
                <w:rFonts w:hint="default"/>
                <w:spacing w:val="-14"/>
                <w:position w:val="-1"/>
              </w:rPr>
              <w:t>GRAC-20大孔隙灌浆沥青砼  厚7</w:t>
            </w:r>
            <w:r>
              <w:rPr>
                <w:rFonts w:hint="default"/>
                <w:spacing w:val="-15"/>
                <w:position w:val="-1"/>
              </w:rPr>
              <w:t>0mm</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385" w:leftChars="0" w:right="0"/>
              <w:rPr>
                <w:rFonts w:hint="eastAsia" w:ascii="微软雅黑" w:hAnsi="微软雅黑" w:eastAsia="微软雅黑" w:cs="微软雅黑"/>
                <w:kern w:val="2"/>
                <w:sz w:val="18"/>
                <w:szCs w:val="18"/>
                <w:lang w:val="en-US" w:eastAsia="en-US" w:bidi="ar-SA"/>
              </w:rPr>
            </w:pPr>
            <w:r>
              <w:rPr>
                <w:rFonts w:hint="default"/>
                <w:spacing w:val="-21"/>
                <w:w w:val="93"/>
                <w:position w:val="-3"/>
              </w:rPr>
              <w:t>m2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12"/>
                <w:position w:val="-2"/>
              </w:rPr>
              <w:t>161</w:t>
            </w:r>
            <w:r>
              <w:rPr>
                <w:rFonts w:hint="default"/>
                <w:spacing w:val="-11"/>
                <w:position w:val="-2"/>
              </w:rPr>
              <w:t>0.00</w:t>
            </w:r>
            <w:r>
              <w:rPr>
                <w:rFonts w:hint="default"/>
                <w:spacing w:val="-8"/>
                <w:position w:val="-2"/>
              </w:rPr>
              <w:t>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7" w:beforeAutospacing="0" w:after="0" w:afterAutospacing="0" w:line="148" w:lineRule="exact"/>
              <w:ind w:left="0" w:right="4"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0" w:right="0"/>
              <w:rPr>
                <w:rFonts w:hint="eastAsia" w:ascii="微软雅黑" w:hAnsi="微软雅黑" w:eastAsia="微软雅黑" w:cs="微软雅黑"/>
                <w:kern w:val="2"/>
                <w:sz w:val="18"/>
                <w:szCs w:val="18"/>
                <w:lang w:val="en-US" w:eastAsia="en-US" w:bidi="ar-SA"/>
              </w:rPr>
            </w:pPr>
            <w:r>
              <w:rPr>
                <w:rFonts w:hint="default"/>
                <w:spacing w:val="-13"/>
                <w:position w:val="-2"/>
              </w:rPr>
              <w:t>307</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7" w:beforeAutospacing="0" w:after="0" w:afterAutospacing="0" w:line="177" w:lineRule="exact"/>
              <w:ind w:left="31" w:leftChars="0" w:right="0"/>
              <w:rPr>
                <w:rFonts w:hint="eastAsia" w:ascii="微软雅黑" w:hAnsi="微软雅黑" w:eastAsia="微软雅黑" w:cs="微软雅黑"/>
                <w:kern w:val="2"/>
                <w:sz w:val="18"/>
                <w:szCs w:val="18"/>
                <w:lang w:val="en-US" w:eastAsia="en-US" w:bidi="ar-SA"/>
              </w:rPr>
            </w:pPr>
            <w:r>
              <w:rPr>
                <w:rFonts w:hint="default"/>
                <w:spacing w:val="-2"/>
                <w:position w:val="-1"/>
              </w:rPr>
              <w:t>水泥混凝土面板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2" w:beforeAutospacing="0" w:after="0" w:afterAutospacing="0" w:line="147" w:lineRule="exact"/>
              <w:ind w:left="0" w:right="0"/>
              <w:rPr>
                <w:rFonts w:hint="eastAsia" w:ascii="微软雅黑" w:hAnsi="微软雅黑" w:eastAsia="微软雅黑" w:cs="微软雅黑"/>
                <w:kern w:val="2"/>
                <w:sz w:val="18"/>
                <w:szCs w:val="18"/>
                <w:lang w:val="en-US" w:eastAsia="en-US" w:bidi="ar-SA"/>
              </w:rPr>
            </w:pPr>
            <w:r>
              <w:rPr>
                <w:rFonts w:hint="default"/>
                <w:spacing w:val="-10"/>
                <w:position w:val="-2"/>
              </w:rPr>
              <w:t>307-1</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2" w:beforeAutospacing="0" w:after="0" w:afterAutospacing="0" w:line="177" w:lineRule="exact"/>
              <w:ind w:left="31" w:leftChars="0" w:right="0"/>
              <w:rPr>
                <w:rFonts w:hint="eastAsia" w:ascii="微软雅黑" w:hAnsi="微软雅黑" w:eastAsia="微软雅黑" w:cs="微软雅黑"/>
                <w:kern w:val="2"/>
                <w:sz w:val="18"/>
                <w:szCs w:val="18"/>
                <w:lang w:val="en-US" w:eastAsia="en-US" w:bidi="ar-SA"/>
              </w:rPr>
            </w:pPr>
            <w:r>
              <w:rPr>
                <w:rFonts w:hint="default"/>
                <w:spacing w:val="-2"/>
                <w:position w:val="-1"/>
              </w:rPr>
              <w:t>水泥混凝土面层</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8" w:beforeAutospacing="0" w:after="0" w:afterAutospacing="0" w:line="146" w:lineRule="exact"/>
              <w:ind w:left="0" w:right="0"/>
              <w:rPr>
                <w:rFonts w:hint="eastAsia" w:ascii="微软雅黑" w:hAnsi="微软雅黑" w:eastAsia="微软雅黑" w:cs="微软雅黑"/>
                <w:kern w:val="2"/>
                <w:sz w:val="18"/>
                <w:szCs w:val="18"/>
                <w:lang w:val="en-US" w:eastAsia="en-US" w:bidi="ar-SA"/>
              </w:rPr>
            </w:pPr>
            <w:r>
              <w:rPr>
                <w:rFonts w:hint="default"/>
                <w:spacing w:val="-7"/>
                <w:position w:val="-2"/>
              </w:rPr>
              <w:t>307-1-1</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8" w:beforeAutospacing="0" w:after="0" w:afterAutospacing="0" w:line="177" w:lineRule="exact"/>
              <w:ind w:left="28" w:leftChars="0" w:right="0"/>
              <w:rPr>
                <w:rFonts w:hint="eastAsia" w:ascii="微软雅黑" w:hAnsi="微软雅黑" w:eastAsia="微软雅黑" w:cs="微软雅黑"/>
                <w:kern w:val="2"/>
                <w:sz w:val="18"/>
                <w:szCs w:val="18"/>
                <w:lang w:val="en-US" w:eastAsia="en-US" w:bidi="ar-SA"/>
              </w:rPr>
            </w:pPr>
            <w:r>
              <w:rPr>
                <w:rFonts w:hint="default"/>
                <w:spacing w:val="-12"/>
                <w:position w:val="-1"/>
              </w:rPr>
              <w:t>C30混凝土</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8" w:beforeAutospacing="0" w:after="0" w:afterAutospacing="0" w:line="146" w:lineRule="exact"/>
              <w:ind w:left="385" w:leftChars="0" w:right="0"/>
              <w:rPr>
                <w:rFonts w:hint="eastAsia" w:ascii="微软雅黑" w:hAnsi="微软雅黑" w:eastAsia="微软雅黑" w:cs="微软雅黑"/>
                <w:kern w:val="2"/>
                <w:sz w:val="18"/>
                <w:szCs w:val="18"/>
                <w:lang w:val="en-US" w:eastAsia="en-US" w:bidi="ar-SA"/>
              </w:rPr>
            </w:pPr>
            <w:r>
              <w:rPr>
                <w:rFonts w:hint="default"/>
                <w:spacing w:val="-25"/>
                <w:w w:val="96"/>
                <w:position w:val="-2"/>
              </w:rPr>
              <w:t>m3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8" w:beforeAutospacing="0" w:after="0" w:afterAutospacing="0" w:line="146"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10"/>
                <w:position w:val="-2"/>
              </w:rPr>
              <w:t>1</w:t>
            </w:r>
            <w:r>
              <w:rPr>
                <w:rFonts w:hint="default"/>
                <w:spacing w:val="-9"/>
                <w:position w:val="-2"/>
              </w:rPr>
              <w:t>9.47</w:t>
            </w:r>
            <w:r>
              <w:rPr>
                <w:rFonts w:hint="default"/>
                <w:spacing w:val="-8"/>
                <w:position w:val="-2"/>
              </w:rPr>
              <w:t>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8" w:beforeAutospacing="0" w:after="0" w:afterAutospacing="0" w:line="146"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8" w:beforeAutospacing="0" w:after="0" w:afterAutospacing="0" w:line="146" w:lineRule="exact"/>
              <w:ind w:left="0" w:right="1"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8" w:beforeAutospacing="0" w:after="0" w:afterAutospacing="0" w:line="146" w:lineRule="exact"/>
              <w:ind w:left="0" w:right="0"/>
              <w:rPr>
                <w:rFonts w:hint="eastAsia" w:ascii="微软雅黑" w:hAnsi="微软雅黑" w:eastAsia="微软雅黑" w:cs="微软雅黑"/>
                <w:kern w:val="2"/>
                <w:sz w:val="18"/>
                <w:szCs w:val="18"/>
                <w:lang w:val="en-US" w:eastAsia="en-US" w:bidi="ar-SA"/>
              </w:rPr>
            </w:pPr>
            <w:r>
              <w:rPr>
                <w:rFonts w:hint="default"/>
                <w:spacing w:val="-13"/>
                <w:position w:val="-2"/>
              </w:rPr>
              <w:t>309</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8" w:beforeAutospacing="0" w:after="0" w:afterAutospacing="0" w:line="177" w:lineRule="exact"/>
              <w:ind w:left="31" w:leftChars="0" w:right="0"/>
              <w:rPr>
                <w:rFonts w:hint="eastAsia" w:ascii="微软雅黑" w:hAnsi="微软雅黑" w:eastAsia="微软雅黑" w:cs="微软雅黑"/>
                <w:kern w:val="2"/>
                <w:sz w:val="18"/>
                <w:szCs w:val="18"/>
                <w:lang w:val="en-US" w:eastAsia="en-US" w:bidi="ar-SA"/>
              </w:rPr>
            </w:pPr>
            <w:r>
              <w:rPr>
                <w:rFonts w:hint="default"/>
                <w:spacing w:val="-1"/>
                <w:position w:val="-1"/>
              </w:rPr>
              <w:t>路槽、路肩及中央分隔带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3" w:beforeAutospacing="0" w:after="0" w:afterAutospacing="0" w:line="146" w:lineRule="exact"/>
              <w:ind w:left="0" w:right="0"/>
              <w:rPr>
                <w:rFonts w:hint="eastAsia" w:ascii="微软雅黑" w:hAnsi="微软雅黑" w:eastAsia="微软雅黑" w:cs="微软雅黑"/>
                <w:kern w:val="2"/>
                <w:sz w:val="18"/>
                <w:szCs w:val="18"/>
                <w:lang w:val="en-US" w:eastAsia="en-US" w:bidi="ar-SA"/>
              </w:rPr>
            </w:pPr>
            <w:r>
              <w:rPr>
                <w:rFonts w:hint="default"/>
                <w:spacing w:val="-10"/>
                <w:position w:val="-2"/>
              </w:rPr>
              <w:t>309-1</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3" w:beforeAutospacing="0" w:after="0" w:afterAutospacing="0" w:line="176" w:lineRule="exact"/>
              <w:ind w:left="31" w:leftChars="0" w:right="0"/>
              <w:rPr>
                <w:rFonts w:hint="eastAsia" w:ascii="微软雅黑" w:hAnsi="微软雅黑" w:eastAsia="微软雅黑" w:cs="微软雅黑"/>
                <w:kern w:val="2"/>
                <w:sz w:val="18"/>
                <w:szCs w:val="18"/>
                <w:lang w:val="en-US" w:eastAsia="en-US" w:bidi="ar-SA"/>
              </w:rPr>
            </w:pPr>
            <w:r>
              <w:rPr>
                <w:rFonts w:hint="default"/>
                <w:spacing w:val="-2"/>
                <w:position w:val="-1"/>
              </w:rPr>
              <w:t>路肩培土</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3" w:beforeAutospacing="0" w:after="0" w:afterAutospacing="0" w:line="146" w:lineRule="exact"/>
              <w:ind w:left="385" w:leftChars="0" w:right="0"/>
              <w:rPr>
                <w:rFonts w:hint="eastAsia" w:ascii="微软雅黑" w:hAnsi="微软雅黑" w:eastAsia="微软雅黑" w:cs="微软雅黑"/>
                <w:kern w:val="2"/>
                <w:sz w:val="18"/>
                <w:szCs w:val="18"/>
                <w:lang w:val="en-US" w:eastAsia="en-US" w:bidi="ar-SA"/>
              </w:rPr>
            </w:pPr>
            <w:r>
              <w:rPr>
                <w:rFonts w:hint="default"/>
                <w:spacing w:val="-25"/>
                <w:w w:val="96"/>
                <w:position w:val="-2"/>
              </w:rPr>
              <w:t>m3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3" w:beforeAutospacing="0" w:after="0" w:afterAutospacing="0" w:line="146"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7"/>
                <w:position w:val="-2"/>
              </w:rPr>
              <w:t>22.500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3" w:beforeAutospacing="0" w:after="0" w:afterAutospacing="0" w:line="146" w:lineRule="exact"/>
              <w:ind w:left="0" w:right="2" w:rightChars="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73" w:beforeAutospacing="0" w:after="0" w:afterAutospacing="0" w:line="146" w:lineRule="exact"/>
              <w:ind w:left="0" w:right="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9" w:beforeAutospacing="0" w:after="0" w:afterAutospacing="0" w:line="146" w:lineRule="exact"/>
              <w:ind w:left="0" w:right="0"/>
              <w:rPr>
                <w:rFonts w:hint="eastAsia" w:ascii="微软雅黑" w:hAnsi="微软雅黑" w:eastAsia="微软雅黑" w:cs="微软雅黑"/>
                <w:kern w:val="2"/>
                <w:sz w:val="18"/>
                <w:szCs w:val="18"/>
                <w:lang w:val="en-US" w:eastAsia="en-US" w:bidi="ar-SA"/>
              </w:rPr>
            </w:pPr>
            <w:r>
              <w:rPr>
                <w:rFonts w:hint="default"/>
                <w:spacing w:val="-10"/>
                <w:position w:val="-2"/>
              </w:rPr>
              <w:t>309-4</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9" w:beforeAutospacing="0" w:after="0" w:afterAutospacing="0" w:line="176" w:lineRule="exact"/>
              <w:ind w:left="31" w:leftChars="0" w:right="0"/>
              <w:rPr>
                <w:rFonts w:hint="eastAsia" w:ascii="微软雅黑" w:hAnsi="微软雅黑" w:eastAsia="微软雅黑" w:cs="微软雅黑"/>
                <w:kern w:val="2"/>
                <w:sz w:val="18"/>
                <w:szCs w:val="18"/>
                <w:lang w:val="en-US" w:eastAsia="en-US" w:bidi="ar-SA"/>
              </w:rPr>
            </w:pPr>
            <w:r>
              <w:rPr>
                <w:rFonts w:hint="default"/>
                <w:spacing w:val="-2"/>
                <w:position w:val="-1"/>
              </w:rPr>
              <w:t>路缘石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9" w:beforeAutospacing="0" w:after="0" w:afterAutospacing="0" w:line="146" w:lineRule="exact"/>
              <w:ind w:left="0" w:right="0"/>
              <w:rPr>
                <w:rFonts w:hint="eastAsia" w:ascii="微软雅黑" w:hAnsi="微软雅黑" w:eastAsia="微软雅黑" w:cs="微软雅黑"/>
                <w:kern w:val="2"/>
                <w:sz w:val="18"/>
                <w:szCs w:val="18"/>
                <w:lang w:val="en-US" w:eastAsia="en-US" w:bidi="ar-SA"/>
              </w:rPr>
            </w:pPr>
            <w:r>
              <w:rPr>
                <w:rFonts w:hint="default"/>
                <w:spacing w:val="-7"/>
                <w:position w:val="-2"/>
              </w:rPr>
              <w:t>309-4-3</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9" w:beforeAutospacing="0" w:after="0" w:afterAutospacing="0" w:line="176" w:lineRule="exact"/>
              <w:ind w:left="29" w:leftChars="0" w:right="0"/>
              <w:rPr>
                <w:rFonts w:hint="eastAsia" w:ascii="微软雅黑" w:hAnsi="微软雅黑" w:eastAsia="微软雅黑" w:cs="微软雅黑"/>
                <w:kern w:val="2"/>
                <w:sz w:val="18"/>
                <w:szCs w:val="18"/>
                <w:lang w:val="en-US" w:eastAsia="en-US" w:bidi="ar-SA"/>
              </w:rPr>
            </w:pPr>
            <w:r>
              <w:rPr>
                <w:rFonts w:hint="default"/>
                <w:spacing w:val="-2"/>
                <w:position w:val="-1"/>
              </w:rPr>
              <w:t>其他路缘石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4" w:beforeAutospacing="0" w:after="0" w:afterAutospacing="0" w:line="145" w:lineRule="exact"/>
              <w:ind w:left="0" w:right="0"/>
              <w:rPr>
                <w:rFonts w:hint="eastAsia" w:ascii="微软雅黑" w:hAnsi="微软雅黑" w:eastAsia="微软雅黑" w:cs="微软雅黑"/>
                <w:kern w:val="2"/>
                <w:sz w:val="18"/>
                <w:szCs w:val="18"/>
                <w:lang w:val="en-US" w:eastAsia="en-US" w:bidi="ar-SA"/>
              </w:rPr>
            </w:pPr>
            <w:r>
              <w:rPr>
                <w:rFonts w:hint="default"/>
                <w:spacing w:val="-6"/>
                <w:position w:val="-2"/>
              </w:rPr>
              <w:t>309-4-3-1</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4" w:beforeAutospacing="0" w:after="0" w:afterAutospacing="0" w:line="175" w:lineRule="exact"/>
              <w:ind w:left="30" w:leftChars="0" w:right="0"/>
              <w:rPr>
                <w:rFonts w:hint="eastAsia" w:ascii="微软雅黑" w:hAnsi="微软雅黑" w:eastAsia="微软雅黑" w:cs="微软雅黑"/>
                <w:kern w:val="2"/>
                <w:sz w:val="18"/>
                <w:szCs w:val="18"/>
                <w:lang w:val="en-US" w:eastAsia="en-US" w:bidi="ar-SA"/>
              </w:rPr>
            </w:pPr>
            <w:r>
              <w:rPr>
                <w:rFonts w:hint="default"/>
                <w:spacing w:val="-10"/>
                <w:position w:val="-1"/>
              </w:rPr>
              <w:t>花岗岩</w:t>
            </w:r>
            <w:r>
              <w:rPr>
                <w:rFonts w:hint="default"/>
                <w:spacing w:val="51"/>
                <w:position w:val="-1"/>
              </w:rPr>
              <w:t xml:space="preserve"> </w:t>
            </w:r>
            <w:r>
              <w:rPr>
                <w:rFonts w:hint="default"/>
                <w:spacing w:val="-10"/>
                <w:position w:val="-1"/>
              </w:rPr>
              <w:t>450*150*1000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4" w:beforeAutospacing="0" w:after="0" w:afterAutospacing="0" w:line="145" w:lineRule="exact"/>
              <w:ind w:left="385" w:leftChars="0" w:right="0"/>
              <w:rPr>
                <w:rFonts w:hint="eastAsia" w:ascii="微软雅黑" w:hAnsi="微软雅黑" w:eastAsia="微软雅黑" w:cs="微软雅黑"/>
                <w:kern w:val="2"/>
                <w:sz w:val="18"/>
                <w:szCs w:val="18"/>
                <w:lang w:val="en-US" w:eastAsia="en-US" w:bidi="ar-SA"/>
              </w:rPr>
            </w:pPr>
            <w:r>
              <w:rPr>
                <w:rFonts w:hint="default"/>
                <w:spacing w:val="-25"/>
                <w:w w:val="96"/>
                <w:position w:val="-2"/>
              </w:rPr>
              <w:t>m3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4" w:beforeAutospacing="0" w:after="0" w:afterAutospacing="0" w:line="145" w:lineRule="exact"/>
              <w:ind w:left="0" w:right="1" w:rightChars="0"/>
              <w:jc w:val="right"/>
              <w:rPr>
                <w:rFonts w:hint="eastAsia" w:ascii="微软雅黑" w:hAnsi="微软雅黑" w:eastAsia="微软雅黑" w:cs="微软雅黑"/>
                <w:kern w:val="2"/>
                <w:sz w:val="18"/>
                <w:szCs w:val="18"/>
                <w:lang w:val="en-US" w:eastAsia="en-US" w:bidi="ar-SA"/>
              </w:rPr>
            </w:pPr>
            <w:r>
              <w:rPr>
                <w:rFonts w:hint="default"/>
                <w:spacing w:val="-5"/>
                <w:position w:val="-2"/>
              </w:rPr>
              <w:t>3.573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4" w:beforeAutospacing="0" w:after="0" w:afterAutospacing="0" w:line="145"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74" w:beforeAutospacing="0" w:after="0" w:afterAutospacing="0" w:line="145" w:lineRule="exact"/>
              <w:ind w:left="0" w:right="4"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0" w:beforeAutospacing="0" w:after="0" w:afterAutospacing="0" w:line="145" w:lineRule="exact"/>
              <w:ind w:left="0" w:right="0"/>
              <w:rPr>
                <w:rFonts w:hint="eastAsia" w:ascii="微软雅黑" w:hAnsi="微软雅黑" w:eastAsia="微软雅黑" w:cs="微软雅黑"/>
                <w:kern w:val="2"/>
                <w:sz w:val="18"/>
                <w:szCs w:val="18"/>
                <w:lang w:val="en-US" w:eastAsia="en-US" w:bidi="ar-SA"/>
              </w:rPr>
            </w:pPr>
            <w:r>
              <w:rPr>
                <w:rFonts w:hint="default"/>
                <w:spacing w:val="-13"/>
                <w:position w:val="-2"/>
              </w:rPr>
              <w:t>310</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0" w:beforeAutospacing="0" w:after="0" w:afterAutospacing="0" w:line="175" w:lineRule="exact"/>
              <w:ind w:left="31" w:leftChars="0" w:right="0"/>
              <w:rPr>
                <w:rFonts w:hint="eastAsia" w:ascii="微软雅黑" w:hAnsi="微软雅黑" w:eastAsia="微软雅黑" w:cs="微软雅黑"/>
                <w:kern w:val="2"/>
                <w:sz w:val="18"/>
                <w:szCs w:val="18"/>
                <w:lang w:val="en-US" w:eastAsia="en-US" w:bidi="ar-SA"/>
              </w:rPr>
            </w:pPr>
            <w:r>
              <w:rPr>
                <w:rFonts w:hint="default"/>
                <w:spacing w:val="-2"/>
                <w:position w:val="-1"/>
              </w:rPr>
              <w:t>路面排水</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5" w:beforeAutospacing="0" w:after="0" w:afterAutospacing="0" w:line="144" w:lineRule="exact"/>
              <w:ind w:left="0" w:right="0"/>
              <w:rPr>
                <w:rFonts w:hint="eastAsia" w:ascii="微软雅黑" w:hAnsi="微软雅黑" w:eastAsia="微软雅黑" w:cs="微软雅黑"/>
                <w:kern w:val="2"/>
                <w:sz w:val="18"/>
                <w:szCs w:val="18"/>
                <w:lang w:val="en-US" w:eastAsia="en-US" w:bidi="ar-SA"/>
              </w:rPr>
            </w:pPr>
            <w:r>
              <w:rPr>
                <w:rFonts w:hint="default"/>
                <w:spacing w:val="-10"/>
                <w:position w:val="-3"/>
              </w:rPr>
              <w:t>310-1</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5" w:beforeAutospacing="0" w:after="0" w:afterAutospacing="0" w:line="174" w:lineRule="exact"/>
              <w:ind w:left="30" w:leftChars="0" w:right="0"/>
              <w:rPr>
                <w:rFonts w:hint="eastAsia" w:ascii="微软雅黑" w:hAnsi="微软雅黑" w:eastAsia="微软雅黑" w:cs="微软雅黑"/>
                <w:kern w:val="2"/>
                <w:sz w:val="18"/>
                <w:szCs w:val="18"/>
                <w:lang w:val="en-US" w:eastAsia="en-US" w:bidi="ar-SA"/>
              </w:rPr>
            </w:pPr>
            <w:r>
              <w:rPr>
                <w:rFonts w:hint="default"/>
                <w:spacing w:val="-2"/>
                <w:position w:val="-1"/>
              </w:rPr>
              <w:t>排水管</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1" w:beforeAutospacing="0" w:after="0" w:afterAutospacing="0" w:line="143" w:lineRule="exact"/>
              <w:ind w:left="0" w:right="0"/>
              <w:rPr>
                <w:rFonts w:hint="eastAsia" w:ascii="微软雅黑" w:hAnsi="微软雅黑" w:eastAsia="微软雅黑" w:cs="微软雅黑"/>
                <w:kern w:val="2"/>
                <w:sz w:val="18"/>
                <w:szCs w:val="18"/>
                <w:lang w:val="en-US" w:eastAsia="en-US" w:bidi="ar-SA"/>
              </w:rPr>
            </w:pPr>
            <w:r>
              <w:rPr>
                <w:rFonts w:hint="default"/>
                <w:spacing w:val="-7"/>
                <w:position w:val="-3"/>
              </w:rPr>
              <w:t>310-1-3</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1" w:beforeAutospacing="0" w:after="0" w:afterAutospacing="0" w:line="173" w:lineRule="exact"/>
              <w:ind w:left="25" w:leftChars="0" w:right="0"/>
              <w:rPr>
                <w:rFonts w:hint="eastAsia" w:ascii="微软雅黑" w:hAnsi="微软雅黑" w:eastAsia="微软雅黑" w:cs="微软雅黑"/>
                <w:kern w:val="2"/>
                <w:sz w:val="18"/>
                <w:szCs w:val="18"/>
                <w:lang w:val="en-US" w:eastAsia="en-US" w:bidi="ar-SA"/>
              </w:rPr>
            </w:pPr>
            <w:r>
              <w:rPr>
                <w:rFonts w:hint="default"/>
                <w:spacing w:val="-12"/>
                <w:position w:val="-1"/>
              </w:rPr>
              <w:t>HDPE双壁波纹排水管</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1" w:beforeAutospacing="0" w:after="0" w:afterAutospacing="0" w:line="143" w:lineRule="exact"/>
              <w:ind w:left="0" w:right="0"/>
              <w:rPr>
                <w:rFonts w:hint="eastAsia" w:ascii="微软雅黑" w:hAnsi="微软雅黑" w:eastAsia="微软雅黑" w:cs="微软雅黑"/>
                <w:kern w:val="2"/>
                <w:sz w:val="18"/>
                <w:szCs w:val="18"/>
                <w:lang w:val="en-US" w:eastAsia="en-US" w:bidi="ar-SA"/>
              </w:rPr>
            </w:pPr>
            <w:r>
              <w:rPr>
                <w:rFonts w:hint="default"/>
                <w:spacing w:val="-6"/>
                <w:position w:val="-3"/>
              </w:rPr>
              <w:t>310-1-3-3</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1" w:beforeAutospacing="0" w:after="0" w:afterAutospacing="0" w:line="143" w:lineRule="exact"/>
              <w:ind w:left="26" w:leftChars="0" w:right="0"/>
              <w:rPr>
                <w:rFonts w:hint="eastAsia" w:ascii="微软雅黑" w:hAnsi="微软雅黑" w:eastAsia="微软雅黑" w:cs="微软雅黑"/>
                <w:kern w:val="2"/>
                <w:sz w:val="18"/>
                <w:szCs w:val="18"/>
                <w:lang w:val="en-US" w:eastAsia="en-US" w:bidi="ar-SA"/>
              </w:rPr>
            </w:pPr>
            <w:r>
              <w:rPr>
                <w:rFonts w:hint="default"/>
                <w:spacing w:val="-15"/>
                <w:w w:val="86"/>
                <w:position w:val="-3"/>
              </w:rPr>
              <w:t>D400mm</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1" w:beforeAutospacing="0" w:after="0" w:afterAutospacing="0" w:line="173" w:lineRule="exact"/>
              <w:ind w:left="430" w:leftChars="0" w:right="0"/>
              <w:rPr>
                <w:rFonts w:hint="eastAsia" w:ascii="微软雅黑" w:hAnsi="微软雅黑" w:eastAsia="微软雅黑" w:cs="微软雅黑"/>
                <w:kern w:val="2"/>
                <w:sz w:val="18"/>
                <w:szCs w:val="18"/>
                <w:lang w:val="en-US" w:eastAsia="en-US" w:bidi="ar-SA"/>
              </w:rPr>
            </w:pPr>
            <w:r>
              <w:rPr>
                <w:rFonts w:hint="default"/>
              </w:rPr>
              <w:t>m</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1" w:beforeAutospacing="0" w:after="0" w:afterAutospacing="0" w:line="143"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11"/>
                <w:position w:val="-3"/>
              </w:rPr>
              <w:t>15</w:t>
            </w:r>
            <w:r>
              <w:rPr>
                <w:rFonts w:hint="default"/>
                <w:spacing w:val="-10"/>
                <w:position w:val="-3"/>
              </w:rPr>
              <w:t>0.00</w:t>
            </w:r>
            <w:r>
              <w:rPr>
                <w:rFonts w:hint="default"/>
                <w:spacing w:val="-8"/>
                <w:position w:val="-3"/>
              </w:rPr>
              <w:t>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1" w:beforeAutospacing="0" w:after="0" w:afterAutospacing="0" w:line="143"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61" w:beforeAutospacing="0" w:after="0" w:afterAutospacing="0" w:line="143" w:lineRule="exact"/>
              <w:ind w:left="0" w:right="3"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6" w:beforeAutospacing="0" w:after="0" w:afterAutospacing="0" w:line="143" w:lineRule="exact"/>
              <w:ind w:left="0" w:right="0"/>
              <w:rPr>
                <w:rFonts w:hint="eastAsia" w:ascii="微软雅黑" w:hAnsi="微软雅黑" w:eastAsia="微软雅黑" w:cs="微软雅黑"/>
                <w:kern w:val="2"/>
                <w:sz w:val="18"/>
                <w:szCs w:val="18"/>
                <w:lang w:val="en-US" w:eastAsia="en-US" w:bidi="ar-SA"/>
              </w:rPr>
            </w:pPr>
            <w:r>
              <w:rPr>
                <w:rFonts w:hint="default"/>
                <w:spacing w:val="-10"/>
                <w:position w:val="-3"/>
              </w:rPr>
              <w:t>310-4</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6" w:beforeAutospacing="0" w:after="0" w:afterAutospacing="0" w:line="173" w:lineRule="exact"/>
              <w:ind w:left="29" w:leftChars="0" w:right="0"/>
              <w:rPr>
                <w:rFonts w:hint="eastAsia" w:ascii="微软雅黑" w:hAnsi="微软雅黑" w:eastAsia="微软雅黑" w:cs="微软雅黑"/>
                <w:kern w:val="2"/>
                <w:sz w:val="18"/>
                <w:szCs w:val="18"/>
                <w:lang w:val="en-US" w:eastAsia="en-US" w:bidi="ar-SA"/>
              </w:rPr>
            </w:pPr>
            <w:r>
              <w:rPr>
                <w:rFonts w:hint="default"/>
                <w:spacing w:val="-7"/>
                <w:position w:val="-1"/>
              </w:rPr>
              <w:t>现浇混凝土集水井</w:t>
            </w:r>
            <w:r>
              <w:rPr>
                <w:rFonts w:hint="default"/>
                <w:spacing w:val="11"/>
                <w:position w:val="-1"/>
              </w:rPr>
              <w:t xml:space="preserve">   </w:t>
            </w:r>
            <w:r>
              <w:rPr>
                <w:rFonts w:hint="default"/>
                <w:spacing w:val="-7"/>
                <w:position w:val="-1"/>
              </w:rPr>
              <w:t>700*700*800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6" w:beforeAutospacing="0" w:after="0" w:afterAutospacing="0" w:line="173" w:lineRule="exact"/>
              <w:ind w:left="388" w:leftChars="0" w:right="0"/>
              <w:rPr>
                <w:rFonts w:hint="eastAsia" w:ascii="微软雅黑" w:hAnsi="微软雅黑" w:eastAsia="微软雅黑" w:cs="微软雅黑"/>
                <w:kern w:val="2"/>
                <w:sz w:val="18"/>
                <w:szCs w:val="18"/>
                <w:lang w:val="en-US" w:eastAsia="en-US" w:bidi="ar-SA"/>
              </w:rPr>
            </w:pPr>
            <w:r>
              <w:rPr>
                <w:rFonts w:hint="default"/>
                <w:position w:val="-1"/>
              </w:rPr>
              <w:t>座</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6" w:beforeAutospacing="0" w:after="0" w:afterAutospacing="0" w:line="143" w:lineRule="exact"/>
              <w:ind w:left="0" w:right="1" w:rightChars="0"/>
              <w:jc w:val="right"/>
              <w:rPr>
                <w:rFonts w:hint="eastAsia" w:ascii="微软雅黑" w:hAnsi="微软雅黑" w:eastAsia="微软雅黑" w:cs="微软雅黑"/>
                <w:kern w:val="2"/>
                <w:sz w:val="18"/>
                <w:szCs w:val="18"/>
                <w:lang w:val="en-US" w:eastAsia="en-US" w:bidi="ar-SA"/>
              </w:rPr>
            </w:pPr>
            <w:r>
              <w:rPr>
                <w:rFonts w:hint="default"/>
                <w:spacing w:val="-5"/>
                <w:position w:val="-3"/>
              </w:rPr>
              <w:t>5.000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6" w:beforeAutospacing="0" w:after="0" w:afterAutospacing="0" w:line="143"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76" w:beforeAutospacing="0" w:after="0" w:afterAutospacing="0" w:line="143" w:lineRule="exact"/>
              <w:ind w:left="0" w:right="3"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34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36" w:type="dxa"/>
            <w:gridSpan w:val="2"/>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清单 第300章 合计</w:t>
            </w:r>
          </w:p>
        </w:tc>
        <w:tc>
          <w:tcPr>
            <w:tcW w:w="4579" w:type="dxa"/>
            <w:gridSpan w:val="4"/>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人民币</w:t>
            </w:r>
          </w:p>
        </w:tc>
      </w:tr>
    </w:tbl>
    <w:p>
      <w:pPr>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rPr>
          <w:rFonts w:hint="default" w:ascii="宋体" w:hAnsi="宋体" w:cs="宋体"/>
          <w:color w:val="auto"/>
          <w:sz w:val="21"/>
          <w:szCs w:val="21"/>
          <w:highlight w:val="none"/>
          <w:lang w:val="en-US" w:eastAsia="zh-CN"/>
        </w:rPr>
      </w:pPr>
    </w:p>
    <w:tbl>
      <w:tblPr>
        <w:tblStyle w:val="24"/>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9"/>
        <w:gridCol w:w="3767"/>
        <w:gridCol w:w="995"/>
        <w:gridCol w:w="1194"/>
        <w:gridCol w:w="1195"/>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9615"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48"/>
                <w:szCs w:val="48"/>
                <w:highlight w:val="none"/>
                <w:u w:val="none"/>
              </w:rPr>
            </w:pPr>
            <w:r>
              <w:rPr>
                <w:rFonts w:hint="eastAsia" w:ascii="宋体" w:hAnsi="宋体" w:eastAsia="宋体" w:cs="宋体"/>
                <w:b/>
                <w:bCs/>
                <w:i w:val="0"/>
                <w:iCs w:val="0"/>
                <w:color w:val="auto"/>
                <w:kern w:val="0"/>
                <w:sz w:val="48"/>
                <w:szCs w:val="48"/>
                <w:highlight w:val="none"/>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225" w:type="dxa"/>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 段：2024年省级挂牌治理道路交通事故多发点段（S322临石线K71+600永安路口）整治工程</w:t>
            </w:r>
          </w:p>
        </w:tc>
        <w:tc>
          <w:tcPr>
            <w:tcW w:w="2390"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货币单位：人民币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615" w:type="dxa"/>
            <w:gridSpan w:val="6"/>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6"/>
                <w:szCs w:val="26"/>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清单   第600章     安全设施及预埋管线工程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细目号</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细目名称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计量单位</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工程数量</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单价</w:t>
            </w: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0" w:beforeAutospacing="0" w:after="0" w:afterAutospacing="0" w:line="154" w:lineRule="exact"/>
              <w:ind w:left="510" w:leftChars="0" w:right="0"/>
              <w:rPr>
                <w:rFonts w:hint="eastAsia" w:ascii="微软雅黑" w:hAnsi="微软雅黑" w:eastAsia="微软雅黑" w:cs="微软雅黑"/>
                <w:kern w:val="2"/>
                <w:sz w:val="18"/>
                <w:szCs w:val="18"/>
                <w:lang w:val="en-US" w:eastAsia="en-US" w:bidi="ar-SA"/>
              </w:rPr>
            </w:pPr>
            <w:r>
              <w:rPr>
                <w:rFonts w:hint="default"/>
                <w:spacing w:val="-13"/>
                <w:position w:val="-2"/>
              </w:rPr>
              <w:t>602</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0" w:beforeAutospacing="0" w:after="0" w:afterAutospacing="0" w:line="184" w:lineRule="exact"/>
              <w:ind w:left="30" w:leftChars="0" w:right="0"/>
              <w:rPr>
                <w:rFonts w:hint="eastAsia" w:ascii="微软雅黑" w:hAnsi="微软雅黑" w:eastAsia="微软雅黑" w:cs="微软雅黑"/>
                <w:kern w:val="2"/>
                <w:sz w:val="18"/>
                <w:szCs w:val="18"/>
                <w:lang w:val="en-US" w:eastAsia="en-US" w:bidi="ar-SA"/>
              </w:rPr>
            </w:pPr>
            <w:r>
              <w:rPr>
                <w:rFonts w:hint="default"/>
                <w:spacing w:val="-2"/>
                <w:position w:val="-1"/>
              </w:rPr>
              <w:t>护栏</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6" w:beforeAutospacing="0" w:after="0" w:afterAutospacing="0" w:line="153" w:lineRule="exact"/>
              <w:ind w:left="420" w:leftChars="0" w:right="0"/>
              <w:rPr>
                <w:rFonts w:hint="eastAsia" w:ascii="微软雅黑" w:hAnsi="微软雅黑" w:eastAsia="微软雅黑" w:cs="微软雅黑"/>
                <w:kern w:val="2"/>
                <w:sz w:val="18"/>
                <w:szCs w:val="18"/>
                <w:lang w:val="en-US" w:eastAsia="en-US" w:bidi="ar-SA"/>
              </w:rPr>
            </w:pPr>
            <w:r>
              <w:rPr>
                <w:rFonts w:hint="default"/>
                <w:spacing w:val="-9"/>
                <w:position w:val="-2"/>
              </w:rPr>
              <w:t>602-6</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6" w:beforeAutospacing="0" w:after="0" w:afterAutospacing="0" w:line="183" w:lineRule="exact"/>
              <w:ind w:left="31" w:leftChars="0" w:right="0"/>
              <w:rPr>
                <w:rFonts w:hint="eastAsia" w:ascii="微软雅黑" w:hAnsi="微软雅黑" w:eastAsia="微软雅黑" w:cs="微软雅黑"/>
                <w:kern w:val="2"/>
                <w:sz w:val="18"/>
                <w:szCs w:val="18"/>
                <w:lang w:val="en-US" w:eastAsia="en-US" w:bidi="ar-SA"/>
              </w:rPr>
            </w:pPr>
            <w:r>
              <w:rPr>
                <w:rFonts w:hint="default"/>
                <w:spacing w:val="-1"/>
                <w:position w:val="-1"/>
              </w:rPr>
              <w:t>路侧波形梁钢护栏</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2" w:beforeAutospacing="0" w:after="0" w:afterAutospacing="0" w:line="152" w:lineRule="exact"/>
              <w:ind w:left="285" w:leftChars="0" w:right="0"/>
              <w:rPr>
                <w:rFonts w:hint="eastAsia" w:ascii="微软雅黑" w:hAnsi="微软雅黑" w:eastAsia="微软雅黑" w:cs="微软雅黑"/>
                <w:kern w:val="2"/>
                <w:sz w:val="18"/>
                <w:szCs w:val="18"/>
                <w:lang w:val="en-US" w:eastAsia="en-US" w:bidi="ar-SA"/>
              </w:rPr>
            </w:pPr>
            <w:r>
              <w:rPr>
                <w:rFonts w:hint="default"/>
                <w:spacing w:val="-8"/>
                <w:position w:val="-2"/>
              </w:rPr>
              <w:t>602-6-14</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1" w:beforeAutospacing="0" w:after="0" w:afterAutospacing="0" w:line="153" w:lineRule="exact"/>
              <w:ind w:left="27" w:leftChars="0" w:right="0"/>
              <w:rPr>
                <w:rFonts w:hint="eastAsia" w:ascii="微软雅黑" w:hAnsi="微软雅黑" w:eastAsia="微软雅黑" w:cs="微软雅黑"/>
                <w:kern w:val="2"/>
                <w:sz w:val="18"/>
                <w:szCs w:val="18"/>
                <w:lang w:val="en-US" w:eastAsia="en-US" w:bidi="ar-SA"/>
              </w:rPr>
            </w:pPr>
            <w:r>
              <w:rPr>
                <w:rFonts w:hint="default"/>
                <w:spacing w:val="-8"/>
                <w:position w:val="-2"/>
              </w:rPr>
              <w:t>Gr-A-2E</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2" w:beforeAutospacing="0" w:after="0" w:afterAutospacing="0" w:line="182" w:lineRule="exact"/>
              <w:ind w:left="430" w:leftChars="0" w:right="0"/>
              <w:rPr>
                <w:rFonts w:hint="eastAsia" w:ascii="微软雅黑" w:hAnsi="微软雅黑" w:eastAsia="微软雅黑" w:cs="微软雅黑"/>
                <w:kern w:val="2"/>
                <w:sz w:val="18"/>
                <w:szCs w:val="18"/>
                <w:lang w:val="en-US" w:eastAsia="en-US" w:bidi="ar-SA"/>
              </w:rPr>
            </w:pPr>
            <w:r>
              <w:rPr>
                <w:rFonts w:hint="default"/>
              </w:rPr>
              <w:t>m</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2" w:beforeAutospacing="0" w:after="0" w:afterAutospacing="0" w:line="152"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11"/>
                <w:position w:val="-2"/>
              </w:rPr>
              <w:t>15</w:t>
            </w:r>
            <w:r>
              <w:rPr>
                <w:rFonts w:hint="default"/>
                <w:spacing w:val="-10"/>
                <w:position w:val="-2"/>
              </w:rPr>
              <w:t>0.00</w:t>
            </w:r>
            <w:r>
              <w:rPr>
                <w:rFonts w:hint="default"/>
                <w:spacing w:val="-8"/>
                <w:position w:val="-2"/>
              </w:rPr>
              <w:t>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2" w:beforeAutospacing="0" w:after="0" w:afterAutospacing="0" w:line="152"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2" w:beforeAutospacing="0" w:after="0" w:afterAutospacing="0" w:line="152" w:lineRule="exact"/>
              <w:ind w:left="0" w:right="3"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3" w:beforeAutospacing="0" w:after="0" w:afterAutospacing="0" w:line="151" w:lineRule="exact"/>
              <w:ind w:left="420" w:leftChars="0" w:right="0"/>
              <w:rPr>
                <w:rFonts w:hint="eastAsia" w:ascii="微软雅黑" w:hAnsi="微软雅黑" w:eastAsia="微软雅黑" w:cs="微软雅黑"/>
                <w:kern w:val="2"/>
                <w:sz w:val="18"/>
                <w:szCs w:val="18"/>
                <w:lang w:val="en-US" w:eastAsia="en-US" w:bidi="ar-SA"/>
              </w:rPr>
            </w:pPr>
            <w:r>
              <w:rPr>
                <w:rFonts w:hint="default"/>
                <w:spacing w:val="-9"/>
                <w:position w:val="-2"/>
              </w:rPr>
              <w:t>602-8</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3" w:beforeAutospacing="0" w:after="0" w:afterAutospacing="0" w:line="181" w:lineRule="exact"/>
              <w:ind w:left="30" w:leftChars="0" w:right="0"/>
              <w:rPr>
                <w:rFonts w:hint="eastAsia" w:ascii="微软雅黑" w:hAnsi="微软雅黑" w:eastAsia="微软雅黑" w:cs="微软雅黑"/>
                <w:kern w:val="2"/>
                <w:sz w:val="18"/>
                <w:szCs w:val="18"/>
                <w:lang w:val="en-US" w:eastAsia="en-US" w:bidi="ar-SA"/>
              </w:rPr>
            </w:pPr>
            <w:r>
              <w:rPr>
                <w:rFonts w:hint="default"/>
                <w:spacing w:val="-1"/>
                <w:position w:val="-1"/>
              </w:rPr>
              <w:t>波形梁钢护栏端头</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9" w:beforeAutospacing="0" w:after="0" w:afterAutospacing="0" w:line="150" w:lineRule="exact"/>
              <w:ind w:left="330" w:leftChars="0" w:right="0"/>
              <w:rPr>
                <w:rFonts w:hint="eastAsia" w:ascii="微软雅黑" w:hAnsi="微软雅黑" w:eastAsia="微软雅黑" w:cs="微软雅黑"/>
                <w:kern w:val="2"/>
                <w:sz w:val="18"/>
                <w:szCs w:val="18"/>
                <w:lang w:val="en-US" w:eastAsia="en-US" w:bidi="ar-SA"/>
              </w:rPr>
            </w:pPr>
            <w:r>
              <w:rPr>
                <w:rFonts w:hint="default"/>
                <w:spacing w:val="-7"/>
                <w:position w:val="-2"/>
              </w:rPr>
              <w:t>602-8-4</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9" w:beforeAutospacing="0" w:after="0" w:afterAutospacing="0" w:line="180" w:lineRule="exact"/>
              <w:ind w:left="44" w:leftChars="0" w:right="0"/>
              <w:rPr>
                <w:rFonts w:hint="eastAsia" w:ascii="微软雅黑" w:hAnsi="微软雅黑" w:eastAsia="微软雅黑" w:cs="微软雅黑"/>
                <w:kern w:val="2"/>
                <w:sz w:val="18"/>
                <w:szCs w:val="18"/>
                <w:lang w:val="en-US" w:eastAsia="en-US" w:bidi="ar-SA"/>
              </w:rPr>
            </w:pPr>
            <w:r>
              <w:rPr>
                <w:rFonts w:hint="default"/>
                <w:spacing w:val="-4"/>
                <w:position w:val="-1"/>
              </w:rPr>
              <w:t>圆形式端头</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9" w:beforeAutospacing="0" w:after="0" w:afterAutospacing="0" w:line="180" w:lineRule="exact"/>
              <w:ind w:left="390" w:leftChars="0" w:right="0"/>
              <w:rPr>
                <w:rFonts w:hint="eastAsia" w:ascii="微软雅黑" w:hAnsi="微软雅黑" w:eastAsia="微软雅黑" w:cs="微软雅黑"/>
                <w:kern w:val="2"/>
                <w:sz w:val="18"/>
                <w:szCs w:val="18"/>
                <w:lang w:val="en-US" w:eastAsia="en-US" w:bidi="ar-SA"/>
              </w:rPr>
            </w:pPr>
            <w:r>
              <w:rPr>
                <w:rFonts w:hint="default"/>
                <w:position w:val="-1"/>
              </w:rPr>
              <w:t>个</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9" w:beforeAutospacing="0" w:after="0" w:afterAutospacing="0" w:line="150" w:lineRule="exact"/>
              <w:ind w:left="0" w:right="1" w:rightChars="0"/>
              <w:jc w:val="right"/>
              <w:rPr>
                <w:rFonts w:hint="eastAsia" w:ascii="微软雅黑" w:hAnsi="微软雅黑" w:eastAsia="微软雅黑" w:cs="微软雅黑"/>
                <w:kern w:val="2"/>
                <w:sz w:val="18"/>
                <w:szCs w:val="18"/>
                <w:lang w:val="en-US" w:eastAsia="en-US" w:bidi="ar-SA"/>
              </w:rPr>
            </w:pPr>
            <w:r>
              <w:rPr>
                <w:rFonts w:hint="default"/>
                <w:spacing w:val="-4"/>
                <w:position w:val="-2"/>
              </w:rPr>
              <w:t>8.000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9" w:beforeAutospacing="0" w:after="0" w:afterAutospacing="0" w:line="150"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69" w:beforeAutospacing="0" w:after="0" w:afterAutospacing="0" w:line="150" w:lineRule="exact"/>
              <w:ind w:left="0" w:right="3"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375" w:leftChars="0" w:right="0"/>
              <w:rPr>
                <w:rFonts w:hint="eastAsia" w:ascii="微软雅黑" w:hAnsi="微软雅黑" w:eastAsia="微软雅黑" w:cs="微软雅黑"/>
                <w:kern w:val="2"/>
                <w:sz w:val="18"/>
                <w:szCs w:val="18"/>
                <w:lang w:val="en-US" w:eastAsia="en-US" w:bidi="ar-SA"/>
              </w:rPr>
            </w:pPr>
            <w:r>
              <w:rPr>
                <w:rFonts w:hint="default"/>
                <w:spacing w:val="-10"/>
                <w:position w:val="-2"/>
              </w:rPr>
              <w:t>602-10</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5" w:beforeAutospacing="0" w:after="0" w:afterAutospacing="0" w:line="180" w:lineRule="exact"/>
              <w:ind w:left="45" w:leftChars="0" w:right="0"/>
              <w:rPr>
                <w:rFonts w:hint="eastAsia" w:ascii="微软雅黑" w:hAnsi="微软雅黑" w:eastAsia="微软雅黑" w:cs="微软雅黑"/>
                <w:kern w:val="2"/>
                <w:sz w:val="18"/>
                <w:szCs w:val="18"/>
                <w:lang w:val="en-US" w:eastAsia="en-US" w:bidi="ar-SA"/>
              </w:rPr>
            </w:pPr>
            <w:r>
              <w:rPr>
                <w:rFonts w:hint="default"/>
                <w:spacing w:val="-3"/>
                <w:position w:val="-1"/>
              </w:rPr>
              <w:t>中央分隔带活动护栏</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285" w:leftChars="0" w:right="0"/>
              <w:rPr>
                <w:rFonts w:hint="eastAsia" w:ascii="微软雅黑" w:hAnsi="微软雅黑" w:eastAsia="微软雅黑" w:cs="微软雅黑"/>
                <w:kern w:val="2"/>
                <w:sz w:val="18"/>
                <w:szCs w:val="18"/>
                <w:lang w:val="en-US" w:eastAsia="en-US" w:bidi="ar-SA"/>
              </w:rPr>
            </w:pPr>
            <w:r>
              <w:rPr>
                <w:rFonts w:hint="default"/>
                <w:spacing w:val="-8"/>
                <w:position w:val="-2"/>
              </w:rPr>
              <w:t>602-10-1</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5" w:beforeAutospacing="0" w:after="0" w:afterAutospacing="0" w:line="180" w:lineRule="exact"/>
              <w:ind w:left="29" w:leftChars="0" w:right="0"/>
              <w:rPr>
                <w:rFonts w:hint="eastAsia" w:ascii="微软雅黑" w:hAnsi="微软雅黑" w:eastAsia="微软雅黑" w:cs="微软雅黑"/>
                <w:kern w:val="2"/>
                <w:sz w:val="18"/>
                <w:szCs w:val="18"/>
                <w:lang w:val="en-US" w:eastAsia="en-US" w:bidi="ar-SA"/>
              </w:rPr>
            </w:pPr>
            <w:r>
              <w:rPr>
                <w:rFonts w:hint="default"/>
                <w:spacing w:val="-1"/>
                <w:position w:val="-1"/>
              </w:rPr>
              <w:t>机非隔离护栏</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5" w:beforeAutospacing="0" w:after="0" w:afterAutospacing="0" w:line="180" w:lineRule="exact"/>
              <w:ind w:left="430" w:leftChars="0" w:right="0"/>
              <w:rPr>
                <w:rFonts w:hint="eastAsia" w:ascii="微软雅黑" w:hAnsi="微软雅黑" w:eastAsia="微软雅黑" w:cs="微软雅黑"/>
                <w:kern w:val="2"/>
                <w:sz w:val="18"/>
                <w:szCs w:val="18"/>
                <w:lang w:val="en-US" w:eastAsia="en-US" w:bidi="ar-SA"/>
              </w:rPr>
            </w:pPr>
            <w:r>
              <w:rPr>
                <w:rFonts w:hint="default"/>
              </w:rPr>
              <w:t>m</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6"/>
                <w:position w:val="-2"/>
              </w:rPr>
              <w:t>40.000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5" w:beforeAutospacing="0" w:after="0" w:afterAutospacing="0" w:line="150" w:lineRule="exact"/>
              <w:ind w:left="0" w:right="3"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0" w:beforeAutospacing="0" w:after="0" w:afterAutospacing="0" w:line="149" w:lineRule="exact"/>
              <w:ind w:left="510" w:leftChars="0" w:right="0"/>
              <w:rPr>
                <w:rFonts w:hint="eastAsia" w:ascii="微软雅黑" w:hAnsi="微软雅黑" w:eastAsia="微软雅黑" w:cs="微软雅黑"/>
                <w:kern w:val="2"/>
                <w:sz w:val="18"/>
                <w:szCs w:val="18"/>
                <w:lang w:val="en-US" w:eastAsia="en-US" w:bidi="ar-SA"/>
              </w:rPr>
            </w:pPr>
            <w:r>
              <w:rPr>
                <w:rFonts w:hint="default"/>
                <w:spacing w:val="-10"/>
                <w:w w:val="97"/>
                <w:position w:val="-2"/>
              </w:rPr>
              <w:t>604</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0" w:beforeAutospacing="0" w:after="0" w:afterAutospacing="0" w:line="179" w:lineRule="exact"/>
              <w:ind w:left="29" w:leftChars="0" w:right="0"/>
              <w:rPr>
                <w:rFonts w:hint="eastAsia" w:ascii="微软雅黑" w:hAnsi="微软雅黑" w:eastAsia="微软雅黑" w:cs="微软雅黑"/>
                <w:kern w:val="2"/>
                <w:sz w:val="18"/>
                <w:szCs w:val="18"/>
                <w:lang w:val="en-US" w:eastAsia="en-US" w:bidi="ar-SA"/>
              </w:rPr>
            </w:pPr>
            <w:r>
              <w:rPr>
                <w:rFonts w:hint="default"/>
                <w:spacing w:val="-1"/>
                <w:position w:val="-1"/>
              </w:rPr>
              <w:t>道路交通标志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6" w:beforeAutospacing="0" w:after="0" w:afterAutospacing="0" w:line="148" w:lineRule="exact"/>
              <w:ind w:left="420" w:leftChars="0" w:right="0"/>
              <w:rPr>
                <w:rFonts w:hint="eastAsia" w:ascii="微软雅黑" w:hAnsi="微软雅黑" w:eastAsia="微软雅黑" w:cs="微软雅黑"/>
                <w:kern w:val="2"/>
                <w:sz w:val="18"/>
                <w:szCs w:val="18"/>
                <w:lang w:val="en-US" w:eastAsia="en-US" w:bidi="ar-SA"/>
              </w:rPr>
            </w:pPr>
            <w:r>
              <w:rPr>
                <w:rFonts w:hint="default"/>
                <w:spacing w:val="-9"/>
                <w:position w:val="-2"/>
              </w:rPr>
              <w:t>604-1</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6" w:beforeAutospacing="0" w:after="0" w:afterAutospacing="0" w:line="178" w:lineRule="exact"/>
              <w:ind w:left="29" w:leftChars="0" w:right="0"/>
              <w:rPr>
                <w:rFonts w:hint="eastAsia" w:ascii="微软雅黑" w:hAnsi="微软雅黑" w:eastAsia="微软雅黑" w:cs="微软雅黑"/>
                <w:kern w:val="2"/>
                <w:sz w:val="18"/>
                <w:szCs w:val="18"/>
                <w:lang w:val="en-US" w:eastAsia="en-US" w:bidi="ar-SA"/>
              </w:rPr>
            </w:pPr>
            <w:r>
              <w:rPr>
                <w:rFonts w:hint="default"/>
                <w:spacing w:val="-1"/>
                <w:position w:val="-1"/>
              </w:rPr>
              <w:t>道路交通标志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6" w:beforeAutospacing="0" w:after="0" w:afterAutospacing="0" w:line="148" w:lineRule="exact"/>
              <w:ind w:left="330" w:leftChars="0" w:right="0"/>
              <w:rPr>
                <w:rFonts w:hint="eastAsia" w:ascii="微软雅黑" w:hAnsi="微软雅黑" w:eastAsia="微软雅黑" w:cs="微软雅黑"/>
                <w:kern w:val="2"/>
                <w:sz w:val="18"/>
                <w:szCs w:val="18"/>
                <w:lang w:val="en-US" w:eastAsia="en-US" w:bidi="ar-SA"/>
              </w:rPr>
            </w:pPr>
            <w:r>
              <w:rPr>
                <w:rFonts w:hint="default"/>
                <w:spacing w:val="-7"/>
                <w:position w:val="-2"/>
              </w:rPr>
              <w:t>604-1-1</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6" w:beforeAutospacing="0" w:after="0" w:afterAutospacing="0" w:line="178" w:lineRule="exact"/>
              <w:ind w:left="30" w:leftChars="0" w:right="0"/>
              <w:rPr>
                <w:rFonts w:hint="eastAsia" w:ascii="微软雅黑" w:hAnsi="微软雅黑" w:eastAsia="微软雅黑" w:cs="微软雅黑"/>
                <w:kern w:val="2"/>
                <w:sz w:val="18"/>
                <w:szCs w:val="18"/>
                <w:lang w:val="en-US" w:eastAsia="en-US" w:bidi="ar-SA"/>
              </w:rPr>
            </w:pPr>
            <w:r>
              <w:rPr>
                <w:rFonts w:hint="default"/>
                <w:spacing w:val="-2"/>
                <w:position w:val="-1"/>
              </w:rPr>
              <w:t>标志整套拆除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6" w:beforeAutospacing="0" w:after="0" w:afterAutospacing="0" w:line="178" w:lineRule="exact"/>
              <w:ind w:left="390" w:leftChars="0" w:right="0"/>
              <w:rPr>
                <w:rFonts w:hint="eastAsia" w:ascii="微软雅黑" w:hAnsi="微软雅黑" w:eastAsia="微软雅黑" w:cs="微软雅黑"/>
                <w:kern w:val="2"/>
                <w:sz w:val="18"/>
                <w:szCs w:val="18"/>
                <w:lang w:val="en-US" w:eastAsia="en-US" w:bidi="ar-SA"/>
              </w:rPr>
            </w:pPr>
            <w:r>
              <w:rPr>
                <w:rFonts w:hint="default"/>
                <w:position w:val="-1"/>
              </w:rPr>
              <w:t>个</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6" w:beforeAutospacing="0" w:after="0" w:afterAutospacing="0" w:line="148"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8"/>
                <w:position w:val="-2"/>
              </w:rPr>
              <w:t>1.000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6" w:beforeAutospacing="0" w:after="0" w:afterAutospacing="0" w:line="148"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6" w:beforeAutospacing="0" w:after="0" w:afterAutospacing="0" w:line="148" w:lineRule="exact"/>
              <w:ind w:left="0" w:right="2"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1" w:beforeAutospacing="0" w:after="0" w:afterAutospacing="0" w:line="148" w:lineRule="exact"/>
              <w:ind w:left="330" w:leftChars="0" w:right="0"/>
              <w:rPr>
                <w:rFonts w:hint="eastAsia" w:ascii="微软雅黑" w:hAnsi="微软雅黑" w:eastAsia="微软雅黑" w:cs="微软雅黑"/>
                <w:kern w:val="2"/>
                <w:sz w:val="18"/>
                <w:szCs w:val="18"/>
                <w:lang w:val="en-US" w:eastAsia="en-US" w:bidi="ar-SA"/>
              </w:rPr>
            </w:pPr>
            <w:r>
              <w:rPr>
                <w:rFonts w:hint="default"/>
                <w:spacing w:val="-7"/>
                <w:position w:val="-2"/>
              </w:rPr>
              <w:t>604-1-2</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1" w:beforeAutospacing="0" w:after="0" w:afterAutospacing="0" w:line="178" w:lineRule="exact"/>
              <w:ind w:left="30" w:leftChars="0" w:right="0"/>
              <w:rPr>
                <w:rFonts w:hint="eastAsia" w:ascii="微软雅黑" w:hAnsi="微软雅黑" w:eastAsia="微软雅黑" w:cs="微软雅黑"/>
                <w:kern w:val="2"/>
                <w:sz w:val="18"/>
                <w:szCs w:val="18"/>
                <w:lang w:val="en-US" w:eastAsia="en-US" w:bidi="ar-SA"/>
              </w:rPr>
            </w:pPr>
            <w:r>
              <w:rPr>
                <w:rFonts w:hint="default"/>
                <w:spacing w:val="-2"/>
                <w:position w:val="-1"/>
              </w:rPr>
              <w:t>标志移位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1" w:beforeAutospacing="0" w:after="0" w:afterAutospacing="0" w:line="178" w:lineRule="exact"/>
              <w:ind w:left="390" w:leftChars="0" w:right="0"/>
              <w:rPr>
                <w:rFonts w:hint="eastAsia" w:ascii="微软雅黑" w:hAnsi="微软雅黑" w:eastAsia="微软雅黑" w:cs="微软雅黑"/>
                <w:kern w:val="2"/>
                <w:sz w:val="18"/>
                <w:szCs w:val="18"/>
                <w:lang w:val="en-US" w:eastAsia="en-US" w:bidi="ar-SA"/>
              </w:rPr>
            </w:pPr>
            <w:r>
              <w:rPr>
                <w:rFonts w:hint="default"/>
                <w:position w:val="-1"/>
              </w:rPr>
              <w:t>个</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1" w:beforeAutospacing="0" w:after="0" w:afterAutospacing="0" w:line="148"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8"/>
                <w:position w:val="-2"/>
              </w:rPr>
              <w:t>1.000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1" w:beforeAutospacing="0" w:after="0" w:afterAutospacing="0" w:line="148"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71" w:beforeAutospacing="0" w:after="0" w:afterAutospacing="0" w:line="148" w:lineRule="exact"/>
              <w:ind w:left="0" w:right="3"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330" w:leftChars="0" w:right="0"/>
              <w:rPr>
                <w:rFonts w:hint="eastAsia" w:ascii="微软雅黑" w:hAnsi="微软雅黑" w:eastAsia="微软雅黑" w:cs="微软雅黑"/>
                <w:kern w:val="2"/>
                <w:sz w:val="18"/>
                <w:szCs w:val="18"/>
                <w:lang w:val="en-US" w:eastAsia="en-US" w:bidi="ar-SA"/>
              </w:rPr>
            </w:pPr>
            <w:r>
              <w:rPr>
                <w:rFonts w:hint="default"/>
                <w:spacing w:val="-7"/>
                <w:position w:val="-2"/>
              </w:rPr>
              <w:t>604-1-3</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7" w:beforeAutospacing="0" w:after="0" w:afterAutospacing="0" w:line="177" w:lineRule="exact"/>
              <w:ind w:left="50" w:leftChars="0" w:right="0"/>
              <w:rPr>
                <w:rFonts w:hint="eastAsia" w:ascii="微软雅黑" w:hAnsi="微软雅黑" w:eastAsia="微软雅黑" w:cs="微软雅黑"/>
                <w:kern w:val="2"/>
                <w:sz w:val="18"/>
                <w:szCs w:val="18"/>
                <w:lang w:val="en-US" w:eastAsia="en-US" w:bidi="ar-SA"/>
              </w:rPr>
            </w:pPr>
            <w:r>
              <w:rPr>
                <w:rFonts w:hint="default"/>
                <w:spacing w:val="-3"/>
                <w:position w:val="-1"/>
              </w:rPr>
              <w:t>电线杆及杆件贴反光膜</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385" w:leftChars="0" w:right="0"/>
              <w:rPr>
                <w:rFonts w:hint="eastAsia" w:ascii="微软雅黑" w:hAnsi="微软雅黑" w:eastAsia="微软雅黑" w:cs="微软雅黑"/>
                <w:kern w:val="2"/>
                <w:sz w:val="18"/>
                <w:szCs w:val="18"/>
                <w:lang w:val="en-US" w:eastAsia="en-US" w:bidi="ar-SA"/>
              </w:rPr>
            </w:pPr>
            <w:r>
              <w:rPr>
                <w:rFonts w:hint="default"/>
                <w:spacing w:val="-21"/>
                <w:w w:val="93"/>
                <w:position w:val="-3"/>
              </w:rPr>
              <w:t>m2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0" w:right="1" w:rightChars="0"/>
              <w:jc w:val="right"/>
              <w:rPr>
                <w:rFonts w:hint="eastAsia" w:ascii="微软雅黑" w:hAnsi="微软雅黑" w:eastAsia="微软雅黑" w:cs="微软雅黑"/>
                <w:kern w:val="2"/>
                <w:sz w:val="18"/>
                <w:szCs w:val="18"/>
                <w:lang w:val="en-US" w:eastAsia="en-US" w:bidi="ar-SA"/>
              </w:rPr>
            </w:pPr>
            <w:r>
              <w:rPr>
                <w:rFonts w:hint="default"/>
                <w:spacing w:val="-4"/>
                <w:position w:val="-2"/>
              </w:rPr>
              <w:t>2.000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7" w:beforeAutospacing="0" w:after="0" w:afterAutospacing="0" w:line="148" w:lineRule="exact"/>
              <w:ind w:left="0" w:right="2"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510" w:leftChars="0" w:right="0"/>
              <w:rPr>
                <w:rFonts w:hint="eastAsia" w:ascii="微软雅黑" w:hAnsi="微软雅黑" w:eastAsia="微软雅黑" w:cs="微软雅黑"/>
                <w:kern w:val="2"/>
                <w:sz w:val="18"/>
                <w:szCs w:val="18"/>
                <w:lang w:val="en-US" w:eastAsia="en-US" w:bidi="ar-SA"/>
              </w:rPr>
            </w:pPr>
            <w:r>
              <w:rPr>
                <w:rFonts w:hint="default"/>
                <w:spacing w:val="-13"/>
                <w:position w:val="-2"/>
              </w:rPr>
              <w:t>605</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7" w:beforeAutospacing="0" w:after="0" w:afterAutospacing="0" w:line="177" w:lineRule="exact"/>
              <w:ind w:left="29" w:leftChars="0" w:right="0"/>
              <w:rPr>
                <w:rFonts w:hint="eastAsia" w:ascii="微软雅黑" w:hAnsi="微软雅黑" w:eastAsia="微软雅黑" w:cs="微软雅黑"/>
                <w:kern w:val="2"/>
                <w:sz w:val="18"/>
                <w:szCs w:val="18"/>
                <w:lang w:val="en-US" w:eastAsia="en-US" w:bidi="ar-SA"/>
              </w:rPr>
            </w:pPr>
            <w:r>
              <w:rPr>
                <w:rFonts w:hint="default"/>
                <w:spacing w:val="-1"/>
                <w:position w:val="-1"/>
              </w:rPr>
              <w:t>道路交通标线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2" w:beforeAutospacing="0" w:after="0" w:afterAutospacing="0" w:line="147" w:lineRule="exact"/>
              <w:ind w:left="420" w:leftChars="0" w:right="0"/>
              <w:rPr>
                <w:rFonts w:hint="eastAsia" w:ascii="微软雅黑" w:hAnsi="微软雅黑" w:eastAsia="微软雅黑" w:cs="微软雅黑"/>
                <w:kern w:val="2"/>
                <w:sz w:val="18"/>
                <w:szCs w:val="18"/>
                <w:lang w:val="en-US" w:eastAsia="en-US" w:bidi="ar-SA"/>
              </w:rPr>
            </w:pPr>
            <w:r>
              <w:rPr>
                <w:rFonts w:hint="default"/>
                <w:spacing w:val="-9"/>
                <w:position w:val="-2"/>
              </w:rPr>
              <w:t>605-1</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2" w:beforeAutospacing="0" w:after="0" w:afterAutospacing="0" w:line="177" w:lineRule="exact"/>
              <w:ind w:left="30" w:leftChars="0" w:right="0"/>
              <w:rPr>
                <w:rFonts w:hint="eastAsia" w:ascii="微软雅黑" w:hAnsi="微软雅黑" w:eastAsia="微软雅黑" w:cs="微软雅黑"/>
                <w:kern w:val="2"/>
                <w:sz w:val="18"/>
                <w:szCs w:val="18"/>
                <w:lang w:val="en-US" w:eastAsia="en-US" w:bidi="ar-SA"/>
              </w:rPr>
            </w:pPr>
            <w:r>
              <w:rPr>
                <w:rFonts w:hint="default"/>
                <w:spacing w:val="-1"/>
                <w:position w:val="-1"/>
              </w:rPr>
              <w:t>热熔型涂料路面标线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8" w:beforeAutospacing="0" w:after="0" w:afterAutospacing="0" w:line="146" w:lineRule="exact"/>
              <w:ind w:left="330" w:leftChars="0" w:right="0"/>
              <w:rPr>
                <w:rFonts w:hint="eastAsia" w:ascii="微软雅黑" w:hAnsi="微软雅黑" w:eastAsia="微软雅黑" w:cs="微软雅黑"/>
                <w:kern w:val="2"/>
                <w:sz w:val="18"/>
                <w:szCs w:val="18"/>
                <w:lang w:val="en-US" w:eastAsia="en-US" w:bidi="ar-SA"/>
              </w:rPr>
            </w:pPr>
            <w:r>
              <w:rPr>
                <w:rFonts w:hint="default"/>
                <w:spacing w:val="-7"/>
                <w:position w:val="-2"/>
              </w:rPr>
              <w:t>605-1-2</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8" w:beforeAutospacing="0" w:after="0" w:afterAutospacing="0" w:line="177" w:lineRule="exact"/>
              <w:ind w:left="35" w:leftChars="0" w:right="0"/>
              <w:rPr>
                <w:rFonts w:hint="eastAsia" w:ascii="微软雅黑" w:hAnsi="微软雅黑" w:eastAsia="微软雅黑" w:cs="微软雅黑"/>
                <w:kern w:val="2"/>
                <w:sz w:val="18"/>
                <w:szCs w:val="18"/>
                <w:lang w:val="en-US" w:eastAsia="en-US" w:bidi="ar-SA"/>
              </w:rPr>
            </w:pPr>
            <w:r>
              <w:rPr>
                <w:rFonts w:hint="default"/>
                <w:spacing w:val="-3"/>
                <w:position w:val="-1"/>
              </w:rPr>
              <w:t>反光型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8" w:beforeAutospacing="0" w:after="0" w:afterAutospacing="0" w:line="146" w:lineRule="exact"/>
              <w:ind w:left="385" w:leftChars="0" w:right="0"/>
              <w:rPr>
                <w:rFonts w:hint="eastAsia" w:ascii="微软雅黑" w:hAnsi="微软雅黑" w:eastAsia="微软雅黑" w:cs="微软雅黑"/>
                <w:kern w:val="2"/>
                <w:sz w:val="18"/>
                <w:szCs w:val="18"/>
                <w:lang w:val="en-US" w:eastAsia="en-US" w:bidi="ar-SA"/>
              </w:rPr>
            </w:pPr>
            <w:r>
              <w:rPr>
                <w:rFonts w:hint="default"/>
                <w:spacing w:val="-21"/>
                <w:w w:val="93"/>
                <w:position w:val="-3"/>
              </w:rPr>
              <w:t>m2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8" w:beforeAutospacing="0" w:after="0" w:afterAutospacing="0" w:line="146"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10"/>
                <w:position w:val="-2"/>
              </w:rPr>
              <w:t>3</w:t>
            </w:r>
            <w:r>
              <w:rPr>
                <w:rFonts w:hint="default"/>
                <w:spacing w:val="-9"/>
                <w:position w:val="-2"/>
              </w:rPr>
              <w:t>96.50</w:t>
            </w:r>
            <w:r>
              <w:rPr>
                <w:rFonts w:hint="default"/>
                <w:spacing w:val="-8"/>
                <w:position w:val="-2"/>
              </w:rPr>
              <w:t>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8" w:beforeAutospacing="0" w:after="0" w:afterAutospacing="0" w:line="146" w:lineRule="exact"/>
              <w:ind w:left="0" w:right="2" w:rightChars="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8" w:beforeAutospacing="0" w:after="0" w:afterAutospacing="0" w:line="146" w:lineRule="exact"/>
              <w:ind w:left="0" w:right="1"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8" w:beforeAutospacing="0" w:after="0" w:afterAutospacing="0" w:line="146" w:lineRule="exact"/>
              <w:ind w:left="330" w:leftChars="0" w:right="0"/>
              <w:rPr>
                <w:rFonts w:hint="eastAsia" w:ascii="微软雅黑" w:hAnsi="微软雅黑" w:eastAsia="微软雅黑" w:cs="微软雅黑"/>
                <w:kern w:val="2"/>
                <w:sz w:val="18"/>
                <w:szCs w:val="18"/>
                <w:lang w:val="en-US" w:eastAsia="en-US" w:bidi="ar-SA"/>
              </w:rPr>
            </w:pPr>
            <w:r>
              <w:rPr>
                <w:rFonts w:hint="default"/>
                <w:spacing w:val="-7"/>
                <w:position w:val="-2"/>
              </w:rPr>
              <w:t>605-1-3</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8" w:beforeAutospacing="0" w:after="0" w:afterAutospacing="0" w:line="177" w:lineRule="exact"/>
              <w:ind w:left="32" w:leftChars="0" w:right="0"/>
              <w:rPr>
                <w:rFonts w:hint="eastAsia" w:ascii="微软雅黑" w:hAnsi="微软雅黑" w:eastAsia="微软雅黑" w:cs="微软雅黑"/>
                <w:kern w:val="2"/>
                <w:sz w:val="18"/>
                <w:szCs w:val="18"/>
                <w:lang w:val="en-US" w:eastAsia="en-US" w:bidi="ar-SA"/>
              </w:rPr>
            </w:pPr>
            <w:r>
              <w:rPr>
                <w:rFonts w:hint="default"/>
                <w:spacing w:val="-2"/>
                <w:position w:val="-1"/>
              </w:rPr>
              <w:t>震颤标线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8" w:beforeAutospacing="0" w:after="0" w:afterAutospacing="0" w:line="146" w:lineRule="exact"/>
              <w:ind w:left="385" w:leftChars="0" w:right="0"/>
              <w:rPr>
                <w:rFonts w:hint="eastAsia" w:ascii="微软雅黑" w:hAnsi="微软雅黑" w:eastAsia="微软雅黑" w:cs="微软雅黑"/>
                <w:kern w:val="2"/>
                <w:sz w:val="18"/>
                <w:szCs w:val="18"/>
                <w:lang w:val="en-US" w:eastAsia="en-US" w:bidi="ar-SA"/>
              </w:rPr>
            </w:pPr>
            <w:r>
              <w:rPr>
                <w:rFonts w:hint="default"/>
                <w:spacing w:val="-21"/>
                <w:w w:val="93"/>
                <w:position w:val="-3"/>
              </w:rPr>
              <w:t>m2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8" w:beforeAutospacing="0" w:after="0" w:afterAutospacing="0" w:line="146"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7"/>
                <w:position w:val="-2"/>
              </w:rPr>
              <w:t>39.000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8" w:beforeAutospacing="0" w:after="0" w:afterAutospacing="0" w:line="146"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8" w:beforeAutospacing="0" w:after="0" w:afterAutospacing="0" w:line="146" w:lineRule="exact"/>
              <w:ind w:left="0" w:right="3"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3" w:beforeAutospacing="0" w:after="0" w:afterAutospacing="0" w:line="146" w:lineRule="exact"/>
              <w:ind w:left="420" w:leftChars="0" w:right="0"/>
              <w:rPr>
                <w:rFonts w:hint="eastAsia" w:ascii="微软雅黑" w:hAnsi="微软雅黑" w:eastAsia="微软雅黑" w:cs="微软雅黑"/>
                <w:kern w:val="2"/>
                <w:sz w:val="18"/>
                <w:szCs w:val="18"/>
                <w:lang w:val="en-US" w:eastAsia="en-US" w:bidi="ar-SA"/>
              </w:rPr>
            </w:pPr>
            <w:r>
              <w:rPr>
                <w:rFonts w:hint="default"/>
                <w:spacing w:val="-9"/>
                <w:position w:val="-2"/>
              </w:rPr>
              <w:t>605-2</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3" w:beforeAutospacing="0" w:after="0" w:afterAutospacing="0" w:line="176" w:lineRule="exact"/>
              <w:ind w:left="30" w:leftChars="0" w:right="0"/>
              <w:rPr>
                <w:rFonts w:hint="eastAsia" w:ascii="微软雅黑" w:hAnsi="微软雅黑" w:eastAsia="微软雅黑" w:cs="微软雅黑"/>
                <w:kern w:val="2"/>
                <w:sz w:val="18"/>
                <w:szCs w:val="18"/>
                <w:lang w:val="en-US" w:eastAsia="en-US" w:bidi="ar-SA"/>
              </w:rPr>
            </w:pPr>
            <w:r>
              <w:rPr>
                <w:rFonts w:hint="default"/>
                <w:spacing w:val="-1"/>
                <w:position w:val="-1"/>
              </w:rPr>
              <w:t>溶剂型涂料路面标线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9" w:beforeAutospacing="0" w:after="0" w:afterAutospacing="0" w:line="146" w:lineRule="exact"/>
              <w:ind w:left="330" w:leftChars="0" w:right="0"/>
              <w:rPr>
                <w:rFonts w:hint="eastAsia" w:ascii="微软雅黑" w:hAnsi="微软雅黑" w:eastAsia="微软雅黑" w:cs="微软雅黑"/>
                <w:kern w:val="2"/>
                <w:sz w:val="18"/>
                <w:szCs w:val="18"/>
                <w:lang w:val="en-US" w:eastAsia="en-US" w:bidi="ar-SA"/>
              </w:rPr>
            </w:pPr>
            <w:r>
              <w:rPr>
                <w:rFonts w:hint="default"/>
                <w:spacing w:val="-7"/>
                <w:position w:val="-2"/>
              </w:rPr>
              <w:t>605-2-2</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9" w:beforeAutospacing="0" w:after="0" w:afterAutospacing="0" w:line="176" w:lineRule="exact"/>
              <w:ind w:left="30" w:leftChars="0" w:right="0"/>
              <w:rPr>
                <w:rFonts w:hint="eastAsia" w:ascii="微软雅黑" w:hAnsi="微软雅黑" w:eastAsia="微软雅黑" w:cs="微软雅黑"/>
                <w:kern w:val="2"/>
                <w:sz w:val="18"/>
                <w:szCs w:val="18"/>
                <w:lang w:val="en-US" w:eastAsia="en-US" w:bidi="ar-SA"/>
              </w:rPr>
            </w:pPr>
            <w:r>
              <w:rPr>
                <w:rFonts w:hint="default"/>
                <w:spacing w:val="-2"/>
                <w:position w:val="-1"/>
              </w:rPr>
              <w:t>彩色防滑标线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9" w:beforeAutospacing="0" w:after="0" w:afterAutospacing="0" w:line="146" w:lineRule="exact"/>
              <w:ind w:left="385" w:leftChars="0" w:right="0"/>
              <w:rPr>
                <w:rFonts w:hint="eastAsia" w:ascii="微软雅黑" w:hAnsi="微软雅黑" w:eastAsia="微软雅黑" w:cs="微软雅黑"/>
                <w:kern w:val="2"/>
                <w:sz w:val="18"/>
                <w:szCs w:val="18"/>
                <w:lang w:val="en-US" w:eastAsia="en-US" w:bidi="ar-SA"/>
              </w:rPr>
            </w:pPr>
            <w:r>
              <w:rPr>
                <w:rFonts w:hint="default"/>
                <w:spacing w:val="-21"/>
                <w:w w:val="93"/>
                <w:position w:val="-3"/>
              </w:rPr>
              <w:t>m2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9" w:beforeAutospacing="0" w:after="0" w:afterAutospacing="0" w:line="146"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8"/>
                <w:position w:val="-2"/>
              </w:rPr>
              <w:t>436.000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9" w:beforeAutospacing="0" w:after="0" w:afterAutospacing="0" w:line="146"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9" w:beforeAutospacing="0" w:after="0" w:afterAutospacing="0" w:line="146" w:lineRule="exact"/>
              <w:ind w:left="0" w:right="4"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9" w:beforeAutospacing="0" w:after="0" w:afterAutospacing="0" w:line="146" w:lineRule="exact"/>
              <w:ind w:left="420" w:leftChars="0" w:right="0"/>
              <w:rPr>
                <w:rFonts w:hint="eastAsia" w:ascii="微软雅黑" w:hAnsi="微软雅黑" w:eastAsia="微软雅黑" w:cs="微软雅黑"/>
                <w:kern w:val="2"/>
                <w:sz w:val="18"/>
                <w:szCs w:val="18"/>
                <w:lang w:val="en-US" w:eastAsia="en-US" w:bidi="ar-SA"/>
              </w:rPr>
            </w:pPr>
            <w:r>
              <w:rPr>
                <w:rFonts w:hint="default"/>
                <w:spacing w:val="-9"/>
                <w:position w:val="-2"/>
              </w:rPr>
              <w:t>605-6</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9" w:beforeAutospacing="0" w:after="0" w:afterAutospacing="0" w:line="176" w:lineRule="exact"/>
              <w:ind w:left="32" w:leftChars="0" w:right="0"/>
              <w:rPr>
                <w:rFonts w:hint="eastAsia" w:ascii="微软雅黑" w:hAnsi="微软雅黑" w:eastAsia="微软雅黑" w:cs="微软雅黑"/>
                <w:kern w:val="2"/>
                <w:sz w:val="18"/>
                <w:szCs w:val="18"/>
                <w:lang w:val="en-US" w:eastAsia="en-US" w:bidi="ar-SA"/>
              </w:rPr>
            </w:pPr>
            <w:r>
              <w:rPr>
                <w:rFonts w:hint="default"/>
                <w:spacing w:val="-2"/>
                <w:position w:val="-1"/>
              </w:rPr>
              <w:t>突起路标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4" w:beforeAutospacing="0" w:after="0" w:afterAutospacing="0" w:line="145" w:lineRule="exact"/>
              <w:ind w:left="330" w:leftChars="0" w:right="0"/>
              <w:rPr>
                <w:rFonts w:hint="eastAsia" w:ascii="微软雅黑" w:hAnsi="微软雅黑" w:eastAsia="微软雅黑" w:cs="微软雅黑"/>
                <w:kern w:val="2"/>
                <w:sz w:val="18"/>
                <w:szCs w:val="18"/>
                <w:lang w:val="en-US" w:eastAsia="en-US" w:bidi="ar-SA"/>
              </w:rPr>
            </w:pPr>
            <w:r>
              <w:rPr>
                <w:rFonts w:hint="default"/>
                <w:spacing w:val="-7"/>
                <w:position w:val="-2"/>
              </w:rPr>
              <w:t>605-6-2</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4" w:beforeAutospacing="0" w:after="0" w:afterAutospacing="0" w:line="175" w:lineRule="exact"/>
              <w:ind w:left="30" w:leftChars="0" w:right="0"/>
              <w:rPr>
                <w:rFonts w:hint="eastAsia" w:ascii="微软雅黑" w:hAnsi="微软雅黑" w:eastAsia="微软雅黑" w:cs="微软雅黑"/>
                <w:kern w:val="2"/>
                <w:sz w:val="18"/>
                <w:szCs w:val="18"/>
                <w:lang w:val="en-US" w:eastAsia="en-US" w:bidi="ar-SA"/>
              </w:rPr>
            </w:pPr>
            <w:r>
              <w:rPr>
                <w:rFonts w:hint="default"/>
                <w:spacing w:val="-1"/>
                <w:position w:val="-1"/>
              </w:rPr>
              <w:t>双面突起路标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4" w:beforeAutospacing="0" w:after="0" w:afterAutospacing="0" w:line="175" w:lineRule="exact"/>
              <w:ind w:left="390" w:leftChars="0" w:right="0"/>
              <w:rPr>
                <w:rFonts w:hint="eastAsia" w:ascii="微软雅黑" w:hAnsi="微软雅黑" w:eastAsia="微软雅黑" w:cs="微软雅黑"/>
                <w:kern w:val="2"/>
                <w:sz w:val="18"/>
                <w:szCs w:val="18"/>
                <w:lang w:val="en-US" w:eastAsia="en-US" w:bidi="ar-SA"/>
              </w:rPr>
            </w:pPr>
            <w:r>
              <w:rPr>
                <w:rFonts w:hint="default"/>
                <w:position w:val="-1"/>
              </w:rPr>
              <w:t>个</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4" w:beforeAutospacing="0" w:after="0" w:afterAutospacing="0" w:line="145"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11"/>
                <w:position w:val="-2"/>
              </w:rPr>
              <w:t>13</w:t>
            </w:r>
            <w:r>
              <w:rPr>
                <w:rFonts w:hint="default"/>
                <w:spacing w:val="-10"/>
                <w:position w:val="-2"/>
              </w:rPr>
              <w:t>5.00</w:t>
            </w:r>
            <w:r>
              <w:rPr>
                <w:rFonts w:hint="default"/>
                <w:spacing w:val="-8"/>
                <w:position w:val="-2"/>
              </w:rPr>
              <w:t>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4" w:beforeAutospacing="0" w:after="0" w:afterAutospacing="0" w:line="145" w:lineRule="exact"/>
              <w:ind w:left="0" w:right="1" w:rightChars="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74" w:beforeAutospacing="0" w:after="0" w:afterAutospacing="0" w:line="145" w:lineRule="exact"/>
              <w:ind w:left="0" w:right="4"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0" w:beforeAutospacing="0" w:after="0" w:afterAutospacing="0" w:line="145" w:lineRule="exact"/>
              <w:ind w:left="420" w:leftChars="0" w:right="0"/>
              <w:rPr>
                <w:rFonts w:hint="eastAsia" w:ascii="微软雅黑" w:hAnsi="微软雅黑" w:eastAsia="微软雅黑" w:cs="微软雅黑"/>
                <w:kern w:val="2"/>
                <w:sz w:val="18"/>
                <w:szCs w:val="18"/>
                <w:lang w:val="en-US" w:eastAsia="en-US" w:bidi="ar-SA"/>
              </w:rPr>
            </w:pPr>
            <w:r>
              <w:rPr>
                <w:rFonts w:hint="default"/>
                <w:spacing w:val="-9"/>
                <w:position w:val="-2"/>
              </w:rPr>
              <w:t>605-7</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0" w:beforeAutospacing="0" w:after="0" w:afterAutospacing="0" w:line="175" w:lineRule="exact"/>
              <w:ind w:left="30" w:leftChars="0" w:right="0"/>
              <w:rPr>
                <w:rFonts w:hint="eastAsia" w:ascii="微软雅黑" w:hAnsi="微软雅黑" w:eastAsia="微软雅黑" w:cs="微软雅黑"/>
                <w:kern w:val="2"/>
                <w:sz w:val="18"/>
                <w:szCs w:val="18"/>
                <w:lang w:val="en-US" w:eastAsia="en-US" w:bidi="ar-SA"/>
              </w:rPr>
            </w:pPr>
            <w:r>
              <w:rPr>
                <w:rFonts w:hint="default"/>
                <w:spacing w:val="-1"/>
                <w:position w:val="-1"/>
              </w:rPr>
              <w:t>视线诱导设施</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5" w:beforeAutospacing="0" w:after="0" w:afterAutospacing="0" w:line="144" w:lineRule="exact"/>
              <w:ind w:left="330" w:leftChars="0" w:right="0"/>
              <w:rPr>
                <w:rFonts w:hint="eastAsia" w:ascii="微软雅黑" w:hAnsi="微软雅黑" w:eastAsia="微软雅黑" w:cs="微软雅黑"/>
                <w:kern w:val="2"/>
                <w:sz w:val="18"/>
                <w:szCs w:val="18"/>
                <w:lang w:val="en-US" w:eastAsia="en-US" w:bidi="ar-SA"/>
              </w:rPr>
            </w:pPr>
            <w:r>
              <w:rPr>
                <w:rFonts w:hint="default"/>
                <w:spacing w:val="-7"/>
                <w:position w:val="-3"/>
              </w:rPr>
              <w:t>605-7-2</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5" w:beforeAutospacing="0" w:after="0" w:afterAutospacing="0" w:line="174" w:lineRule="exact"/>
              <w:ind w:left="44" w:leftChars="0" w:right="0"/>
              <w:rPr>
                <w:rFonts w:hint="eastAsia" w:ascii="微软雅黑" w:hAnsi="微软雅黑" w:eastAsia="微软雅黑" w:cs="微软雅黑"/>
                <w:kern w:val="2"/>
                <w:sz w:val="18"/>
                <w:szCs w:val="18"/>
                <w:lang w:val="en-US" w:eastAsia="en-US" w:bidi="ar-SA"/>
              </w:rPr>
            </w:pPr>
            <w:r>
              <w:rPr>
                <w:rFonts w:hint="default"/>
                <w:spacing w:val="-3"/>
                <w:position w:val="-1"/>
              </w:rPr>
              <w:t>附着式轮廓标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5" w:beforeAutospacing="0" w:after="0" w:afterAutospacing="0" w:line="174" w:lineRule="exact"/>
              <w:ind w:left="390" w:leftChars="0" w:right="0"/>
              <w:rPr>
                <w:rFonts w:hint="eastAsia" w:ascii="微软雅黑" w:hAnsi="微软雅黑" w:eastAsia="微软雅黑" w:cs="微软雅黑"/>
                <w:kern w:val="2"/>
                <w:sz w:val="18"/>
                <w:szCs w:val="18"/>
                <w:lang w:val="en-US" w:eastAsia="en-US" w:bidi="ar-SA"/>
              </w:rPr>
            </w:pPr>
            <w:r>
              <w:rPr>
                <w:rFonts w:hint="default"/>
                <w:position w:val="-1"/>
              </w:rPr>
              <w:t>个</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5" w:beforeAutospacing="0" w:after="0" w:afterAutospacing="0" w:line="144" w:lineRule="exact"/>
              <w:ind w:left="0" w:right="1" w:rightChars="0"/>
              <w:jc w:val="right"/>
              <w:rPr>
                <w:rFonts w:hint="eastAsia" w:ascii="微软雅黑" w:hAnsi="微软雅黑" w:eastAsia="微软雅黑" w:cs="微软雅黑"/>
                <w:kern w:val="2"/>
                <w:sz w:val="18"/>
                <w:szCs w:val="18"/>
                <w:lang w:val="en-US" w:eastAsia="en-US" w:bidi="ar-SA"/>
              </w:rPr>
            </w:pPr>
            <w:r>
              <w:rPr>
                <w:rFonts w:hint="default"/>
                <w:spacing w:val="-4"/>
                <w:position w:val="-3"/>
              </w:rPr>
              <w:t>8.000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5" w:beforeAutospacing="0" w:after="0" w:afterAutospacing="0" w:line="144" w:lineRule="exact"/>
              <w:ind w:left="0" w:right="4" w:rightChars="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75" w:beforeAutospacing="0" w:after="0" w:afterAutospacing="0" w:line="144" w:lineRule="exact"/>
              <w:ind w:left="0" w:right="2"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1" w:beforeAutospacing="0" w:after="0" w:afterAutospacing="0" w:line="143" w:lineRule="exact"/>
              <w:ind w:left="330" w:leftChars="0" w:right="0"/>
              <w:rPr>
                <w:rFonts w:hint="eastAsia" w:ascii="微软雅黑" w:hAnsi="微软雅黑" w:eastAsia="微软雅黑" w:cs="微软雅黑"/>
                <w:kern w:val="2"/>
                <w:sz w:val="18"/>
                <w:szCs w:val="18"/>
                <w:lang w:val="en-US" w:eastAsia="en-US" w:bidi="ar-SA"/>
              </w:rPr>
            </w:pPr>
            <w:r>
              <w:rPr>
                <w:rFonts w:hint="default"/>
                <w:spacing w:val="-7"/>
                <w:position w:val="-3"/>
              </w:rPr>
              <w:t>605-7-9</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1" w:beforeAutospacing="0" w:after="0" w:afterAutospacing="0" w:line="173" w:lineRule="exact"/>
              <w:ind w:left="29" w:leftChars="0" w:right="0"/>
              <w:rPr>
                <w:rFonts w:hint="eastAsia" w:ascii="微软雅黑" w:hAnsi="微软雅黑" w:eastAsia="微软雅黑" w:cs="微软雅黑"/>
                <w:kern w:val="2"/>
                <w:sz w:val="18"/>
                <w:szCs w:val="18"/>
                <w:lang w:val="en-US" w:eastAsia="en-US" w:bidi="ar-SA"/>
              </w:rPr>
            </w:pPr>
            <w:r>
              <w:rPr>
                <w:rFonts w:hint="default"/>
                <w:spacing w:val="-2"/>
                <w:position w:val="-1"/>
              </w:rPr>
              <w:t>道口标柱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1" w:beforeAutospacing="0" w:after="0" w:afterAutospacing="0" w:line="143" w:lineRule="exact"/>
              <w:ind w:left="240" w:leftChars="0" w:right="0"/>
              <w:rPr>
                <w:rFonts w:hint="eastAsia" w:ascii="微软雅黑" w:hAnsi="微软雅黑" w:eastAsia="微软雅黑" w:cs="微软雅黑"/>
                <w:kern w:val="2"/>
                <w:sz w:val="18"/>
                <w:szCs w:val="18"/>
                <w:lang w:val="en-US" w:eastAsia="en-US" w:bidi="ar-SA"/>
              </w:rPr>
            </w:pPr>
            <w:r>
              <w:rPr>
                <w:rFonts w:hint="default"/>
                <w:spacing w:val="-6"/>
                <w:position w:val="-3"/>
              </w:rPr>
              <w:t>605-7-9-1</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1" w:beforeAutospacing="0" w:after="0" w:afterAutospacing="0" w:line="173" w:lineRule="exact"/>
              <w:ind w:left="30" w:leftChars="0" w:right="0"/>
              <w:rPr>
                <w:rFonts w:hint="eastAsia" w:ascii="微软雅黑" w:hAnsi="微软雅黑" w:eastAsia="微软雅黑" w:cs="微软雅黑"/>
                <w:kern w:val="2"/>
                <w:sz w:val="18"/>
                <w:szCs w:val="18"/>
                <w:lang w:val="en-US" w:eastAsia="en-US" w:bidi="ar-SA"/>
              </w:rPr>
            </w:pPr>
            <w:r>
              <w:rPr>
                <w:rFonts w:hint="default"/>
                <w:spacing w:val="-2"/>
                <w:position w:val="-1"/>
              </w:rPr>
              <w:t>柔性道口柱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1" w:beforeAutospacing="0" w:after="0" w:afterAutospacing="0" w:line="173" w:lineRule="exact"/>
              <w:ind w:left="390" w:leftChars="0" w:right="0"/>
              <w:rPr>
                <w:rFonts w:hint="eastAsia" w:ascii="微软雅黑" w:hAnsi="微软雅黑" w:eastAsia="微软雅黑" w:cs="微软雅黑"/>
                <w:kern w:val="2"/>
                <w:sz w:val="18"/>
                <w:szCs w:val="18"/>
                <w:lang w:val="en-US" w:eastAsia="en-US" w:bidi="ar-SA"/>
              </w:rPr>
            </w:pPr>
            <w:r>
              <w:rPr>
                <w:rFonts w:hint="default"/>
                <w:position w:val="-1"/>
              </w:rPr>
              <w:t>根</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1" w:beforeAutospacing="0" w:after="0" w:afterAutospacing="0" w:line="143" w:lineRule="exact"/>
              <w:ind w:left="0" w:right="1" w:rightChars="0"/>
              <w:jc w:val="right"/>
              <w:rPr>
                <w:rFonts w:hint="eastAsia" w:ascii="微软雅黑" w:hAnsi="微软雅黑" w:eastAsia="微软雅黑" w:cs="微软雅黑"/>
                <w:kern w:val="2"/>
                <w:sz w:val="18"/>
                <w:szCs w:val="18"/>
                <w:lang w:val="en-US" w:eastAsia="en-US" w:bidi="ar-SA"/>
              </w:rPr>
            </w:pPr>
            <w:r>
              <w:rPr>
                <w:rFonts w:hint="default"/>
                <w:spacing w:val="-5"/>
                <w:position w:val="-3"/>
              </w:rPr>
              <w:t>3.000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1" w:beforeAutospacing="0" w:after="0" w:afterAutospacing="0" w:line="143" w:lineRule="exact"/>
              <w:ind w:left="0" w:right="1" w:rightChars="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61" w:beforeAutospacing="0" w:after="0" w:afterAutospacing="0" w:line="143" w:lineRule="exact"/>
              <w:ind w:left="0" w:right="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6" w:beforeAutospacing="0" w:after="0" w:afterAutospacing="0" w:line="143" w:lineRule="exact"/>
              <w:ind w:left="240" w:leftChars="0" w:right="0"/>
              <w:rPr>
                <w:rFonts w:hint="eastAsia" w:ascii="微软雅黑" w:hAnsi="微软雅黑" w:eastAsia="微软雅黑" w:cs="微软雅黑"/>
                <w:kern w:val="2"/>
                <w:sz w:val="18"/>
                <w:szCs w:val="18"/>
                <w:lang w:val="en-US" w:eastAsia="en-US" w:bidi="ar-SA"/>
              </w:rPr>
            </w:pPr>
            <w:r>
              <w:rPr>
                <w:rFonts w:hint="default"/>
                <w:spacing w:val="-6"/>
                <w:position w:val="-3"/>
              </w:rPr>
              <w:t>605-7-9-2</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6" w:beforeAutospacing="0" w:after="0" w:afterAutospacing="0" w:line="173" w:lineRule="exact"/>
              <w:ind w:left="28" w:leftChars="0" w:right="0"/>
              <w:rPr>
                <w:rFonts w:hint="eastAsia" w:ascii="微软雅黑" w:hAnsi="微软雅黑" w:eastAsia="微软雅黑" w:cs="微软雅黑"/>
                <w:kern w:val="2"/>
                <w:sz w:val="18"/>
                <w:szCs w:val="18"/>
                <w:lang w:val="en-US" w:eastAsia="en-US" w:bidi="ar-SA"/>
              </w:rPr>
            </w:pPr>
            <w:r>
              <w:rPr>
                <w:rFonts w:hint="default"/>
                <w:spacing w:val="-1"/>
                <w:position w:val="-1"/>
              </w:rPr>
              <w:t>钢质道口柱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6" w:beforeAutospacing="0" w:after="0" w:afterAutospacing="0" w:line="173" w:lineRule="exact"/>
              <w:ind w:left="390" w:leftChars="0" w:right="0"/>
              <w:rPr>
                <w:rFonts w:hint="eastAsia" w:ascii="微软雅黑" w:hAnsi="微软雅黑" w:eastAsia="微软雅黑" w:cs="微软雅黑"/>
                <w:kern w:val="2"/>
                <w:sz w:val="18"/>
                <w:szCs w:val="18"/>
                <w:lang w:val="en-US" w:eastAsia="en-US" w:bidi="ar-SA"/>
              </w:rPr>
            </w:pPr>
            <w:r>
              <w:rPr>
                <w:rFonts w:hint="default"/>
                <w:position w:val="-1"/>
              </w:rPr>
              <w:t>根</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6" w:beforeAutospacing="0" w:after="0" w:afterAutospacing="0" w:line="143" w:lineRule="exact"/>
              <w:ind w:left="0" w:right="1" w:rightChars="0"/>
              <w:jc w:val="right"/>
              <w:rPr>
                <w:rFonts w:hint="eastAsia" w:ascii="微软雅黑" w:hAnsi="微软雅黑" w:eastAsia="微软雅黑" w:cs="微软雅黑"/>
                <w:kern w:val="2"/>
                <w:sz w:val="18"/>
                <w:szCs w:val="18"/>
                <w:lang w:val="en-US" w:eastAsia="en-US" w:bidi="ar-SA"/>
              </w:rPr>
            </w:pPr>
            <w:r>
              <w:rPr>
                <w:rFonts w:hint="default"/>
                <w:spacing w:val="-4"/>
                <w:position w:val="-3"/>
              </w:rPr>
              <w:t>8.000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6" w:beforeAutospacing="0" w:after="0" w:afterAutospacing="0" w:line="143"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76" w:beforeAutospacing="0" w:after="0" w:afterAutospacing="0" w:line="143" w:lineRule="exact"/>
              <w:ind w:left="0" w:right="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2" w:beforeAutospacing="0" w:after="0" w:afterAutospacing="0" w:line="143" w:lineRule="exact"/>
              <w:ind w:left="240" w:leftChars="0" w:right="0"/>
              <w:rPr>
                <w:rFonts w:hint="eastAsia" w:ascii="微软雅黑" w:hAnsi="微软雅黑" w:eastAsia="微软雅黑" w:cs="微软雅黑"/>
                <w:kern w:val="2"/>
                <w:sz w:val="18"/>
                <w:szCs w:val="18"/>
                <w:lang w:val="en-US" w:eastAsia="en-US" w:bidi="ar-SA"/>
              </w:rPr>
            </w:pPr>
            <w:r>
              <w:rPr>
                <w:rFonts w:hint="default"/>
                <w:spacing w:val="-6"/>
                <w:position w:val="-3"/>
              </w:rPr>
              <w:t>605-7-9-3</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2" w:beforeAutospacing="0" w:after="0" w:afterAutospacing="0" w:line="172" w:lineRule="exact"/>
              <w:ind w:left="28" w:leftChars="0" w:right="0"/>
              <w:rPr>
                <w:rFonts w:hint="eastAsia" w:ascii="微软雅黑" w:hAnsi="微软雅黑" w:eastAsia="微软雅黑" w:cs="微软雅黑"/>
                <w:kern w:val="2"/>
                <w:sz w:val="18"/>
                <w:szCs w:val="18"/>
                <w:lang w:val="en-US" w:eastAsia="en-US" w:bidi="ar-SA"/>
              </w:rPr>
            </w:pPr>
            <w:r>
              <w:rPr>
                <w:rFonts w:hint="default"/>
                <w:spacing w:val="-1"/>
                <w:position w:val="-1"/>
              </w:rPr>
              <w:t>钢质道口柱拆除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2" w:beforeAutospacing="0" w:after="0" w:afterAutospacing="0" w:line="172" w:lineRule="exact"/>
              <w:ind w:left="390" w:leftChars="0" w:right="0"/>
              <w:rPr>
                <w:rFonts w:hint="eastAsia" w:ascii="微软雅黑" w:hAnsi="微软雅黑" w:eastAsia="微软雅黑" w:cs="微软雅黑"/>
                <w:kern w:val="2"/>
                <w:sz w:val="18"/>
                <w:szCs w:val="18"/>
                <w:lang w:val="en-US" w:eastAsia="en-US" w:bidi="ar-SA"/>
              </w:rPr>
            </w:pPr>
            <w:r>
              <w:rPr>
                <w:rFonts w:hint="default"/>
                <w:position w:val="-1"/>
              </w:rPr>
              <w:t>根</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2" w:beforeAutospacing="0" w:after="0" w:afterAutospacing="0" w:line="143" w:lineRule="exact"/>
              <w:ind w:left="0" w:right="1" w:rightChars="0"/>
              <w:jc w:val="right"/>
              <w:rPr>
                <w:rFonts w:hint="eastAsia" w:ascii="微软雅黑" w:hAnsi="微软雅黑" w:eastAsia="微软雅黑" w:cs="微软雅黑"/>
                <w:kern w:val="2"/>
                <w:sz w:val="18"/>
                <w:szCs w:val="18"/>
                <w:lang w:val="en-US" w:eastAsia="en-US" w:bidi="ar-SA"/>
              </w:rPr>
            </w:pPr>
            <w:r>
              <w:rPr>
                <w:rFonts w:hint="default"/>
                <w:spacing w:val="-4"/>
                <w:position w:val="-3"/>
              </w:rPr>
              <w:t>8.000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2" w:beforeAutospacing="0" w:after="0" w:afterAutospacing="0" w:line="143" w:lineRule="exact"/>
              <w:ind w:left="0" w:right="4" w:rightChars="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63" w:beforeAutospacing="0" w:after="0" w:afterAutospacing="0" w:line="141" w:lineRule="exact"/>
              <w:ind w:left="0" w:right="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2" w:beforeAutospacing="0" w:after="0" w:afterAutospacing="0" w:line="143" w:lineRule="exact"/>
              <w:ind w:left="375" w:leftChars="0" w:right="0"/>
              <w:rPr>
                <w:rFonts w:hint="eastAsia" w:ascii="微软雅黑" w:hAnsi="微软雅黑" w:eastAsia="微软雅黑" w:cs="微软雅黑"/>
                <w:kern w:val="2"/>
                <w:sz w:val="18"/>
                <w:szCs w:val="18"/>
                <w:lang w:val="en-US" w:eastAsia="en-US" w:bidi="ar-SA"/>
              </w:rPr>
            </w:pPr>
            <w:r>
              <w:rPr>
                <w:rFonts w:hint="default"/>
                <w:spacing w:val="-10"/>
                <w:position w:val="-3"/>
              </w:rPr>
              <w:t>605-10</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2" w:beforeAutospacing="0" w:after="0" w:afterAutospacing="0" w:line="172" w:lineRule="exact"/>
              <w:ind w:left="30" w:leftChars="0" w:right="0"/>
              <w:rPr>
                <w:rFonts w:hint="eastAsia" w:ascii="微软雅黑" w:hAnsi="微软雅黑" w:eastAsia="微软雅黑" w:cs="微软雅黑"/>
                <w:kern w:val="2"/>
                <w:sz w:val="18"/>
                <w:szCs w:val="18"/>
                <w:lang w:val="en-US" w:eastAsia="en-US" w:bidi="ar-SA"/>
              </w:rPr>
            </w:pPr>
            <w:r>
              <w:rPr>
                <w:rFonts w:hint="default"/>
                <w:spacing w:val="-2"/>
                <w:position w:val="-1"/>
              </w:rPr>
              <w:t>减速带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7" w:beforeAutospacing="0" w:after="0" w:afterAutospacing="0" w:line="141" w:lineRule="exact"/>
              <w:ind w:left="285" w:leftChars="0" w:right="0"/>
              <w:rPr>
                <w:rFonts w:hint="eastAsia" w:ascii="微软雅黑" w:hAnsi="微软雅黑" w:eastAsia="微软雅黑" w:cs="微软雅黑"/>
                <w:kern w:val="2"/>
                <w:sz w:val="18"/>
                <w:szCs w:val="18"/>
                <w:lang w:val="en-US" w:eastAsia="en-US" w:bidi="ar-SA"/>
              </w:rPr>
            </w:pPr>
            <w:r>
              <w:rPr>
                <w:rFonts w:hint="default"/>
                <w:spacing w:val="-8"/>
                <w:position w:val="-3"/>
              </w:rPr>
              <w:t>605-10-1</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7" w:beforeAutospacing="0" w:after="0" w:afterAutospacing="0" w:line="171" w:lineRule="exact"/>
              <w:ind w:left="29" w:leftChars="0" w:right="0"/>
              <w:rPr>
                <w:rFonts w:hint="eastAsia" w:ascii="微软雅黑" w:hAnsi="微软雅黑" w:eastAsia="微软雅黑" w:cs="微软雅黑"/>
                <w:kern w:val="2"/>
                <w:sz w:val="18"/>
                <w:szCs w:val="18"/>
                <w:lang w:val="en-US" w:eastAsia="en-US" w:bidi="ar-SA"/>
              </w:rPr>
            </w:pPr>
            <w:r>
              <w:rPr>
                <w:rFonts w:hint="default"/>
                <w:spacing w:val="-2"/>
                <w:position w:val="-1"/>
              </w:rPr>
              <w:t>橡胶减速带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7" w:beforeAutospacing="0" w:after="0" w:afterAutospacing="0" w:line="171" w:lineRule="exact"/>
              <w:ind w:left="430" w:leftChars="0" w:right="0"/>
              <w:rPr>
                <w:rFonts w:hint="eastAsia" w:ascii="微软雅黑" w:hAnsi="微软雅黑" w:eastAsia="微软雅黑" w:cs="微软雅黑"/>
                <w:kern w:val="2"/>
                <w:sz w:val="18"/>
                <w:szCs w:val="18"/>
                <w:lang w:val="en-US" w:eastAsia="en-US" w:bidi="ar-SA"/>
              </w:rPr>
            </w:pPr>
            <w:r>
              <w:rPr>
                <w:rFonts w:hint="default"/>
              </w:rPr>
              <w:t>m</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7" w:beforeAutospacing="0" w:after="0" w:afterAutospacing="0" w:line="141"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10"/>
                <w:position w:val="-3"/>
              </w:rPr>
              <w:t>1</w:t>
            </w:r>
            <w:r>
              <w:rPr>
                <w:rFonts w:hint="default"/>
                <w:spacing w:val="-9"/>
                <w:position w:val="-3"/>
              </w:rPr>
              <w:t>9.00</w:t>
            </w:r>
            <w:r>
              <w:rPr>
                <w:rFonts w:hint="default"/>
                <w:spacing w:val="-8"/>
                <w:position w:val="-3"/>
              </w:rPr>
              <w:t>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7" w:beforeAutospacing="0" w:after="0" w:afterAutospacing="0" w:line="141"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77" w:beforeAutospacing="0" w:after="0" w:afterAutospacing="0" w:line="141" w:lineRule="exact"/>
              <w:ind w:left="0" w:right="3"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3" w:beforeAutospacing="0" w:after="0" w:afterAutospacing="0" w:line="141" w:lineRule="exact"/>
              <w:ind w:left="285" w:leftChars="0" w:right="0"/>
              <w:rPr>
                <w:rFonts w:hint="eastAsia" w:ascii="微软雅黑" w:hAnsi="微软雅黑" w:eastAsia="微软雅黑" w:cs="微软雅黑"/>
                <w:kern w:val="2"/>
                <w:sz w:val="18"/>
                <w:szCs w:val="18"/>
                <w:lang w:val="en-US" w:eastAsia="en-US" w:bidi="ar-SA"/>
              </w:rPr>
            </w:pPr>
            <w:r>
              <w:rPr>
                <w:rFonts w:hint="default"/>
                <w:spacing w:val="-8"/>
                <w:position w:val="-3"/>
              </w:rPr>
              <w:t>605-10-2</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3" w:beforeAutospacing="0" w:after="0" w:afterAutospacing="0" w:line="172" w:lineRule="exact"/>
              <w:ind w:left="29" w:leftChars="0" w:right="0"/>
              <w:rPr>
                <w:rFonts w:hint="eastAsia" w:ascii="微软雅黑" w:hAnsi="微软雅黑" w:eastAsia="微软雅黑" w:cs="微软雅黑"/>
                <w:kern w:val="2"/>
                <w:sz w:val="18"/>
                <w:szCs w:val="18"/>
                <w:lang w:val="en-US" w:eastAsia="en-US" w:bidi="ar-SA"/>
              </w:rPr>
            </w:pPr>
            <w:r>
              <w:rPr>
                <w:rFonts w:hint="default"/>
                <w:spacing w:val="-1"/>
                <w:position w:val="-1"/>
              </w:rPr>
              <w:t>拆除破损橡胶减速带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3" w:beforeAutospacing="0" w:after="0" w:afterAutospacing="0" w:line="172" w:lineRule="exact"/>
              <w:ind w:left="430" w:leftChars="0" w:right="0"/>
              <w:rPr>
                <w:rFonts w:hint="eastAsia" w:ascii="微软雅黑" w:hAnsi="微软雅黑" w:eastAsia="微软雅黑" w:cs="微软雅黑"/>
                <w:kern w:val="2"/>
                <w:sz w:val="18"/>
                <w:szCs w:val="18"/>
                <w:lang w:val="en-US" w:eastAsia="en-US" w:bidi="ar-SA"/>
              </w:rPr>
            </w:pPr>
            <w:r>
              <w:rPr>
                <w:rFonts w:hint="default"/>
              </w:rPr>
              <w:t>m</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3" w:beforeAutospacing="0" w:after="0" w:afterAutospacing="0" w:line="141"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7"/>
                <w:position w:val="-3"/>
              </w:rPr>
              <w:t>50.000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3" w:beforeAutospacing="0" w:after="0" w:afterAutospacing="0" w:line="141" w:lineRule="exact"/>
              <w:ind w:left="0" w:right="1" w:rightChars="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63" w:beforeAutospacing="0" w:after="0" w:afterAutospacing="0" w:line="141" w:lineRule="exact"/>
              <w:ind w:left="0" w:right="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3" w:beforeAutospacing="0" w:after="0" w:afterAutospacing="0" w:line="141" w:lineRule="exact"/>
              <w:ind w:left="375" w:leftChars="0" w:right="0"/>
              <w:rPr>
                <w:rFonts w:hint="eastAsia" w:ascii="微软雅黑" w:hAnsi="微软雅黑" w:eastAsia="微软雅黑" w:cs="微软雅黑"/>
                <w:kern w:val="2"/>
                <w:sz w:val="18"/>
                <w:szCs w:val="18"/>
                <w:lang w:val="en-US" w:eastAsia="en-US" w:bidi="ar-SA"/>
              </w:rPr>
            </w:pPr>
            <w:r>
              <w:rPr>
                <w:rFonts w:hint="default"/>
                <w:spacing w:val="-10"/>
                <w:position w:val="-3"/>
              </w:rPr>
              <w:t>605-12</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3" w:beforeAutospacing="0" w:after="0" w:afterAutospacing="0" w:line="172" w:lineRule="exact"/>
              <w:ind w:left="31" w:leftChars="0" w:right="0"/>
              <w:rPr>
                <w:rFonts w:hint="eastAsia" w:ascii="微软雅黑" w:hAnsi="微软雅黑" w:eastAsia="微软雅黑" w:cs="微软雅黑"/>
                <w:kern w:val="2"/>
                <w:sz w:val="18"/>
                <w:szCs w:val="18"/>
                <w:lang w:val="en-US" w:eastAsia="en-US" w:bidi="ar-SA"/>
              </w:rPr>
            </w:pPr>
            <w:r>
              <w:rPr>
                <w:rFonts w:hint="default"/>
                <w:spacing w:val="-1"/>
                <w:position w:val="-1"/>
              </w:rPr>
              <w:t>水磨除原有路面标线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3" w:beforeAutospacing="0" w:after="0" w:afterAutospacing="0" w:line="141" w:lineRule="exact"/>
              <w:ind w:left="385" w:leftChars="0" w:right="0"/>
              <w:rPr>
                <w:rFonts w:hint="eastAsia" w:ascii="微软雅黑" w:hAnsi="微软雅黑" w:eastAsia="微软雅黑" w:cs="微软雅黑"/>
                <w:kern w:val="2"/>
                <w:sz w:val="18"/>
                <w:szCs w:val="18"/>
                <w:lang w:val="en-US" w:eastAsia="en-US" w:bidi="ar-SA"/>
              </w:rPr>
            </w:pPr>
            <w:r>
              <w:rPr>
                <w:rFonts w:hint="default"/>
                <w:spacing w:val="-21"/>
                <w:w w:val="93"/>
                <w:position w:val="-3"/>
              </w:rPr>
              <w:t>m2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3" w:beforeAutospacing="0" w:after="0" w:afterAutospacing="0" w:line="141"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11"/>
                <w:position w:val="-3"/>
              </w:rPr>
              <w:t>11</w:t>
            </w:r>
            <w:r>
              <w:rPr>
                <w:rFonts w:hint="default"/>
                <w:spacing w:val="-10"/>
                <w:position w:val="-3"/>
              </w:rPr>
              <w:t>7.00</w:t>
            </w:r>
            <w:r>
              <w:rPr>
                <w:rFonts w:hint="default"/>
                <w:spacing w:val="-8"/>
                <w:position w:val="-3"/>
              </w:rPr>
              <w:t>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3" w:beforeAutospacing="0" w:after="0" w:afterAutospacing="0" w:line="141" w:lineRule="exact"/>
              <w:ind w:left="0" w:right="2" w:rightChars="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63" w:beforeAutospacing="0" w:after="0" w:afterAutospacing="0" w:line="141" w:lineRule="exact"/>
              <w:ind w:left="0" w:right="4"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4" w:beforeAutospacing="0" w:after="0" w:afterAutospacing="0" w:line="141" w:lineRule="exact"/>
              <w:ind w:left="510" w:leftChars="0" w:right="0"/>
              <w:rPr>
                <w:rFonts w:hint="eastAsia" w:ascii="微软雅黑" w:hAnsi="微软雅黑" w:eastAsia="微软雅黑" w:cs="微软雅黑"/>
                <w:kern w:val="2"/>
                <w:sz w:val="18"/>
                <w:szCs w:val="18"/>
                <w:lang w:val="en-US" w:eastAsia="en-US" w:bidi="ar-SA"/>
              </w:rPr>
            </w:pPr>
            <w:r>
              <w:rPr>
                <w:rFonts w:hint="default"/>
                <w:spacing w:val="-13"/>
                <w:position w:val="-3"/>
              </w:rPr>
              <w:t>608</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4" w:beforeAutospacing="0" w:after="0" w:afterAutospacing="0" w:line="171" w:lineRule="exact"/>
              <w:ind w:left="35" w:leftChars="0" w:right="0"/>
              <w:rPr>
                <w:rFonts w:hint="eastAsia" w:ascii="微软雅黑" w:hAnsi="微软雅黑" w:eastAsia="微软雅黑" w:cs="微软雅黑"/>
                <w:kern w:val="2"/>
                <w:sz w:val="18"/>
                <w:szCs w:val="18"/>
                <w:lang w:val="en-US" w:eastAsia="en-US" w:bidi="ar-SA"/>
              </w:rPr>
            </w:pPr>
            <w:r>
              <w:rPr>
                <w:rFonts w:hint="default"/>
                <w:spacing w:val="-2"/>
                <w:position w:val="-1"/>
              </w:rPr>
              <w:t>收费设施及地下管道</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4" w:beforeAutospacing="0" w:after="0" w:afterAutospacing="0" w:line="141" w:lineRule="exact"/>
              <w:ind w:left="420" w:leftChars="0" w:right="0"/>
              <w:rPr>
                <w:rFonts w:hint="eastAsia" w:ascii="微软雅黑" w:hAnsi="微软雅黑" w:eastAsia="微软雅黑" w:cs="微软雅黑"/>
                <w:kern w:val="2"/>
                <w:sz w:val="18"/>
                <w:szCs w:val="18"/>
                <w:lang w:val="en-US" w:eastAsia="en-US" w:bidi="ar-SA"/>
              </w:rPr>
            </w:pPr>
            <w:r>
              <w:rPr>
                <w:rFonts w:hint="default"/>
                <w:spacing w:val="-9"/>
                <w:position w:val="-3"/>
              </w:rPr>
              <w:t>608-2</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4" w:beforeAutospacing="0" w:after="0" w:afterAutospacing="0" w:line="171" w:lineRule="exact"/>
              <w:ind w:left="35" w:leftChars="0" w:right="0"/>
              <w:rPr>
                <w:rFonts w:hint="eastAsia" w:ascii="微软雅黑" w:hAnsi="微软雅黑" w:eastAsia="微软雅黑" w:cs="微软雅黑"/>
                <w:kern w:val="2"/>
                <w:sz w:val="18"/>
                <w:szCs w:val="18"/>
                <w:lang w:val="en-US" w:eastAsia="en-US" w:bidi="ar-SA"/>
              </w:rPr>
            </w:pPr>
            <w:r>
              <w:rPr>
                <w:rFonts w:hint="default"/>
                <w:spacing w:val="-3"/>
                <w:position w:val="-1"/>
              </w:rPr>
              <w:t>公交站移位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4" w:beforeAutospacing="0" w:after="0" w:afterAutospacing="0" w:line="171" w:lineRule="exact"/>
              <w:ind w:left="390" w:leftChars="0" w:right="0"/>
              <w:rPr>
                <w:rFonts w:hint="eastAsia" w:ascii="微软雅黑" w:hAnsi="微软雅黑" w:eastAsia="微软雅黑" w:cs="微软雅黑"/>
                <w:kern w:val="2"/>
                <w:sz w:val="18"/>
                <w:szCs w:val="18"/>
                <w:lang w:val="en-US" w:eastAsia="en-US" w:bidi="ar-SA"/>
              </w:rPr>
            </w:pPr>
            <w:r>
              <w:rPr>
                <w:rFonts w:hint="default"/>
                <w:position w:val="-1"/>
              </w:rPr>
              <w:t>个</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4" w:beforeAutospacing="0" w:after="0" w:afterAutospacing="0" w:line="141"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8"/>
                <w:position w:val="-3"/>
              </w:rPr>
              <w:t>1.000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4" w:beforeAutospacing="0" w:after="0" w:afterAutospacing="0" w:line="141"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64" w:beforeAutospacing="0" w:after="0" w:afterAutospacing="0" w:line="141" w:lineRule="exact"/>
              <w:ind w:left="0" w:right="3"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6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36" w:type="dxa"/>
            <w:gridSpan w:val="2"/>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清单 第600章 合计</w:t>
            </w:r>
          </w:p>
        </w:tc>
        <w:tc>
          <w:tcPr>
            <w:tcW w:w="4579" w:type="dxa"/>
            <w:gridSpan w:val="4"/>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人民币</w:t>
            </w:r>
          </w:p>
        </w:tc>
      </w:tr>
    </w:tbl>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48"/>
          <w:szCs w:val="48"/>
          <w:highlight w:val="none"/>
          <w:u w:val="none"/>
          <w:lang w:val="en-US" w:eastAsia="zh-CN" w:bidi="ar"/>
        </w:rPr>
      </w:pPr>
      <w:r>
        <w:rPr>
          <w:rFonts w:hint="eastAsia" w:ascii="宋体" w:hAnsi="宋体" w:eastAsia="宋体" w:cs="宋体"/>
          <w:b/>
          <w:bCs/>
          <w:i w:val="0"/>
          <w:iCs w:val="0"/>
          <w:color w:val="auto"/>
          <w:kern w:val="0"/>
          <w:sz w:val="48"/>
          <w:szCs w:val="48"/>
          <w:highlight w:val="none"/>
          <w:u w:val="none"/>
          <w:lang w:val="en-US" w:eastAsia="zh-CN" w:bidi="ar"/>
        </w:rPr>
        <w:br w:type="page"/>
      </w:r>
    </w:p>
    <w:tbl>
      <w:tblPr>
        <w:tblStyle w:val="24"/>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6"/>
        <w:gridCol w:w="3580"/>
        <w:gridCol w:w="995"/>
        <w:gridCol w:w="1194"/>
        <w:gridCol w:w="1195"/>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9615"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48"/>
                <w:szCs w:val="48"/>
                <w:highlight w:val="none"/>
                <w:u w:val="none"/>
              </w:rPr>
            </w:pPr>
            <w:r>
              <w:rPr>
                <w:rFonts w:hint="eastAsia" w:ascii="宋体" w:hAnsi="宋体" w:eastAsia="宋体" w:cs="宋体"/>
                <w:b/>
                <w:bCs/>
                <w:i w:val="0"/>
                <w:iCs w:val="0"/>
                <w:color w:val="auto"/>
                <w:kern w:val="0"/>
                <w:sz w:val="48"/>
                <w:szCs w:val="48"/>
                <w:highlight w:val="none"/>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225" w:type="dxa"/>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 段：2024年省级挂牌治理道路交通事故多发点段（S322临石线K71+600永安路口）整治工程</w:t>
            </w:r>
          </w:p>
        </w:tc>
        <w:tc>
          <w:tcPr>
            <w:tcW w:w="2390"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货币单位：人民币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615" w:type="dxa"/>
            <w:gridSpan w:val="6"/>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6"/>
                <w:szCs w:val="26"/>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清单 第700章 绿化及环境保护工程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细目号</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细目名称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计量单位</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工程数量</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单价</w:t>
            </w: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0" w:beforeAutospacing="0" w:after="0" w:afterAutospacing="0" w:line="154" w:lineRule="exact"/>
              <w:ind w:left="513" w:leftChars="0" w:right="0"/>
              <w:rPr>
                <w:rFonts w:hint="eastAsia" w:ascii="微软雅黑" w:hAnsi="微软雅黑" w:eastAsia="微软雅黑" w:cs="微软雅黑"/>
                <w:kern w:val="2"/>
                <w:sz w:val="18"/>
                <w:szCs w:val="18"/>
                <w:lang w:val="en-US" w:eastAsia="en-US" w:bidi="ar-SA"/>
              </w:rPr>
            </w:pPr>
            <w:r>
              <w:rPr>
                <w:rFonts w:hint="default"/>
                <w:spacing w:val="-13"/>
                <w:position w:val="-2"/>
              </w:rPr>
              <w:t>703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0" w:beforeAutospacing="0" w:after="0" w:afterAutospacing="0" w:line="184" w:lineRule="exact"/>
              <w:ind w:left="28" w:leftChars="0" w:right="0"/>
              <w:rPr>
                <w:rFonts w:hint="eastAsia" w:ascii="微软雅黑" w:hAnsi="微软雅黑" w:eastAsia="微软雅黑" w:cs="微软雅黑"/>
                <w:kern w:val="2"/>
                <w:sz w:val="18"/>
                <w:szCs w:val="18"/>
                <w:lang w:val="en-US" w:eastAsia="en-US" w:bidi="ar-SA"/>
              </w:rPr>
            </w:pPr>
            <w:r>
              <w:rPr>
                <w:rFonts w:hint="default"/>
                <w:spacing w:val="-1"/>
                <w:position w:val="-1"/>
              </w:rPr>
              <w:t>撒播草种和铺植草皮</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6" w:beforeAutospacing="0" w:after="0" w:afterAutospacing="0" w:line="153" w:lineRule="exact"/>
              <w:ind w:left="423" w:leftChars="0" w:right="0"/>
              <w:rPr>
                <w:rFonts w:hint="eastAsia" w:ascii="微软雅黑" w:hAnsi="微软雅黑" w:eastAsia="微软雅黑" w:cs="微软雅黑"/>
                <w:kern w:val="2"/>
                <w:sz w:val="18"/>
                <w:szCs w:val="18"/>
                <w:lang w:val="en-US" w:eastAsia="en-US" w:bidi="ar-SA"/>
              </w:rPr>
            </w:pPr>
            <w:r>
              <w:rPr>
                <w:rFonts w:hint="default"/>
                <w:spacing w:val="-10"/>
                <w:position w:val="-2"/>
              </w:rPr>
              <w:t>703-4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6" w:beforeAutospacing="0" w:after="0" w:afterAutospacing="0" w:line="183" w:lineRule="exact"/>
              <w:ind w:left="29" w:leftChars="0" w:right="0"/>
              <w:rPr>
                <w:rFonts w:hint="eastAsia" w:ascii="微软雅黑" w:hAnsi="微软雅黑" w:eastAsia="微软雅黑" w:cs="微软雅黑"/>
                <w:kern w:val="2"/>
                <w:sz w:val="18"/>
                <w:szCs w:val="18"/>
                <w:lang w:val="en-US" w:eastAsia="en-US" w:bidi="ar-SA"/>
              </w:rPr>
            </w:pPr>
            <w:r>
              <w:rPr>
                <w:rFonts w:hint="default"/>
                <w:spacing w:val="-3"/>
                <w:position w:val="-1"/>
              </w:rPr>
              <w:t>铺植草皮</w:t>
            </w:r>
            <w:r>
              <w:rPr>
                <w:rFonts w:hint="default"/>
                <w:spacing w:val="54"/>
                <w:w w:val="101"/>
                <w:position w:val="-1"/>
              </w:rPr>
              <w:t xml:space="preserve"> </w:t>
            </w:r>
            <w:r>
              <w:rPr>
                <w:rFonts w:hint="default"/>
                <w:spacing w:val="-3"/>
                <w:position w:val="-1"/>
              </w:rPr>
              <w:t>马尼拉</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6" w:beforeAutospacing="0" w:after="0" w:afterAutospacing="0" w:line="153" w:lineRule="exact"/>
              <w:ind w:left="385" w:leftChars="0" w:right="0"/>
              <w:rPr>
                <w:rFonts w:hint="eastAsia" w:ascii="微软雅黑" w:hAnsi="微软雅黑" w:eastAsia="微软雅黑" w:cs="微软雅黑"/>
                <w:kern w:val="2"/>
                <w:sz w:val="18"/>
                <w:szCs w:val="18"/>
                <w:lang w:val="en-US" w:eastAsia="en-US" w:bidi="ar-SA"/>
              </w:rPr>
            </w:pPr>
            <w:r>
              <w:rPr>
                <w:rFonts w:hint="default"/>
                <w:spacing w:val="-21"/>
                <w:w w:val="93"/>
                <w:position w:val="-2"/>
              </w:rPr>
              <w:t>m2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6" w:beforeAutospacing="0" w:after="0" w:afterAutospacing="0" w:line="153"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7"/>
                <w:position w:val="-2"/>
              </w:rPr>
              <w:t>30.500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6" w:beforeAutospacing="0" w:after="0" w:afterAutospacing="0" w:line="153" w:lineRule="exact"/>
              <w:ind w:left="0" w:right="1" w:rightChars="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66" w:beforeAutospacing="0" w:after="0" w:afterAutospacing="0" w:line="153" w:lineRule="exact"/>
              <w:ind w:left="0" w:right="3"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2" w:beforeAutospacing="0" w:after="0" w:afterAutospacing="0" w:line="152" w:lineRule="exact"/>
              <w:ind w:left="513" w:leftChars="0" w:right="0"/>
              <w:rPr>
                <w:rFonts w:hint="eastAsia" w:ascii="微软雅黑" w:hAnsi="微软雅黑" w:eastAsia="微软雅黑" w:cs="微软雅黑"/>
                <w:kern w:val="2"/>
                <w:sz w:val="18"/>
                <w:szCs w:val="18"/>
                <w:lang w:val="en-US" w:eastAsia="en-US" w:bidi="ar-SA"/>
              </w:rPr>
            </w:pPr>
            <w:r>
              <w:rPr>
                <w:rFonts w:hint="default"/>
                <w:spacing w:val="-12"/>
                <w:w w:val="99"/>
                <w:position w:val="-2"/>
              </w:rPr>
              <w:t>704</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2" w:beforeAutospacing="0" w:after="0" w:afterAutospacing="0" w:line="182" w:lineRule="exact"/>
              <w:ind w:left="30" w:leftChars="0" w:right="0"/>
              <w:rPr>
                <w:rFonts w:hint="eastAsia" w:ascii="微软雅黑" w:hAnsi="微软雅黑" w:eastAsia="微软雅黑" w:cs="微软雅黑"/>
                <w:kern w:val="2"/>
                <w:sz w:val="18"/>
                <w:szCs w:val="18"/>
                <w:lang w:val="en-US" w:eastAsia="en-US" w:bidi="ar-SA"/>
              </w:rPr>
            </w:pPr>
            <w:r>
              <w:rPr>
                <w:rFonts w:hint="default"/>
                <w:spacing w:val="-1"/>
                <w:position w:val="-1"/>
              </w:rPr>
              <w:t>种植乔木、灌木和攀缘植物</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3" w:beforeAutospacing="0" w:after="0" w:afterAutospacing="0" w:line="151" w:lineRule="exact"/>
              <w:ind w:left="423" w:leftChars="0" w:right="0"/>
              <w:rPr>
                <w:rFonts w:hint="eastAsia" w:ascii="微软雅黑" w:hAnsi="微软雅黑" w:eastAsia="微软雅黑" w:cs="微软雅黑"/>
                <w:kern w:val="2"/>
                <w:sz w:val="18"/>
                <w:szCs w:val="18"/>
                <w:lang w:val="en-US" w:eastAsia="en-US" w:bidi="ar-SA"/>
              </w:rPr>
            </w:pPr>
            <w:r>
              <w:rPr>
                <w:rFonts w:hint="default"/>
                <w:spacing w:val="-10"/>
                <w:position w:val="-2"/>
              </w:rPr>
              <w:t>704-3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3" w:beforeAutospacing="0" w:after="0" w:afterAutospacing="0" w:line="181" w:lineRule="exact"/>
              <w:ind w:left="30" w:leftChars="0" w:right="0"/>
              <w:rPr>
                <w:rFonts w:hint="eastAsia" w:ascii="微软雅黑" w:hAnsi="微软雅黑" w:eastAsia="微软雅黑" w:cs="微软雅黑"/>
                <w:kern w:val="2"/>
                <w:sz w:val="18"/>
                <w:szCs w:val="18"/>
                <w:lang w:val="en-US" w:eastAsia="en-US" w:bidi="ar-SA"/>
              </w:rPr>
            </w:pPr>
            <w:r>
              <w:rPr>
                <w:rFonts w:hint="default"/>
                <w:spacing w:val="-7"/>
                <w:position w:val="-1"/>
              </w:rPr>
              <w:t>人工片植灌木</w:t>
            </w:r>
            <w:r>
              <w:rPr>
                <w:rFonts w:hint="default"/>
                <w:spacing w:val="47"/>
                <w:position w:val="-1"/>
              </w:rPr>
              <w:t xml:space="preserve"> </w:t>
            </w:r>
            <w:r>
              <w:rPr>
                <w:rFonts w:hint="default"/>
                <w:spacing w:val="-7"/>
                <w:position w:val="-1"/>
              </w:rPr>
              <w:t>移植红叶石楠</w:t>
            </w:r>
            <w:r>
              <w:rPr>
                <w:rFonts w:hint="default"/>
                <w:spacing w:val="47"/>
                <w:w w:val="101"/>
                <w:position w:val="-1"/>
              </w:rPr>
              <w:t xml:space="preserve"> </w:t>
            </w:r>
            <w:r>
              <w:rPr>
                <w:rFonts w:hint="default"/>
                <w:spacing w:val="-7"/>
                <w:position w:val="-1"/>
              </w:rPr>
              <w:t>36株/m2</w:t>
            </w:r>
            <w:r>
              <w:rPr>
                <w:rFonts w:hint="default"/>
                <w:spacing w:val="44"/>
                <w:position w:val="-1"/>
              </w:rPr>
              <w:t xml:space="preserve"> </w:t>
            </w:r>
            <w:r>
              <w:rPr>
                <w:rFonts w:hint="default"/>
                <w:spacing w:val="-7"/>
                <w:position w:val="-1"/>
              </w:rPr>
              <w:t>含挖种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3" w:beforeAutospacing="0" w:after="0" w:afterAutospacing="0" w:line="151" w:lineRule="exact"/>
              <w:ind w:left="385" w:leftChars="0" w:right="0"/>
              <w:rPr>
                <w:rFonts w:hint="eastAsia" w:ascii="微软雅黑" w:hAnsi="微软雅黑" w:eastAsia="微软雅黑" w:cs="微软雅黑"/>
                <w:kern w:val="2"/>
                <w:sz w:val="18"/>
                <w:szCs w:val="18"/>
                <w:lang w:val="en-US" w:eastAsia="en-US" w:bidi="ar-SA"/>
              </w:rPr>
            </w:pPr>
            <w:r>
              <w:rPr>
                <w:rFonts w:hint="default"/>
                <w:spacing w:val="-21"/>
                <w:w w:val="93"/>
                <w:position w:val="-2"/>
              </w:rPr>
              <w:t>m2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3" w:beforeAutospacing="0" w:after="0" w:afterAutospacing="0" w:line="151"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7"/>
                <w:position w:val="-2"/>
              </w:rPr>
              <w:t>30.500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3" w:beforeAutospacing="0" w:after="0" w:afterAutospacing="0" w:line="151"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3" w:beforeAutospacing="0" w:after="0" w:afterAutospacing="0" w:line="151" w:lineRule="exact"/>
              <w:ind w:left="0" w:right="3"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9" w:beforeAutospacing="0" w:after="0" w:afterAutospacing="0" w:line="150" w:lineRule="exact"/>
              <w:ind w:left="513" w:leftChars="0" w:right="0"/>
              <w:rPr>
                <w:rFonts w:hint="eastAsia" w:ascii="微软雅黑" w:hAnsi="微软雅黑" w:eastAsia="微软雅黑" w:cs="微软雅黑"/>
                <w:kern w:val="2"/>
                <w:sz w:val="18"/>
                <w:szCs w:val="18"/>
                <w:lang w:val="en-US" w:eastAsia="en-US" w:bidi="ar-SA"/>
              </w:rPr>
            </w:pPr>
            <w:r>
              <w:rPr>
                <w:rFonts w:hint="default"/>
                <w:spacing w:val="-13"/>
                <w:position w:val="-2"/>
              </w:rPr>
              <w:t>705</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9" w:beforeAutospacing="0" w:after="0" w:afterAutospacing="0" w:line="180" w:lineRule="exact"/>
              <w:ind w:left="30" w:leftChars="0" w:right="0"/>
              <w:rPr>
                <w:rFonts w:hint="eastAsia" w:ascii="微软雅黑" w:hAnsi="微软雅黑" w:eastAsia="微软雅黑" w:cs="微软雅黑"/>
                <w:kern w:val="2"/>
                <w:sz w:val="18"/>
                <w:szCs w:val="18"/>
                <w:lang w:val="en-US" w:eastAsia="en-US" w:bidi="ar-SA"/>
              </w:rPr>
            </w:pPr>
            <w:r>
              <w:rPr>
                <w:rFonts w:hint="default"/>
                <w:spacing w:val="-1"/>
                <w:position w:val="-1"/>
              </w:rPr>
              <w:t>植物养护和管理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423" w:leftChars="0" w:right="0"/>
              <w:rPr>
                <w:rFonts w:hint="eastAsia" w:ascii="微软雅黑" w:hAnsi="微软雅黑" w:eastAsia="微软雅黑" w:cs="微软雅黑"/>
                <w:kern w:val="2"/>
                <w:sz w:val="18"/>
                <w:szCs w:val="18"/>
                <w:lang w:val="en-US" w:eastAsia="en-US" w:bidi="ar-SA"/>
              </w:rPr>
            </w:pPr>
            <w:r>
              <w:rPr>
                <w:rFonts w:hint="default"/>
                <w:spacing w:val="-10"/>
                <w:position w:val="-2"/>
              </w:rPr>
              <w:t>705-1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5" w:beforeAutospacing="0" w:after="0" w:afterAutospacing="0" w:line="180" w:lineRule="exact"/>
              <w:ind w:left="29" w:leftChars="0" w:right="0"/>
              <w:rPr>
                <w:rFonts w:hint="eastAsia" w:ascii="微软雅黑" w:hAnsi="微软雅黑" w:eastAsia="微软雅黑" w:cs="微软雅黑"/>
                <w:kern w:val="2"/>
                <w:sz w:val="18"/>
                <w:szCs w:val="18"/>
                <w:lang w:val="en-US" w:eastAsia="en-US" w:bidi="ar-SA"/>
              </w:rPr>
            </w:pPr>
            <w:r>
              <w:rPr>
                <w:rFonts w:hint="default"/>
                <w:spacing w:val="-4"/>
                <w:position w:val="-1"/>
              </w:rPr>
              <w:t>铺植草皮</w:t>
            </w:r>
            <w:r>
              <w:rPr>
                <w:rFonts w:hint="default"/>
                <w:spacing w:val="55"/>
                <w:w w:val="101"/>
                <w:position w:val="-1"/>
              </w:rPr>
              <w:t xml:space="preserve"> </w:t>
            </w:r>
            <w:r>
              <w:rPr>
                <w:rFonts w:hint="default"/>
                <w:spacing w:val="-4"/>
                <w:position w:val="-1"/>
              </w:rPr>
              <w:t>马尼拉</w:t>
            </w:r>
            <w:r>
              <w:rPr>
                <w:rFonts w:hint="default"/>
                <w:spacing w:val="43"/>
                <w:position w:val="-1"/>
              </w:rPr>
              <w:t xml:space="preserve"> </w:t>
            </w:r>
            <w:r>
              <w:rPr>
                <w:rFonts w:hint="default"/>
                <w:spacing w:val="-4"/>
                <w:position w:val="-1"/>
              </w:rPr>
              <w:t>养护期1年</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385" w:leftChars="0" w:right="0"/>
              <w:rPr>
                <w:rFonts w:hint="eastAsia" w:ascii="微软雅黑" w:hAnsi="微软雅黑" w:eastAsia="微软雅黑" w:cs="微软雅黑"/>
                <w:kern w:val="2"/>
                <w:sz w:val="18"/>
                <w:szCs w:val="18"/>
                <w:lang w:val="en-US" w:eastAsia="en-US" w:bidi="ar-SA"/>
              </w:rPr>
            </w:pPr>
            <w:r>
              <w:rPr>
                <w:rFonts w:hint="default"/>
                <w:spacing w:val="-21"/>
                <w:w w:val="93"/>
                <w:position w:val="-2"/>
              </w:rPr>
              <w:t>m2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7"/>
                <w:position w:val="-2"/>
              </w:rPr>
              <w:t>30.500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0" w:right="4" w:rightChars="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6" w:beforeAutospacing="0" w:after="0" w:afterAutospacing="0" w:line="148" w:lineRule="exact"/>
              <w:ind w:left="0" w:right="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423" w:leftChars="0" w:right="0"/>
              <w:rPr>
                <w:rFonts w:hint="eastAsia" w:ascii="微软雅黑" w:hAnsi="微软雅黑" w:eastAsia="微软雅黑" w:cs="微软雅黑"/>
                <w:kern w:val="2"/>
                <w:sz w:val="18"/>
                <w:szCs w:val="18"/>
                <w:lang w:val="en-US" w:eastAsia="en-US" w:bidi="ar-SA"/>
              </w:rPr>
            </w:pPr>
            <w:r>
              <w:rPr>
                <w:rFonts w:hint="default"/>
                <w:spacing w:val="-10"/>
                <w:position w:val="-2"/>
              </w:rPr>
              <w:t>705-2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5" w:beforeAutospacing="0" w:after="0" w:afterAutospacing="0" w:line="180" w:lineRule="exact"/>
              <w:ind w:left="30" w:leftChars="0" w:right="0"/>
              <w:rPr>
                <w:rFonts w:hint="eastAsia" w:ascii="微软雅黑" w:hAnsi="微软雅黑" w:eastAsia="微软雅黑" w:cs="微软雅黑"/>
                <w:kern w:val="2"/>
                <w:sz w:val="18"/>
                <w:szCs w:val="18"/>
                <w:lang w:val="en-US" w:eastAsia="en-US" w:bidi="ar-SA"/>
              </w:rPr>
            </w:pPr>
            <w:r>
              <w:rPr>
                <w:rFonts w:hint="default"/>
                <w:spacing w:val="-3"/>
                <w:position w:val="-1"/>
              </w:rPr>
              <w:t>人工片植灌木</w:t>
            </w:r>
            <w:r>
              <w:rPr>
                <w:rFonts w:hint="default"/>
                <w:spacing w:val="45"/>
                <w:position w:val="-1"/>
              </w:rPr>
              <w:t xml:space="preserve"> </w:t>
            </w:r>
            <w:r>
              <w:rPr>
                <w:rFonts w:hint="default"/>
                <w:spacing w:val="-3"/>
                <w:position w:val="-1"/>
              </w:rPr>
              <w:t>养护期1年</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385" w:leftChars="0" w:right="0"/>
              <w:rPr>
                <w:rFonts w:hint="eastAsia" w:ascii="微软雅黑" w:hAnsi="微软雅黑" w:eastAsia="微软雅黑" w:cs="微软雅黑"/>
                <w:kern w:val="2"/>
                <w:sz w:val="18"/>
                <w:szCs w:val="18"/>
                <w:lang w:val="en-US" w:eastAsia="zh-CN" w:bidi="ar-SA"/>
              </w:rPr>
            </w:pPr>
            <w:r>
              <w:rPr>
                <w:rFonts w:hint="default"/>
                <w:spacing w:val="-21"/>
                <w:w w:val="93"/>
                <w:position w:val="-2"/>
              </w:rPr>
              <w:t>m2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0" w:right="0"/>
              <w:jc w:val="right"/>
              <w:rPr>
                <w:rFonts w:hint="eastAsia" w:ascii="微软雅黑" w:hAnsi="微软雅黑" w:eastAsia="微软雅黑" w:cs="微软雅黑"/>
                <w:kern w:val="2"/>
                <w:sz w:val="18"/>
                <w:szCs w:val="18"/>
                <w:lang w:val="en-US" w:eastAsia="zh-CN" w:bidi="ar-SA"/>
              </w:rPr>
            </w:pPr>
            <w:r>
              <w:rPr>
                <w:rFonts w:hint="default"/>
                <w:spacing w:val="-7"/>
                <w:position w:val="-2"/>
              </w:rPr>
              <w:t>30.500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0" w:right="1" w:rightChars="0"/>
              <w:jc w:val="right"/>
              <w:rPr>
                <w:rFonts w:hint="eastAsia" w:ascii="微软雅黑" w:hAnsi="微软雅黑" w:eastAsia="微软雅黑" w:cs="微软雅黑"/>
                <w:kern w:val="2"/>
                <w:sz w:val="18"/>
                <w:szCs w:val="18"/>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5" w:beforeAutospacing="0" w:after="0" w:afterAutospacing="0" w:line="150" w:lineRule="exact"/>
              <w:ind w:left="0" w:right="2" w:rightChars="0"/>
              <w:jc w:val="right"/>
              <w:rPr>
                <w:rFonts w:hint="eastAsia" w:ascii="微软雅黑" w:hAnsi="微软雅黑" w:eastAsia="微软雅黑" w:cs="微软雅黑"/>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0" w:beforeAutospacing="0" w:after="0" w:afterAutospacing="0" w:line="149" w:lineRule="exact"/>
              <w:ind w:left="423" w:leftChars="0" w:right="0"/>
              <w:rPr>
                <w:rFonts w:hint="eastAsia" w:ascii="微软雅黑" w:hAnsi="微软雅黑" w:eastAsia="微软雅黑" w:cs="微软雅黑"/>
                <w:kern w:val="2"/>
                <w:sz w:val="18"/>
                <w:szCs w:val="18"/>
                <w:lang w:val="en-US" w:eastAsia="en-US" w:bidi="ar-SA"/>
              </w:rPr>
            </w:pPr>
            <w:r>
              <w:rPr>
                <w:rFonts w:hint="default"/>
                <w:spacing w:val="-10"/>
                <w:position w:val="-2"/>
              </w:rPr>
              <w:t>705-3</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0" w:beforeAutospacing="0" w:after="0" w:afterAutospacing="0" w:line="179" w:lineRule="exact"/>
              <w:ind w:left="31" w:leftChars="0" w:right="0"/>
              <w:rPr>
                <w:rFonts w:hint="eastAsia" w:ascii="微软雅黑" w:hAnsi="微软雅黑" w:eastAsia="微软雅黑" w:cs="微软雅黑"/>
                <w:kern w:val="2"/>
                <w:sz w:val="18"/>
                <w:szCs w:val="18"/>
                <w:lang w:val="en-US" w:eastAsia="en-US" w:bidi="ar-SA"/>
              </w:rPr>
            </w:pPr>
            <w:r>
              <w:rPr>
                <w:rFonts w:hint="default"/>
                <w:spacing w:val="-2"/>
                <w:position w:val="-1"/>
              </w:rPr>
              <w:t>绿化修剪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0" w:beforeAutospacing="0" w:after="0" w:afterAutospacing="0" w:line="149" w:lineRule="exact"/>
              <w:ind w:left="385" w:leftChars="0" w:right="0"/>
              <w:rPr>
                <w:rFonts w:hint="eastAsia" w:ascii="微软雅黑" w:hAnsi="微软雅黑" w:eastAsia="微软雅黑" w:cs="微软雅黑"/>
                <w:kern w:val="2"/>
                <w:sz w:val="18"/>
                <w:szCs w:val="18"/>
                <w:lang w:val="en-US" w:eastAsia="zh-CN" w:bidi="ar-SA"/>
              </w:rPr>
            </w:pPr>
            <w:r>
              <w:rPr>
                <w:rFonts w:hint="default"/>
                <w:spacing w:val="-21"/>
                <w:w w:val="93"/>
                <w:position w:val="-2"/>
              </w:rPr>
              <w:t>m2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0" w:beforeAutospacing="0" w:after="0" w:afterAutospacing="0" w:line="149" w:lineRule="exact"/>
              <w:ind w:left="0" w:right="0"/>
              <w:jc w:val="right"/>
              <w:rPr>
                <w:rFonts w:hint="eastAsia" w:ascii="微软雅黑" w:hAnsi="微软雅黑" w:eastAsia="微软雅黑" w:cs="微软雅黑"/>
                <w:kern w:val="2"/>
                <w:sz w:val="18"/>
                <w:szCs w:val="18"/>
                <w:lang w:val="en-US" w:eastAsia="zh-CN" w:bidi="ar-SA"/>
              </w:rPr>
            </w:pPr>
            <w:r>
              <w:rPr>
                <w:rFonts w:hint="default"/>
                <w:spacing w:val="-7"/>
                <w:position w:val="-2"/>
              </w:rPr>
              <w:t>50.000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0" w:beforeAutospacing="0" w:after="0" w:afterAutospacing="0" w:line="149" w:lineRule="exact"/>
              <w:ind w:left="0" w:right="1" w:rightChars="0"/>
              <w:jc w:val="right"/>
              <w:rPr>
                <w:rFonts w:hint="eastAsia" w:ascii="微软雅黑" w:hAnsi="微软雅黑" w:eastAsia="微软雅黑" w:cs="微软雅黑"/>
                <w:kern w:val="2"/>
                <w:sz w:val="18"/>
                <w:szCs w:val="18"/>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70" w:beforeAutospacing="0" w:after="0" w:afterAutospacing="0" w:line="149" w:lineRule="exact"/>
              <w:ind w:left="0" w:right="0"/>
              <w:jc w:val="right"/>
              <w:rPr>
                <w:rFonts w:hint="eastAsia" w:ascii="微软雅黑" w:hAnsi="微软雅黑" w:eastAsia="微软雅黑" w:cs="微软雅黑"/>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6" w:beforeAutospacing="0" w:after="0" w:afterAutospacing="0" w:line="148"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6" w:beforeAutospacing="0" w:after="0" w:afterAutospacing="0" w:line="178" w:lineRule="exact"/>
              <w:ind w:left="32"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6" w:beforeAutospacing="0" w:after="0" w:afterAutospacing="0" w:line="148"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6" w:beforeAutospacing="0" w:after="0" w:afterAutospacing="0" w:line="178" w:lineRule="exact"/>
              <w:ind w:left="30"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6" w:beforeAutospacing="0" w:after="0" w:afterAutospacing="0" w:line="148" w:lineRule="exact"/>
              <w:ind w:left="385" w:leftChars="0" w:right="0"/>
              <w:rPr>
                <w:rFonts w:hint="eastAsia" w:ascii="微软雅黑" w:hAnsi="微软雅黑" w:eastAsia="微软雅黑" w:cs="微软雅黑"/>
                <w:kern w:val="2"/>
                <w:sz w:val="18"/>
                <w:szCs w:val="18"/>
                <w:lang w:val="en-US" w:eastAsia="en-US"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6" w:beforeAutospacing="0" w:after="0" w:afterAutospacing="0" w:line="148"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6" w:beforeAutospacing="0" w:after="0" w:afterAutospacing="0" w:line="148"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6" w:beforeAutospacing="0" w:after="0" w:afterAutospacing="0" w:line="148" w:lineRule="exact"/>
              <w:ind w:left="0" w:right="4"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1" w:beforeAutospacing="0" w:after="0" w:afterAutospacing="0" w:line="148"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1" w:beforeAutospacing="0" w:after="0" w:afterAutospacing="0" w:line="178" w:lineRule="exact"/>
              <w:ind w:left="45"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7" w:beforeAutospacing="0" w:after="0" w:afterAutospacing="0" w:line="177" w:lineRule="exact"/>
              <w:ind w:left="27"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385" w:leftChars="0" w:right="0"/>
              <w:rPr>
                <w:rFonts w:hint="eastAsia" w:ascii="微软雅黑" w:hAnsi="微软雅黑" w:eastAsia="微软雅黑" w:cs="微软雅黑"/>
                <w:kern w:val="2"/>
                <w:sz w:val="18"/>
                <w:szCs w:val="18"/>
                <w:lang w:val="en-US" w:eastAsia="en-US"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7" w:beforeAutospacing="0" w:after="0" w:afterAutospacing="0" w:line="148" w:lineRule="exact"/>
              <w:ind w:left="0" w:right="4"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7" w:beforeAutospacing="0" w:after="0" w:afterAutospacing="0" w:line="148"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7" w:beforeAutospacing="0" w:after="0" w:afterAutospacing="0" w:line="177" w:lineRule="exact"/>
              <w:ind w:left="31"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2" w:beforeAutospacing="0" w:after="0" w:afterAutospacing="0" w:line="147"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2" w:beforeAutospacing="0" w:after="0" w:afterAutospacing="0" w:line="177" w:lineRule="exact"/>
              <w:ind w:left="31"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8" w:beforeAutospacing="0" w:after="0" w:afterAutospacing="0" w:line="146"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8" w:beforeAutospacing="0" w:after="0" w:afterAutospacing="0" w:line="177" w:lineRule="exact"/>
              <w:ind w:left="28"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8" w:beforeAutospacing="0" w:after="0" w:afterAutospacing="0" w:line="146" w:lineRule="exact"/>
              <w:ind w:left="385" w:leftChars="0" w:right="0"/>
              <w:rPr>
                <w:rFonts w:hint="eastAsia" w:ascii="微软雅黑" w:hAnsi="微软雅黑" w:eastAsia="微软雅黑" w:cs="微软雅黑"/>
                <w:kern w:val="2"/>
                <w:sz w:val="18"/>
                <w:szCs w:val="18"/>
                <w:lang w:val="en-US" w:eastAsia="en-US"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8" w:beforeAutospacing="0" w:after="0" w:afterAutospacing="0" w:line="146"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8" w:beforeAutospacing="0" w:after="0" w:afterAutospacing="0" w:line="146"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8" w:beforeAutospacing="0" w:after="0" w:afterAutospacing="0" w:line="146" w:lineRule="exact"/>
              <w:ind w:left="0" w:right="1"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8" w:beforeAutospacing="0" w:after="0" w:afterAutospacing="0" w:line="146"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8" w:beforeAutospacing="0" w:after="0" w:afterAutospacing="0" w:line="177" w:lineRule="exact"/>
              <w:ind w:left="31"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3" w:beforeAutospacing="0" w:after="0" w:afterAutospacing="0" w:line="146"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3" w:beforeAutospacing="0" w:after="0" w:afterAutospacing="0" w:line="176" w:lineRule="exact"/>
              <w:ind w:left="31"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3" w:beforeAutospacing="0" w:after="0" w:afterAutospacing="0" w:line="146" w:lineRule="exact"/>
              <w:ind w:left="385" w:leftChars="0" w:right="0"/>
              <w:rPr>
                <w:rFonts w:hint="eastAsia" w:ascii="微软雅黑" w:hAnsi="微软雅黑" w:eastAsia="微软雅黑" w:cs="微软雅黑"/>
                <w:kern w:val="2"/>
                <w:sz w:val="18"/>
                <w:szCs w:val="18"/>
                <w:lang w:val="en-US" w:eastAsia="en-US"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3" w:beforeAutospacing="0" w:after="0" w:afterAutospacing="0" w:line="146"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3" w:beforeAutospacing="0" w:after="0" w:afterAutospacing="0" w:line="146" w:lineRule="exact"/>
              <w:ind w:left="0" w:right="2" w:rightChars="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73" w:beforeAutospacing="0" w:after="0" w:afterAutospacing="0" w:line="146" w:lineRule="exact"/>
              <w:ind w:left="0" w:right="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9" w:beforeAutospacing="0" w:after="0" w:afterAutospacing="0" w:line="146"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9" w:beforeAutospacing="0" w:after="0" w:afterAutospacing="0" w:line="176" w:lineRule="exact"/>
              <w:ind w:left="31"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9" w:beforeAutospacing="0" w:after="0" w:afterAutospacing="0" w:line="146"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9" w:beforeAutospacing="0" w:after="0" w:afterAutospacing="0" w:line="176" w:lineRule="exact"/>
              <w:ind w:left="29"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4" w:beforeAutospacing="0" w:after="0" w:afterAutospacing="0" w:line="145"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4" w:beforeAutospacing="0" w:after="0" w:afterAutospacing="0" w:line="175" w:lineRule="exact"/>
              <w:ind w:left="30"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4" w:beforeAutospacing="0" w:after="0" w:afterAutospacing="0" w:line="145" w:lineRule="exact"/>
              <w:ind w:left="385" w:leftChars="0" w:right="0"/>
              <w:rPr>
                <w:rFonts w:hint="eastAsia" w:ascii="微软雅黑" w:hAnsi="微软雅黑" w:eastAsia="微软雅黑" w:cs="微软雅黑"/>
                <w:kern w:val="2"/>
                <w:sz w:val="18"/>
                <w:szCs w:val="18"/>
                <w:lang w:val="en-US" w:eastAsia="en-US"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4" w:beforeAutospacing="0" w:after="0" w:afterAutospacing="0" w:line="145" w:lineRule="exact"/>
              <w:ind w:left="0" w:right="1" w:rightChars="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4" w:beforeAutospacing="0" w:after="0" w:afterAutospacing="0" w:line="145"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74" w:beforeAutospacing="0" w:after="0" w:afterAutospacing="0" w:line="145" w:lineRule="exact"/>
              <w:ind w:left="0" w:right="4"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0" w:beforeAutospacing="0" w:after="0" w:afterAutospacing="0" w:line="145"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0" w:beforeAutospacing="0" w:after="0" w:afterAutospacing="0" w:line="175" w:lineRule="exact"/>
              <w:ind w:left="31"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5" w:beforeAutospacing="0" w:after="0" w:afterAutospacing="0" w:line="144"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5" w:beforeAutospacing="0" w:after="0" w:afterAutospacing="0" w:line="174" w:lineRule="exact"/>
              <w:ind w:left="30"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1" w:beforeAutospacing="0" w:after="0" w:afterAutospacing="0" w:line="143"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1" w:beforeAutospacing="0" w:after="0" w:afterAutospacing="0" w:line="173" w:lineRule="exact"/>
              <w:ind w:left="25"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1" w:beforeAutospacing="0" w:after="0" w:afterAutospacing="0" w:line="143"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1" w:beforeAutospacing="0" w:after="0" w:afterAutospacing="0" w:line="143" w:lineRule="exact"/>
              <w:ind w:left="26"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1" w:beforeAutospacing="0" w:after="0" w:afterAutospacing="0" w:line="173" w:lineRule="exact"/>
              <w:ind w:left="430" w:leftChars="0" w:right="0"/>
              <w:rPr>
                <w:rFonts w:hint="eastAsia" w:ascii="微软雅黑" w:hAnsi="微软雅黑" w:eastAsia="微软雅黑" w:cs="微软雅黑"/>
                <w:kern w:val="2"/>
                <w:sz w:val="18"/>
                <w:szCs w:val="18"/>
                <w:lang w:val="en-US" w:eastAsia="en-US"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1" w:beforeAutospacing="0" w:after="0" w:afterAutospacing="0" w:line="143"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1" w:beforeAutospacing="0" w:after="0" w:afterAutospacing="0" w:line="143"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61" w:beforeAutospacing="0" w:after="0" w:afterAutospacing="0" w:line="143" w:lineRule="exact"/>
              <w:ind w:left="0" w:right="3"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6" w:beforeAutospacing="0" w:after="0" w:afterAutospacing="0" w:line="143"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6" w:beforeAutospacing="0" w:after="0" w:afterAutospacing="0" w:line="173" w:lineRule="exact"/>
              <w:ind w:left="29"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6" w:beforeAutospacing="0" w:after="0" w:afterAutospacing="0" w:line="173" w:lineRule="exact"/>
              <w:ind w:left="388" w:leftChars="0" w:right="0"/>
              <w:rPr>
                <w:rFonts w:hint="eastAsia" w:ascii="微软雅黑" w:hAnsi="微软雅黑" w:eastAsia="微软雅黑" w:cs="微软雅黑"/>
                <w:kern w:val="2"/>
                <w:sz w:val="18"/>
                <w:szCs w:val="18"/>
                <w:lang w:val="en-US" w:eastAsia="en-US"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6" w:beforeAutospacing="0" w:after="0" w:afterAutospacing="0" w:line="143" w:lineRule="exact"/>
              <w:ind w:left="0" w:right="1" w:rightChars="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6" w:beforeAutospacing="0" w:after="0" w:afterAutospacing="0" w:line="143"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76" w:beforeAutospacing="0" w:after="0" w:afterAutospacing="0" w:line="143" w:lineRule="exact"/>
              <w:ind w:left="0" w:right="3"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36" w:type="dxa"/>
            <w:gridSpan w:val="2"/>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清单 第700章 合计</w:t>
            </w:r>
          </w:p>
        </w:tc>
        <w:tc>
          <w:tcPr>
            <w:tcW w:w="4579" w:type="dxa"/>
            <w:gridSpan w:val="4"/>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9615"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48"/>
                <w:szCs w:val="48"/>
                <w:highlight w:val="none"/>
                <w:u w:val="none"/>
              </w:rPr>
            </w:pPr>
            <w:r>
              <w:rPr>
                <w:rFonts w:hint="eastAsia" w:ascii="宋体" w:hAnsi="宋体" w:eastAsia="宋体" w:cs="宋体"/>
                <w:b/>
                <w:bCs/>
                <w:i w:val="0"/>
                <w:iCs w:val="0"/>
                <w:color w:val="auto"/>
                <w:kern w:val="0"/>
                <w:sz w:val="48"/>
                <w:szCs w:val="48"/>
                <w:highlight w:val="none"/>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225" w:type="dxa"/>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 段：2024年省级挂牌治理道路交通事故多发点段（S322临石线K71+600永安路口）整治工程</w:t>
            </w:r>
          </w:p>
        </w:tc>
        <w:tc>
          <w:tcPr>
            <w:tcW w:w="2390"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货币单位：人民币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615" w:type="dxa"/>
            <w:gridSpan w:val="6"/>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6"/>
                <w:szCs w:val="26"/>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清单 第800章 管理养护设施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细目号</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细目名称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计量单位</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工程数量</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单价</w:t>
            </w: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0" w:beforeAutospacing="0" w:after="0" w:afterAutospacing="0" w:line="154" w:lineRule="exact"/>
              <w:ind w:left="510" w:leftChars="0" w:right="0"/>
              <w:rPr>
                <w:rFonts w:hint="eastAsia" w:ascii="微软雅黑" w:hAnsi="微软雅黑" w:eastAsia="微软雅黑" w:cs="微软雅黑"/>
                <w:kern w:val="2"/>
                <w:sz w:val="18"/>
                <w:szCs w:val="18"/>
                <w:lang w:val="en-US" w:eastAsia="en-US" w:bidi="ar-SA"/>
              </w:rPr>
            </w:pPr>
            <w:r>
              <w:rPr>
                <w:rFonts w:hint="default"/>
                <w:spacing w:val="-13"/>
                <w:position w:val="-2"/>
              </w:rPr>
              <w:t>807</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0" w:beforeAutospacing="0" w:after="0" w:afterAutospacing="0" w:line="184" w:lineRule="exact"/>
              <w:ind w:left="30" w:leftChars="0" w:right="0"/>
              <w:rPr>
                <w:rFonts w:hint="eastAsia" w:ascii="微软雅黑" w:hAnsi="微软雅黑" w:eastAsia="微软雅黑" w:cs="微软雅黑"/>
                <w:kern w:val="2"/>
                <w:sz w:val="18"/>
                <w:szCs w:val="18"/>
                <w:lang w:val="en-US" w:eastAsia="en-US" w:bidi="ar-SA"/>
              </w:rPr>
            </w:pPr>
            <w:r>
              <w:rPr>
                <w:rFonts w:hint="default"/>
                <w:spacing w:val="-1"/>
                <w:position w:val="-1"/>
              </w:rPr>
              <w:t>供配电照明系统</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6" w:beforeAutospacing="0" w:after="0" w:afterAutospacing="0" w:line="153" w:lineRule="exact"/>
              <w:ind w:left="420" w:leftChars="0" w:right="0"/>
              <w:rPr>
                <w:rFonts w:hint="eastAsia" w:ascii="微软雅黑" w:hAnsi="微软雅黑" w:eastAsia="微软雅黑" w:cs="微软雅黑"/>
                <w:kern w:val="2"/>
                <w:sz w:val="18"/>
                <w:szCs w:val="18"/>
                <w:lang w:val="en-US" w:eastAsia="en-US" w:bidi="ar-SA"/>
              </w:rPr>
            </w:pPr>
            <w:r>
              <w:rPr>
                <w:rFonts w:hint="default"/>
                <w:spacing w:val="-9"/>
                <w:position w:val="-2"/>
              </w:rPr>
              <w:t>807-8</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6" w:beforeAutospacing="0" w:after="0" w:afterAutospacing="0" w:line="183" w:lineRule="exact"/>
              <w:ind w:left="31" w:leftChars="0" w:right="0"/>
              <w:rPr>
                <w:rFonts w:hint="eastAsia" w:ascii="微软雅黑" w:hAnsi="微软雅黑" w:eastAsia="微软雅黑" w:cs="微软雅黑"/>
                <w:kern w:val="2"/>
                <w:sz w:val="18"/>
                <w:szCs w:val="18"/>
                <w:lang w:val="en-US" w:eastAsia="en-US" w:bidi="ar-SA"/>
              </w:rPr>
            </w:pPr>
            <w:r>
              <w:rPr>
                <w:rFonts w:hint="default"/>
                <w:spacing w:val="-3"/>
                <w:position w:val="-1"/>
              </w:rPr>
              <w:t>路灯</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en-US"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en-US"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2" w:beforeAutospacing="0" w:after="0" w:afterAutospacing="0" w:line="152" w:lineRule="exact"/>
              <w:ind w:left="330" w:leftChars="0" w:right="0"/>
              <w:rPr>
                <w:rFonts w:hint="eastAsia" w:ascii="微软雅黑" w:hAnsi="微软雅黑" w:eastAsia="微软雅黑" w:cs="微软雅黑"/>
                <w:kern w:val="2"/>
                <w:sz w:val="18"/>
                <w:szCs w:val="18"/>
                <w:lang w:val="en-US" w:eastAsia="en-US" w:bidi="ar-SA"/>
              </w:rPr>
            </w:pPr>
            <w:r>
              <w:rPr>
                <w:rFonts w:hint="default"/>
                <w:spacing w:val="-7"/>
                <w:position w:val="-2"/>
              </w:rPr>
              <w:t>807-8-1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2" w:beforeAutospacing="0" w:after="0" w:afterAutospacing="0" w:line="182" w:lineRule="exact"/>
              <w:ind w:left="29" w:leftChars="0" w:right="0"/>
              <w:rPr>
                <w:rFonts w:hint="eastAsia" w:ascii="微软雅黑" w:hAnsi="微软雅黑" w:eastAsia="微软雅黑" w:cs="微软雅黑"/>
                <w:kern w:val="2"/>
                <w:sz w:val="18"/>
                <w:szCs w:val="18"/>
                <w:lang w:val="en-US" w:eastAsia="en-US" w:bidi="ar-SA"/>
              </w:rPr>
            </w:pPr>
            <w:r>
              <w:rPr>
                <w:rFonts w:hint="default"/>
                <w:spacing w:val="-2"/>
                <w:position w:val="-1"/>
              </w:rPr>
              <w:t>道路杆灯</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3" w:beforeAutospacing="0" w:after="0" w:afterAutospacing="0" w:line="151" w:lineRule="exact"/>
              <w:ind w:left="240" w:leftChars="0" w:right="0"/>
              <w:rPr>
                <w:rFonts w:hint="eastAsia" w:ascii="微软雅黑" w:hAnsi="微软雅黑" w:eastAsia="微软雅黑" w:cs="微软雅黑"/>
                <w:kern w:val="2"/>
                <w:sz w:val="18"/>
                <w:szCs w:val="18"/>
                <w:lang w:val="en-US" w:eastAsia="en-US" w:bidi="ar-SA"/>
              </w:rPr>
            </w:pPr>
            <w:r>
              <w:rPr>
                <w:rFonts w:hint="default"/>
                <w:spacing w:val="-6"/>
                <w:position w:val="-2"/>
              </w:rPr>
              <w:t>807-8-1-1</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3" w:beforeAutospacing="0" w:after="0" w:afterAutospacing="0" w:line="181" w:lineRule="exact"/>
              <w:ind w:left="43" w:leftChars="0" w:right="0"/>
              <w:rPr>
                <w:rFonts w:hint="eastAsia" w:ascii="微软雅黑" w:hAnsi="微软雅黑" w:eastAsia="微软雅黑" w:cs="微软雅黑"/>
                <w:kern w:val="2"/>
                <w:sz w:val="18"/>
                <w:szCs w:val="18"/>
                <w:lang w:val="en-US" w:eastAsia="en-US" w:bidi="ar-SA"/>
              </w:rPr>
            </w:pPr>
            <w:r>
              <w:rPr>
                <w:rFonts w:hint="default"/>
                <w:spacing w:val="-2"/>
                <w:position w:val="-1"/>
              </w:rPr>
              <w:t>12m杆路灯(含灯杆反光膜,管线)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3" w:beforeAutospacing="0" w:after="0" w:afterAutospacing="0" w:line="181" w:lineRule="exact"/>
              <w:ind w:left="390" w:leftChars="0" w:right="0"/>
              <w:rPr>
                <w:rFonts w:hint="eastAsia" w:ascii="微软雅黑" w:hAnsi="微软雅黑" w:eastAsia="微软雅黑" w:cs="微软雅黑"/>
                <w:kern w:val="2"/>
                <w:sz w:val="18"/>
                <w:szCs w:val="18"/>
                <w:lang w:val="en-US" w:eastAsia="en-US" w:bidi="ar-SA"/>
              </w:rPr>
            </w:pPr>
            <w:r>
              <w:rPr>
                <w:rFonts w:hint="default"/>
                <w:position w:val="-1"/>
              </w:rPr>
              <w:t>套</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3" w:beforeAutospacing="0" w:after="0" w:afterAutospacing="0" w:line="151" w:lineRule="exact"/>
              <w:ind w:left="0" w:right="0"/>
              <w:jc w:val="right"/>
              <w:rPr>
                <w:rFonts w:hint="eastAsia" w:ascii="微软雅黑" w:hAnsi="微软雅黑" w:eastAsia="微软雅黑" w:cs="微软雅黑"/>
                <w:kern w:val="2"/>
                <w:sz w:val="18"/>
                <w:szCs w:val="18"/>
                <w:lang w:val="en-US" w:eastAsia="en-US" w:bidi="ar-SA"/>
              </w:rPr>
            </w:pPr>
            <w:r>
              <w:rPr>
                <w:rFonts w:hint="default"/>
                <w:spacing w:val="-8"/>
                <w:position w:val="-2"/>
              </w:rPr>
              <w:t>1.000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3" w:beforeAutospacing="0" w:after="0" w:afterAutospacing="0" w:line="151"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3" w:beforeAutospacing="0" w:after="0" w:afterAutospacing="0" w:line="151" w:lineRule="exact"/>
              <w:ind w:left="0" w:right="1"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9" w:beforeAutospacing="0" w:after="0" w:afterAutospacing="0" w:line="150" w:lineRule="exact"/>
              <w:ind w:left="240" w:leftChars="0" w:right="0"/>
              <w:rPr>
                <w:rFonts w:hint="eastAsia" w:ascii="微软雅黑" w:hAnsi="微软雅黑" w:eastAsia="微软雅黑" w:cs="微软雅黑"/>
                <w:kern w:val="2"/>
                <w:sz w:val="18"/>
                <w:szCs w:val="18"/>
                <w:lang w:val="en-US" w:eastAsia="en-US" w:bidi="ar-SA"/>
              </w:rPr>
            </w:pPr>
            <w:r>
              <w:rPr>
                <w:rFonts w:hint="default"/>
                <w:spacing w:val="-6"/>
                <w:position w:val="-2"/>
              </w:rPr>
              <w:t>807-8-1-2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9" w:beforeAutospacing="0" w:after="0" w:afterAutospacing="0" w:line="180" w:lineRule="exact"/>
              <w:ind w:left="32" w:leftChars="0" w:right="0"/>
              <w:rPr>
                <w:rFonts w:hint="eastAsia" w:ascii="微软雅黑" w:hAnsi="微软雅黑" w:eastAsia="微软雅黑" w:cs="微软雅黑"/>
                <w:kern w:val="2"/>
                <w:sz w:val="18"/>
                <w:szCs w:val="18"/>
                <w:lang w:val="en-US" w:eastAsia="en-US" w:bidi="ar-SA"/>
              </w:rPr>
            </w:pPr>
            <w:r>
              <w:rPr>
                <w:rFonts w:hint="default"/>
                <w:spacing w:val="-11"/>
                <w:w w:val="96"/>
                <w:position w:val="-1"/>
              </w:rPr>
              <w:t>200WLED路灯灯泡更换</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9" w:beforeAutospacing="0" w:after="0" w:afterAutospacing="0" w:line="180" w:lineRule="exact"/>
              <w:ind w:left="390" w:leftChars="0" w:right="0"/>
              <w:rPr>
                <w:rFonts w:hint="eastAsia" w:ascii="微软雅黑" w:hAnsi="微软雅黑" w:eastAsia="微软雅黑" w:cs="微软雅黑"/>
                <w:kern w:val="2"/>
                <w:sz w:val="18"/>
                <w:szCs w:val="18"/>
                <w:lang w:val="en-US" w:eastAsia="zh-CN" w:bidi="ar-SA"/>
              </w:rPr>
            </w:pPr>
            <w:r>
              <w:rPr>
                <w:rFonts w:hint="default"/>
                <w:position w:val="-1"/>
              </w:rPr>
              <w:t>套</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9" w:beforeAutospacing="0" w:after="0" w:afterAutospacing="0" w:line="150" w:lineRule="exact"/>
              <w:ind w:left="0" w:right="0"/>
              <w:jc w:val="right"/>
              <w:rPr>
                <w:rFonts w:hint="eastAsia" w:ascii="微软雅黑" w:hAnsi="微软雅黑" w:eastAsia="微软雅黑" w:cs="微软雅黑"/>
                <w:kern w:val="2"/>
                <w:sz w:val="18"/>
                <w:szCs w:val="18"/>
                <w:lang w:val="en-US" w:eastAsia="zh-CN" w:bidi="ar-SA"/>
              </w:rPr>
            </w:pPr>
            <w:r>
              <w:rPr>
                <w:rFonts w:hint="default"/>
                <w:spacing w:val="-8"/>
                <w:position w:val="-2"/>
              </w:rPr>
              <w:t>1.000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9" w:beforeAutospacing="0" w:after="0" w:afterAutospacing="0" w:line="150" w:lineRule="exact"/>
              <w:ind w:left="0" w:right="0"/>
              <w:jc w:val="right"/>
              <w:rPr>
                <w:rFonts w:hint="eastAsia" w:ascii="微软雅黑" w:hAnsi="微软雅黑" w:eastAsia="微软雅黑" w:cs="微软雅黑"/>
                <w:kern w:val="2"/>
                <w:sz w:val="18"/>
                <w:szCs w:val="18"/>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69" w:beforeAutospacing="0" w:after="0" w:afterAutospacing="0" w:line="150" w:lineRule="exact"/>
              <w:ind w:left="0" w:right="3" w:rightChars="0"/>
              <w:jc w:val="right"/>
              <w:rPr>
                <w:rFonts w:hint="eastAsia" w:ascii="微软雅黑" w:hAnsi="微软雅黑" w:eastAsia="微软雅黑" w:cs="微软雅黑"/>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25" w:beforeAutospacing="0" w:after="0" w:afterAutospacing="0" w:line="180" w:lineRule="exact"/>
              <w:ind w:left="32"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385" w:leftChars="0" w:right="0"/>
              <w:rPr>
                <w:rFonts w:hint="eastAsia" w:ascii="微软雅黑" w:hAnsi="微软雅黑" w:eastAsia="微软雅黑" w:cs="微软雅黑"/>
                <w:kern w:val="2"/>
                <w:sz w:val="18"/>
                <w:szCs w:val="18"/>
                <w:lang w:val="en-US" w:eastAsia="en-US"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55" w:beforeAutospacing="0" w:after="0" w:afterAutospacing="0" w:line="150" w:lineRule="exact"/>
              <w:ind w:left="0" w:right="3" w:rightChars="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55" w:beforeAutospacing="0" w:after="0" w:afterAutospacing="0" w:line="150" w:lineRule="exact"/>
              <w:ind w:left="0" w:right="1"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4" w:beforeAutospacing="0" w:after="0" w:afterAutospacing="0" w:line="145"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4" w:beforeAutospacing="0" w:after="0" w:afterAutospacing="0" w:line="175" w:lineRule="exact"/>
              <w:ind w:left="30"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4" w:beforeAutospacing="0" w:after="0" w:afterAutospacing="0" w:line="145" w:lineRule="exact"/>
              <w:ind w:left="385" w:leftChars="0" w:right="0"/>
              <w:rPr>
                <w:rFonts w:hint="eastAsia" w:ascii="微软雅黑" w:hAnsi="微软雅黑" w:eastAsia="微软雅黑" w:cs="微软雅黑"/>
                <w:kern w:val="2"/>
                <w:sz w:val="18"/>
                <w:szCs w:val="18"/>
                <w:lang w:val="en-US" w:eastAsia="en-US"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4" w:beforeAutospacing="0" w:after="0" w:afterAutospacing="0" w:line="145" w:lineRule="exact"/>
              <w:ind w:left="0" w:right="1" w:rightChars="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4" w:beforeAutospacing="0" w:after="0" w:afterAutospacing="0" w:line="145"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74" w:beforeAutospacing="0" w:after="0" w:afterAutospacing="0" w:line="145" w:lineRule="exact"/>
              <w:ind w:left="0" w:right="4"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0" w:beforeAutospacing="0" w:after="0" w:afterAutospacing="0" w:line="145"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0" w:beforeAutospacing="0" w:after="0" w:afterAutospacing="0" w:line="175" w:lineRule="exact"/>
              <w:ind w:left="31"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5" w:beforeAutospacing="0" w:after="0" w:afterAutospacing="0" w:line="144"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5" w:beforeAutospacing="0" w:after="0" w:afterAutospacing="0" w:line="174" w:lineRule="exact"/>
              <w:ind w:left="30"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1" w:beforeAutospacing="0" w:after="0" w:afterAutospacing="0" w:line="143"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1" w:beforeAutospacing="0" w:after="0" w:afterAutospacing="0" w:line="173" w:lineRule="exact"/>
              <w:ind w:left="25"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suppressLineNumbers w:val="0"/>
              <w:spacing w:before="0" w:beforeAutospacing="0" w:after="0" w:afterAutospacing="0"/>
              <w:ind w:left="0" w:right="0"/>
              <w:rPr>
                <w:rFonts w:hint="eastAsia" w:ascii="Arial" w:hAnsi="Calibri" w:eastAsia="Calibri"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61" w:beforeAutospacing="0" w:after="0" w:afterAutospacing="0" w:line="143"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1" w:beforeAutospacing="0" w:after="0" w:afterAutospacing="0" w:line="143" w:lineRule="exact"/>
              <w:ind w:left="26"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31" w:beforeAutospacing="0" w:after="0" w:afterAutospacing="0" w:line="173" w:lineRule="exact"/>
              <w:ind w:left="430" w:leftChars="0" w:right="0"/>
              <w:rPr>
                <w:rFonts w:hint="eastAsia" w:ascii="微软雅黑" w:hAnsi="微软雅黑" w:eastAsia="微软雅黑" w:cs="微软雅黑"/>
                <w:kern w:val="2"/>
                <w:sz w:val="18"/>
                <w:szCs w:val="18"/>
                <w:lang w:val="en-US" w:eastAsia="en-US"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1" w:beforeAutospacing="0" w:after="0" w:afterAutospacing="0" w:line="143"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61" w:beforeAutospacing="0" w:after="0" w:afterAutospacing="0" w:line="143"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61" w:beforeAutospacing="0" w:after="0" w:afterAutospacing="0" w:line="143" w:lineRule="exact"/>
              <w:ind w:left="0" w:right="3"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65"/>
              <w:keepNext w:val="0"/>
              <w:keepLines w:val="0"/>
              <w:suppressLineNumbers w:val="0"/>
              <w:spacing w:before="176" w:beforeAutospacing="0" w:after="0" w:afterAutospacing="0" w:line="143" w:lineRule="exact"/>
              <w:ind w:left="0" w:right="0"/>
              <w:rPr>
                <w:rFonts w:hint="eastAsia" w:ascii="微软雅黑" w:hAnsi="微软雅黑" w:eastAsia="微软雅黑" w:cs="微软雅黑"/>
                <w:kern w:val="2"/>
                <w:sz w:val="18"/>
                <w:szCs w:val="18"/>
                <w:lang w:val="en-US" w:eastAsia="en-US" w:bidi="ar-SA"/>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6" w:beforeAutospacing="0" w:after="0" w:afterAutospacing="0" w:line="173" w:lineRule="exact"/>
              <w:ind w:left="29" w:leftChars="0" w:right="0"/>
              <w:rPr>
                <w:rFonts w:hint="eastAsia" w:ascii="微软雅黑" w:hAnsi="微软雅黑" w:eastAsia="微软雅黑" w:cs="微软雅黑"/>
                <w:kern w:val="2"/>
                <w:sz w:val="18"/>
                <w:szCs w:val="18"/>
                <w:lang w:val="en-US" w:eastAsia="en-US"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46" w:beforeAutospacing="0" w:after="0" w:afterAutospacing="0" w:line="173" w:lineRule="exact"/>
              <w:ind w:left="388" w:leftChars="0" w:right="0"/>
              <w:rPr>
                <w:rFonts w:hint="eastAsia" w:ascii="微软雅黑" w:hAnsi="微软雅黑" w:eastAsia="微软雅黑" w:cs="微软雅黑"/>
                <w:kern w:val="2"/>
                <w:sz w:val="18"/>
                <w:szCs w:val="18"/>
                <w:lang w:val="en-US" w:eastAsia="en-US" w:bidi="ar-SA"/>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6" w:beforeAutospacing="0" w:after="0" w:afterAutospacing="0" w:line="143" w:lineRule="exact"/>
              <w:ind w:left="0" w:right="1" w:rightChars="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76" w:beforeAutospacing="0" w:after="0" w:afterAutospacing="0" w:line="143" w:lineRule="exact"/>
              <w:ind w:left="0" w:right="0"/>
              <w:jc w:val="right"/>
              <w:rPr>
                <w:rFonts w:hint="eastAsia" w:ascii="微软雅黑" w:hAnsi="微软雅黑" w:eastAsia="微软雅黑" w:cs="微软雅黑"/>
                <w:kern w:val="2"/>
                <w:sz w:val="18"/>
                <w:szCs w:val="18"/>
                <w:lang w:val="en-US" w:eastAsia="en-US" w:bidi="ar-SA"/>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65"/>
              <w:keepNext w:val="0"/>
              <w:keepLines w:val="0"/>
              <w:suppressLineNumbers w:val="0"/>
              <w:spacing w:before="176" w:beforeAutospacing="0" w:after="0" w:afterAutospacing="0" w:line="143" w:lineRule="exact"/>
              <w:ind w:left="0" w:right="3" w:rightChars="0"/>
              <w:jc w:val="right"/>
              <w:rPr>
                <w:rFonts w:hint="eastAsia" w:ascii="微软雅黑" w:hAnsi="微软雅黑" w:eastAsia="微软雅黑" w:cs="微软雅黑"/>
                <w:kern w:val="2"/>
                <w:sz w:val="18"/>
                <w:szCs w:val="18"/>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45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18"/>
                <w:szCs w:val="18"/>
                <w:highlight w:val="none"/>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19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36" w:type="dxa"/>
            <w:gridSpan w:val="2"/>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清单 第800章 合计</w:t>
            </w:r>
          </w:p>
        </w:tc>
        <w:tc>
          <w:tcPr>
            <w:tcW w:w="4579" w:type="dxa"/>
            <w:gridSpan w:val="4"/>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人民币</w:t>
            </w:r>
          </w:p>
        </w:tc>
      </w:tr>
    </w:tbl>
    <w:p>
      <w:pPr>
        <w:wordWrap w:val="0"/>
        <w:snapToGrid w:val="0"/>
        <w:spacing w:line="360" w:lineRule="auto"/>
        <w:ind w:firstLine="420" w:firstLineChars="200"/>
        <w:outlineLvl w:val="2"/>
        <w:rPr>
          <w:rFonts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rPr>
        <w:t>.2计日工表（本项目不适用）</w:t>
      </w:r>
    </w:p>
    <w:p>
      <w:pPr>
        <w:wordWrap w:val="0"/>
        <w:snapToGrid w:val="0"/>
        <w:spacing w:line="360" w:lineRule="auto"/>
        <w:ind w:firstLine="420" w:firstLineChars="200"/>
        <w:outlineLvl w:val="2"/>
        <w:rPr>
          <w:rFonts w:hint="eastAsia" w:ascii="宋体" w:hAnsi="宋体" w:cs="宋体"/>
          <w:color w:val="auto"/>
          <w:sz w:val="21"/>
          <w:szCs w:val="21"/>
          <w:highlight w:val="none"/>
        </w:rPr>
      </w:pPr>
      <w:bookmarkStart w:id="29" w:name="_Toc17382429"/>
      <w:bookmarkStart w:id="30" w:name="_Toc514687624"/>
      <w:bookmarkStart w:id="31" w:name="_Toc505864447"/>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rPr>
        <w:t>.3暂估价表（本项目不适用）</w:t>
      </w:r>
      <w:bookmarkEnd w:id="29"/>
      <w:bookmarkEnd w:id="30"/>
      <w:bookmarkEnd w:id="31"/>
      <w:bookmarkStart w:id="32" w:name="_Toc514687625"/>
      <w:bookmarkStart w:id="33" w:name="_Toc17382430"/>
      <w:bookmarkStart w:id="34" w:name="_Toc505864448"/>
    </w:p>
    <w:p>
      <w:pPr>
        <w:wordWrap w:val="0"/>
        <w:snapToGrid w:val="0"/>
        <w:spacing w:line="360" w:lineRule="auto"/>
        <w:ind w:firstLine="420" w:firstLineChars="200"/>
        <w:outlineLvl w:val="2"/>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rPr>
        <w:t>.4</w:t>
      </w:r>
      <w:bookmarkEnd w:id="32"/>
      <w:bookmarkEnd w:id="33"/>
      <w:bookmarkEnd w:id="34"/>
      <w:r>
        <w:rPr>
          <w:rFonts w:hint="eastAsia" w:ascii="宋体" w:hAnsi="宋体" w:cs="宋体"/>
          <w:color w:val="auto"/>
          <w:sz w:val="21"/>
          <w:szCs w:val="21"/>
          <w:highlight w:val="none"/>
        </w:rPr>
        <w:t>磋商报价明细表</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pPr>
        <w:wordWrap w:val="0"/>
        <w:snapToGrid w:val="0"/>
        <w:spacing w:line="360" w:lineRule="auto"/>
        <w:ind w:firstLine="420" w:firstLineChars="200"/>
        <w:outlineLvl w:val="2"/>
        <w:rPr>
          <w:rFonts w:hint="eastAsia" w:ascii="宋体" w:hAnsi="宋体" w:cs="宋体"/>
          <w:color w:val="auto"/>
          <w:sz w:val="21"/>
          <w:szCs w:val="21"/>
          <w:highlight w:val="none"/>
        </w:rPr>
      </w:pPr>
    </w:p>
    <w:tbl>
      <w:tblPr>
        <w:tblStyle w:val="24"/>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3"/>
        <w:gridCol w:w="1708"/>
        <w:gridCol w:w="4280"/>
        <w:gridCol w:w="2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615" w:type="dxa"/>
            <w:gridSpan w:val="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48"/>
                <w:szCs w:val="48"/>
                <w:highlight w:val="none"/>
                <w:u w:val="none"/>
              </w:rPr>
            </w:pPr>
            <w:r>
              <w:rPr>
                <w:rFonts w:hint="eastAsia" w:ascii="宋体" w:hAnsi="宋体" w:eastAsia="宋体" w:cs="宋体"/>
                <w:b/>
                <w:bCs/>
                <w:i w:val="0"/>
                <w:iCs w:val="0"/>
                <w:color w:val="auto"/>
                <w:kern w:val="0"/>
                <w:sz w:val="48"/>
                <w:szCs w:val="48"/>
                <w:highlight w:val="none"/>
                <w:u w:val="none"/>
                <w:lang w:val="en-US" w:eastAsia="zh-CN" w:bidi="ar"/>
              </w:rPr>
              <w:t>工程量清单汇总表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标段：2024年省级挂牌治理道路交通事故多发点段（S322临石线K71+600永安路口）整治工程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573"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70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章次</w:t>
            </w:r>
          </w:p>
        </w:tc>
        <w:tc>
          <w:tcPr>
            <w:tcW w:w="428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科 目 名 称</w:t>
            </w:r>
          </w:p>
        </w:tc>
        <w:tc>
          <w:tcPr>
            <w:tcW w:w="205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7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227" w:beforeAutospacing="0" w:after="0" w:afterAutospacing="0" w:line="159" w:lineRule="auto"/>
              <w:ind w:left="612" w:leftChars="0" w:right="0"/>
              <w:rPr>
                <w:rFonts w:hint="eastAsia" w:ascii="宋体" w:hAnsi="宋体" w:eastAsia="宋体" w:cs="宋体"/>
                <w:i w:val="0"/>
                <w:iCs w:val="0"/>
                <w:color w:val="auto"/>
                <w:kern w:val="0"/>
                <w:sz w:val="18"/>
                <w:szCs w:val="18"/>
                <w:highlight w:val="none"/>
                <w:u w:val="none"/>
                <w:lang w:val="en-US" w:eastAsia="en-US" w:bidi="ar"/>
              </w:rPr>
            </w:pPr>
            <w:r>
              <w:rPr>
                <w:rFonts w:hint="eastAsia" w:ascii="宋体" w:hAnsi="宋体" w:eastAsia="宋体" w:cs="宋体"/>
                <w:i w:val="0"/>
                <w:iCs w:val="0"/>
                <w:color w:val="auto"/>
                <w:kern w:val="0"/>
                <w:sz w:val="18"/>
                <w:szCs w:val="18"/>
                <w:highlight w:val="none"/>
                <w:u w:val="none"/>
                <w:lang w:val="en-US" w:eastAsia="zh-CN" w:bidi="ar"/>
              </w:rPr>
              <w:t>100</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97" w:beforeAutospacing="0" w:after="0" w:afterAutospacing="0" w:line="185" w:lineRule="auto"/>
              <w:ind w:left="0" w:right="0"/>
              <w:jc w:val="center"/>
              <w:rPr>
                <w:rFonts w:hint="eastAsia" w:ascii="宋体" w:hAnsi="宋体" w:eastAsia="宋体" w:cs="宋体"/>
                <w:i w:val="0"/>
                <w:iCs w:val="0"/>
                <w:color w:val="auto"/>
                <w:kern w:val="0"/>
                <w:sz w:val="18"/>
                <w:szCs w:val="18"/>
                <w:highlight w:val="none"/>
                <w:u w:val="none"/>
                <w:lang w:val="en-US" w:eastAsia="en-US" w:bidi="ar"/>
              </w:rPr>
            </w:pPr>
            <w:r>
              <w:rPr>
                <w:rFonts w:hint="eastAsia" w:ascii="宋体" w:hAnsi="宋体" w:eastAsia="宋体" w:cs="宋体"/>
                <w:i w:val="0"/>
                <w:iCs w:val="0"/>
                <w:color w:val="auto"/>
                <w:kern w:val="0"/>
                <w:sz w:val="18"/>
                <w:szCs w:val="18"/>
                <w:highlight w:val="none"/>
                <w:u w:val="none"/>
                <w:lang w:val="en-US" w:eastAsia="zh-CN" w:bidi="ar"/>
              </w:rPr>
              <w:t>清单 第100章  总则</w:t>
            </w:r>
          </w:p>
        </w:tc>
        <w:tc>
          <w:tcPr>
            <w:tcW w:w="205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7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216" w:beforeAutospacing="0" w:after="0" w:afterAutospacing="0" w:line="158" w:lineRule="auto"/>
              <w:ind w:left="601" w:leftChars="0" w:right="0"/>
              <w:rPr>
                <w:rFonts w:hint="eastAsia" w:ascii="宋体" w:hAnsi="宋体" w:eastAsia="宋体" w:cs="宋体"/>
                <w:i w:val="0"/>
                <w:iCs w:val="0"/>
                <w:color w:val="auto"/>
                <w:kern w:val="0"/>
                <w:sz w:val="18"/>
                <w:szCs w:val="18"/>
                <w:highlight w:val="none"/>
                <w:u w:val="none"/>
                <w:lang w:val="en-US" w:eastAsia="en-US" w:bidi="ar"/>
              </w:rPr>
            </w:pPr>
            <w:r>
              <w:rPr>
                <w:rFonts w:hint="eastAsia" w:ascii="宋体" w:hAnsi="宋体" w:eastAsia="宋体" w:cs="宋体"/>
                <w:i w:val="0"/>
                <w:iCs w:val="0"/>
                <w:color w:val="auto"/>
                <w:kern w:val="0"/>
                <w:sz w:val="18"/>
                <w:szCs w:val="18"/>
                <w:highlight w:val="none"/>
                <w:u w:val="none"/>
                <w:lang w:val="en-US" w:eastAsia="zh-CN" w:bidi="ar"/>
              </w:rPr>
              <w:t>200</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86" w:beforeAutospacing="0" w:after="0" w:afterAutospacing="0" w:line="185" w:lineRule="auto"/>
              <w:ind w:left="0" w:right="0"/>
              <w:jc w:val="center"/>
              <w:rPr>
                <w:rFonts w:hint="eastAsia" w:ascii="宋体" w:hAnsi="宋体" w:eastAsia="宋体" w:cs="宋体"/>
                <w:i w:val="0"/>
                <w:iCs w:val="0"/>
                <w:color w:val="auto"/>
                <w:kern w:val="0"/>
                <w:sz w:val="18"/>
                <w:szCs w:val="18"/>
                <w:highlight w:val="none"/>
                <w:u w:val="none"/>
                <w:lang w:val="en-US" w:eastAsia="en-US" w:bidi="ar"/>
              </w:rPr>
            </w:pPr>
            <w:r>
              <w:rPr>
                <w:rFonts w:hint="eastAsia" w:ascii="宋体" w:hAnsi="宋体" w:eastAsia="宋体" w:cs="宋体"/>
                <w:i w:val="0"/>
                <w:iCs w:val="0"/>
                <w:color w:val="auto"/>
                <w:kern w:val="0"/>
                <w:sz w:val="18"/>
                <w:szCs w:val="18"/>
                <w:highlight w:val="none"/>
                <w:u w:val="none"/>
                <w:lang w:val="en-US" w:eastAsia="zh-CN" w:bidi="ar"/>
              </w:rPr>
              <w:t>清单 第200章 路基工程</w:t>
            </w:r>
          </w:p>
        </w:tc>
        <w:tc>
          <w:tcPr>
            <w:tcW w:w="205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7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233" w:beforeAutospacing="0" w:after="0" w:afterAutospacing="0" w:line="158" w:lineRule="auto"/>
              <w:ind w:left="603" w:leftChars="0" w:right="0"/>
              <w:rPr>
                <w:rFonts w:hint="eastAsia" w:ascii="宋体" w:hAnsi="宋体" w:eastAsia="宋体" w:cs="宋体"/>
                <w:i w:val="0"/>
                <w:iCs w:val="0"/>
                <w:color w:val="auto"/>
                <w:kern w:val="0"/>
                <w:sz w:val="18"/>
                <w:szCs w:val="18"/>
                <w:highlight w:val="none"/>
                <w:u w:val="none"/>
                <w:lang w:val="en-US" w:eastAsia="en-US" w:bidi="ar"/>
              </w:rPr>
            </w:pPr>
            <w:r>
              <w:rPr>
                <w:rFonts w:hint="eastAsia" w:ascii="宋体" w:hAnsi="宋体" w:eastAsia="宋体" w:cs="宋体"/>
                <w:i w:val="0"/>
                <w:iCs w:val="0"/>
                <w:color w:val="auto"/>
                <w:kern w:val="0"/>
                <w:sz w:val="18"/>
                <w:szCs w:val="18"/>
                <w:highlight w:val="none"/>
                <w:u w:val="none"/>
                <w:lang w:val="en-US" w:eastAsia="zh-CN" w:bidi="ar"/>
              </w:rPr>
              <w:t>300</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203" w:beforeAutospacing="0" w:after="0" w:afterAutospacing="0" w:line="185" w:lineRule="auto"/>
              <w:ind w:left="0" w:right="0"/>
              <w:jc w:val="center"/>
              <w:rPr>
                <w:rFonts w:hint="eastAsia" w:ascii="宋体" w:hAnsi="宋体" w:eastAsia="宋体" w:cs="宋体"/>
                <w:i w:val="0"/>
                <w:iCs w:val="0"/>
                <w:color w:val="auto"/>
                <w:kern w:val="0"/>
                <w:sz w:val="18"/>
                <w:szCs w:val="18"/>
                <w:highlight w:val="none"/>
                <w:u w:val="none"/>
                <w:lang w:val="en-US" w:eastAsia="en-US" w:bidi="ar"/>
              </w:rPr>
            </w:pPr>
            <w:r>
              <w:rPr>
                <w:rFonts w:hint="eastAsia" w:ascii="宋体" w:hAnsi="宋体" w:eastAsia="宋体" w:cs="宋体"/>
                <w:i w:val="0"/>
                <w:iCs w:val="0"/>
                <w:color w:val="auto"/>
                <w:kern w:val="0"/>
                <w:sz w:val="18"/>
                <w:szCs w:val="18"/>
                <w:highlight w:val="none"/>
                <w:u w:val="none"/>
                <w:lang w:val="en-US" w:eastAsia="zh-CN" w:bidi="ar"/>
              </w:rPr>
              <w:t>清单 第300章 路面工程</w:t>
            </w:r>
          </w:p>
        </w:tc>
        <w:tc>
          <w:tcPr>
            <w:tcW w:w="205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7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236" w:beforeAutospacing="0" w:after="0" w:afterAutospacing="0" w:line="158" w:lineRule="auto"/>
              <w:ind w:left="600" w:leftChars="0" w:right="0"/>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600</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206" w:beforeAutospacing="0" w:after="0" w:afterAutospacing="0" w:line="185" w:lineRule="auto"/>
              <w:ind w:left="0" w:right="0"/>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清单 第600章 交通安全设施</w:t>
            </w:r>
          </w:p>
        </w:tc>
        <w:tc>
          <w:tcPr>
            <w:tcW w:w="205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7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239" w:beforeAutospacing="0" w:after="0" w:afterAutospacing="0" w:line="158" w:lineRule="auto"/>
              <w:ind w:left="603" w:leftChars="0" w:right="0"/>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700</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209" w:beforeAutospacing="0" w:after="0" w:afterAutospacing="0" w:line="185" w:lineRule="auto"/>
              <w:ind w:left="0" w:right="0"/>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清单 第700章 绿化及环境保护工程</w:t>
            </w:r>
          </w:p>
        </w:tc>
        <w:tc>
          <w:tcPr>
            <w:tcW w:w="205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7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227" w:beforeAutospacing="0" w:after="0" w:afterAutospacing="0" w:line="158" w:lineRule="auto"/>
              <w:ind w:left="600" w:leftChars="0" w:right="0"/>
              <w:rPr>
                <w:rFonts w:hint="eastAsia" w:ascii="宋体" w:hAnsi="宋体" w:eastAsia="宋体" w:cs="宋体"/>
                <w:i w:val="0"/>
                <w:iCs w:val="0"/>
                <w:color w:val="auto"/>
                <w:kern w:val="0"/>
                <w:sz w:val="18"/>
                <w:szCs w:val="18"/>
                <w:highlight w:val="none"/>
                <w:u w:val="none"/>
                <w:lang w:val="en-US" w:eastAsia="en-US" w:bidi="ar"/>
              </w:rPr>
            </w:pPr>
            <w:r>
              <w:rPr>
                <w:rFonts w:hint="eastAsia" w:ascii="宋体" w:hAnsi="宋体" w:eastAsia="宋体" w:cs="宋体"/>
                <w:i w:val="0"/>
                <w:iCs w:val="0"/>
                <w:color w:val="auto"/>
                <w:kern w:val="0"/>
                <w:sz w:val="18"/>
                <w:szCs w:val="18"/>
                <w:highlight w:val="none"/>
                <w:u w:val="none"/>
                <w:lang w:val="en-US" w:eastAsia="zh-CN" w:bidi="ar"/>
              </w:rPr>
              <w:t>800</w:t>
            </w:r>
          </w:p>
        </w:tc>
        <w:tc>
          <w:tcPr>
            <w:tcW w:w="428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196" w:beforeAutospacing="0" w:after="0" w:afterAutospacing="0" w:line="185" w:lineRule="auto"/>
              <w:ind w:left="0" w:right="0"/>
              <w:jc w:val="center"/>
              <w:rPr>
                <w:rFonts w:hint="eastAsia" w:ascii="宋体" w:hAnsi="宋体" w:eastAsia="宋体" w:cs="宋体"/>
                <w:i w:val="0"/>
                <w:iCs w:val="0"/>
                <w:color w:val="auto"/>
                <w:kern w:val="0"/>
                <w:sz w:val="18"/>
                <w:szCs w:val="18"/>
                <w:highlight w:val="none"/>
                <w:u w:val="none"/>
                <w:lang w:val="en-US" w:eastAsia="en-US" w:bidi="ar"/>
              </w:rPr>
            </w:pPr>
            <w:r>
              <w:rPr>
                <w:rFonts w:hint="eastAsia" w:ascii="宋体" w:hAnsi="宋体" w:eastAsia="宋体" w:cs="宋体"/>
                <w:i w:val="0"/>
                <w:iCs w:val="0"/>
                <w:color w:val="auto"/>
                <w:kern w:val="0"/>
                <w:sz w:val="18"/>
                <w:szCs w:val="18"/>
                <w:highlight w:val="none"/>
                <w:u w:val="none"/>
                <w:lang w:val="en-US" w:eastAsia="zh-CN" w:bidi="ar"/>
              </w:rPr>
              <w:t>清单 第800章 管理养护设施</w:t>
            </w:r>
          </w:p>
        </w:tc>
        <w:tc>
          <w:tcPr>
            <w:tcW w:w="205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7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7</w:t>
            </w:r>
          </w:p>
        </w:tc>
        <w:tc>
          <w:tcPr>
            <w:tcW w:w="5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第100章至800章清单合计</w:t>
            </w:r>
          </w:p>
        </w:tc>
        <w:tc>
          <w:tcPr>
            <w:tcW w:w="205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7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8</w:t>
            </w:r>
          </w:p>
        </w:tc>
        <w:tc>
          <w:tcPr>
            <w:tcW w:w="598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209" w:beforeAutospacing="0" w:after="0" w:afterAutospacing="0" w:line="185" w:lineRule="auto"/>
              <w:ind w:left="0" w:right="0"/>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已包含在清单合计中的材料、工程设备、专业工程暂估价合计</w:t>
            </w:r>
          </w:p>
        </w:tc>
        <w:tc>
          <w:tcPr>
            <w:tcW w:w="205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7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9</w:t>
            </w:r>
          </w:p>
        </w:tc>
        <w:tc>
          <w:tcPr>
            <w:tcW w:w="598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209" w:beforeAutospacing="0" w:after="0" w:afterAutospacing="0" w:line="185" w:lineRule="auto"/>
              <w:ind w:left="0" w:right="0"/>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清单合计减去材料、工程设备、专业工程暂估价</w:t>
            </w:r>
          </w:p>
          <w:p>
            <w:pPr>
              <w:pStyle w:val="65"/>
              <w:keepNext w:val="0"/>
              <w:keepLines w:val="0"/>
              <w:suppressLineNumbers w:val="0"/>
              <w:spacing w:before="209" w:beforeAutospacing="0" w:after="0" w:afterAutospacing="0" w:line="185" w:lineRule="auto"/>
              <w:ind w:left="0" w:right="0"/>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合计(即7-8)=9</w:t>
            </w:r>
          </w:p>
        </w:tc>
        <w:tc>
          <w:tcPr>
            <w:tcW w:w="205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7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10</w:t>
            </w:r>
          </w:p>
        </w:tc>
        <w:tc>
          <w:tcPr>
            <w:tcW w:w="598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209" w:beforeAutospacing="0" w:after="0" w:afterAutospacing="0" w:line="185" w:lineRule="auto"/>
              <w:ind w:left="0" w:right="0"/>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计日工合计</w:t>
            </w:r>
          </w:p>
        </w:tc>
        <w:tc>
          <w:tcPr>
            <w:tcW w:w="205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73" w:type="dxa"/>
            <w:tcBorders>
              <w:top w:val="single" w:color="000000" w:sz="4" w:space="0"/>
              <w:left w:val="single" w:color="000000" w:sz="8"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en-US"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598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209" w:beforeAutospacing="0" w:after="0" w:afterAutospacing="0" w:line="185" w:lineRule="auto"/>
              <w:ind w:left="0" w:right="0"/>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暂列金额</w:t>
            </w:r>
          </w:p>
        </w:tc>
        <w:tc>
          <w:tcPr>
            <w:tcW w:w="205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73" w:type="dxa"/>
            <w:tcBorders>
              <w:top w:val="single" w:color="000000" w:sz="4" w:space="0"/>
              <w:left w:val="single" w:color="000000" w:sz="8"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en-US"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598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65"/>
              <w:keepNext w:val="0"/>
              <w:keepLines w:val="0"/>
              <w:suppressLineNumbers w:val="0"/>
              <w:spacing w:before="209" w:beforeAutospacing="0" w:after="0" w:afterAutospacing="0" w:line="185" w:lineRule="auto"/>
              <w:ind w:left="0" w:right="0"/>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sz w:val="18"/>
                <w:szCs w:val="18"/>
              </w:rPr>
              <w:t>磋商报价</w:t>
            </w:r>
            <w:r>
              <w:rPr>
                <w:rFonts w:hint="eastAsia" w:ascii="宋体" w:hAnsi="宋体" w:eastAsia="宋体" w:cs="宋体"/>
                <w:i w:val="0"/>
                <w:iCs w:val="0"/>
                <w:color w:val="auto"/>
                <w:kern w:val="0"/>
                <w:sz w:val="18"/>
                <w:szCs w:val="18"/>
                <w:highlight w:val="none"/>
                <w:u w:val="none"/>
                <w:lang w:val="en-US" w:eastAsia="zh-CN" w:bidi="ar"/>
              </w:rPr>
              <w:t>(7+10+11)=12</w:t>
            </w:r>
          </w:p>
        </w:tc>
        <w:tc>
          <w:tcPr>
            <w:tcW w:w="205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p>
        </w:tc>
      </w:tr>
    </w:tbl>
    <w:p>
      <w:pPr>
        <w:numPr>
          <w:ilvl w:val="0"/>
          <w:numId w:val="5"/>
        </w:numPr>
        <w:spacing w:line="400" w:lineRule="exact"/>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技术规范</w:t>
      </w:r>
    </w:p>
    <w:p>
      <w:pPr>
        <w:wordWrap w:val="0"/>
        <w:jc w:val="center"/>
        <w:textAlignment w:val="baseline"/>
        <w:outlineLvl w:val="1"/>
        <w:rPr>
          <w:rFonts w:ascii="Times New Roman" w:hAnsi="Times New Roman" w:eastAsia="宋体" w:cs="Times New Roman"/>
          <w:b/>
          <w:color w:val="000000"/>
          <w:sz w:val="21"/>
          <w:szCs w:val="21"/>
        </w:rPr>
      </w:pPr>
      <w:r>
        <w:rPr>
          <w:rFonts w:hint="eastAsia" w:eastAsia="宋体"/>
          <w:color w:val="auto"/>
          <w:highlight w:val="none"/>
          <w:lang w:val="en-US" w:eastAsia="zh-CN"/>
        </w:rPr>
        <w:t xml:space="preserve"> </w:t>
      </w:r>
      <w:bookmarkStart w:id="35" w:name="_Toc469484866"/>
      <w:bookmarkStart w:id="36" w:name="_Toc26165"/>
      <w:bookmarkStart w:id="37" w:name="_Toc31417"/>
      <w:bookmarkStart w:id="38" w:name="_Toc19337"/>
      <w:bookmarkStart w:id="39" w:name="_Toc4493"/>
      <w:bookmarkStart w:id="40" w:name="_Toc19826"/>
      <w:bookmarkStart w:id="41" w:name="_Toc14144"/>
      <w:r>
        <w:rPr>
          <w:rFonts w:ascii="Times New Roman" w:hAnsi="Times New Roman" w:eastAsia="宋体" w:cs="Times New Roman"/>
          <w:b/>
          <w:color w:val="000000"/>
          <w:sz w:val="21"/>
          <w:szCs w:val="21"/>
        </w:rPr>
        <w:t>（一）通用技术规范</w:t>
      </w:r>
      <w:bookmarkEnd w:id="35"/>
      <w:bookmarkEnd w:id="36"/>
      <w:bookmarkEnd w:id="37"/>
      <w:bookmarkEnd w:id="38"/>
      <w:bookmarkEnd w:id="39"/>
      <w:bookmarkEnd w:id="40"/>
      <w:bookmarkEnd w:id="41"/>
    </w:p>
    <w:p>
      <w:pPr>
        <w:wordWrap w:val="0"/>
        <w:jc w:val="left"/>
        <w:textAlignment w:val="baseline"/>
        <w:rPr>
          <w:rFonts w:ascii="Times New Roman" w:hAnsi="Times New Roman" w:eastAsia="宋体" w:cs="Times New Roman"/>
          <w:b/>
          <w:color w:val="000000"/>
          <w:sz w:val="21"/>
          <w:szCs w:val="21"/>
        </w:rPr>
      </w:pPr>
    </w:p>
    <w:p>
      <w:pPr>
        <w:wordWrap w:val="0"/>
        <w:jc w:val="left"/>
        <w:textAlignment w:val="baseline"/>
        <w:rPr>
          <w:rFonts w:ascii="Times New Roman" w:hAnsi="Times New Roman" w:eastAsia="宋体" w:cs="Times New Roman"/>
          <w:b/>
          <w:color w:val="000000"/>
          <w:sz w:val="32"/>
        </w:rPr>
      </w:pPr>
    </w:p>
    <w:p>
      <w:pPr>
        <w:wordWrap w:val="0"/>
        <w:jc w:val="left"/>
        <w:textAlignment w:val="baseline"/>
        <w:rPr>
          <w:rFonts w:ascii="Times New Roman" w:hAnsi="Times New Roman" w:eastAsia="宋体" w:cs="Times New Roman"/>
          <w:b/>
          <w:color w:val="000000"/>
          <w:sz w:val="21"/>
          <w:szCs w:val="21"/>
        </w:rPr>
      </w:pPr>
      <w:r>
        <w:rPr>
          <w:rFonts w:ascii="宋体" w:hAnsi="宋体" w:eastAsia="宋体" w:cs="Times New Roman"/>
          <w:b/>
          <w:color w:val="000000"/>
          <w:sz w:val="21"/>
          <w:szCs w:val="21"/>
        </w:rPr>
        <w:t xml:space="preserve">   “通用技术规范”采用《公路工程标准施工招标文件》(20</w:t>
      </w:r>
      <w:r>
        <w:rPr>
          <w:rFonts w:hint="eastAsia" w:ascii="宋体" w:hAnsi="宋体" w:eastAsia="宋体" w:cs="Times New Roman"/>
          <w:b/>
          <w:color w:val="000000"/>
          <w:sz w:val="21"/>
          <w:szCs w:val="21"/>
        </w:rPr>
        <w:t>18</w:t>
      </w:r>
      <w:r>
        <w:rPr>
          <w:rFonts w:ascii="宋体" w:hAnsi="宋体" w:eastAsia="宋体" w:cs="Times New Roman"/>
          <w:b/>
          <w:color w:val="000000"/>
          <w:sz w:val="21"/>
          <w:szCs w:val="21"/>
        </w:rPr>
        <w:t>年版·第二册)  《技术规范》</w:t>
      </w:r>
      <w:r>
        <w:rPr>
          <w:rFonts w:ascii="Times New Roman" w:hAnsi="Times New Roman" w:eastAsia="宋体" w:cs="Times New Roman"/>
          <w:b/>
          <w:color w:val="000000"/>
          <w:sz w:val="21"/>
          <w:szCs w:val="21"/>
        </w:rPr>
        <w:t>。</w:t>
      </w:r>
    </w:p>
    <w:p>
      <w:pPr>
        <w:wordWrap w:val="0"/>
        <w:jc w:val="center"/>
        <w:textAlignment w:val="baseline"/>
        <w:outlineLvl w:val="1"/>
        <w:rPr>
          <w:rFonts w:ascii="Times New Roman" w:hAnsi="Times New Roman" w:eastAsia="宋体" w:cs="Times New Roman"/>
          <w:b/>
          <w:color w:val="FF0000"/>
          <w:sz w:val="21"/>
          <w:szCs w:val="21"/>
        </w:rPr>
      </w:pPr>
      <w:r>
        <w:rPr>
          <w:rFonts w:ascii="Times New Roman" w:hAnsi="Times New Roman" w:eastAsia="宋体" w:cs="Times New Roman"/>
          <w:b/>
          <w:color w:val="000000"/>
          <w:sz w:val="32"/>
        </w:rPr>
        <w:br w:type="page"/>
      </w:r>
      <w:bookmarkStart w:id="42" w:name="_Toc505864455"/>
      <w:bookmarkStart w:id="43" w:name="_Toc453425097"/>
      <w:bookmarkStart w:id="44" w:name="_Toc528160247"/>
      <w:bookmarkStart w:id="45" w:name="_Toc8871"/>
      <w:bookmarkStart w:id="46" w:name="_Toc21855"/>
      <w:bookmarkStart w:id="47" w:name="_Toc2962"/>
      <w:bookmarkStart w:id="48" w:name="_Toc514687654"/>
      <w:bookmarkStart w:id="49" w:name="_Toc468702851"/>
      <w:bookmarkStart w:id="50" w:name="_Toc469484867"/>
      <w:bookmarkStart w:id="51" w:name="_Toc248417670"/>
      <w:bookmarkStart w:id="52" w:name="_Toc14309"/>
      <w:bookmarkStart w:id="53" w:name="_Toc8205"/>
      <w:bookmarkStart w:id="54" w:name="_Toc469484868"/>
      <w:bookmarkStart w:id="55" w:name="_Toc405279835"/>
      <w:bookmarkStart w:id="56" w:name="_Toc24350"/>
      <w:bookmarkStart w:id="57" w:name="_Toc10101"/>
      <w:r>
        <w:rPr>
          <w:rFonts w:ascii="Times New Roman" w:hAnsi="Times New Roman" w:eastAsia="宋体" w:cs="Times New Roman"/>
          <w:b/>
          <w:color w:val="FF0000"/>
          <w:sz w:val="21"/>
          <w:szCs w:val="21"/>
        </w:rPr>
        <w:t>（二）</w:t>
      </w:r>
      <w:bookmarkStart w:id="58" w:name="这没改"/>
      <w:r>
        <w:rPr>
          <w:rFonts w:ascii="Times New Roman" w:hAnsi="Times New Roman" w:eastAsia="宋体" w:cs="Times New Roman"/>
          <w:b/>
          <w:color w:val="FF0000"/>
          <w:sz w:val="21"/>
          <w:szCs w:val="21"/>
        </w:rPr>
        <w:t>项目专用技术规范</w:t>
      </w:r>
      <w:bookmarkEnd w:id="42"/>
      <w:bookmarkEnd w:id="43"/>
      <w:bookmarkEnd w:id="44"/>
      <w:bookmarkEnd w:id="45"/>
      <w:bookmarkEnd w:id="46"/>
    </w:p>
    <w:bookmarkEnd w:id="58"/>
    <w:p>
      <w:pPr>
        <w:jc w:val="center"/>
        <w:rPr>
          <w:rFonts w:ascii="Times New Roman" w:hAnsi="Times New Roman" w:eastAsia="宋体" w:cs="Times New Roman"/>
          <w:color w:val="000000"/>
          <w:sz w:val="21"/>
        </w:rPr>
      </w:pPr>
    </w:p>
    <w:bookmarkEnd w:id="47"/>
    <w:bookmarkEnd w:id="48"/>
    <w:bookmarkEnd w:id="49"/>
    <w:bookmarkEnd w:id="50"/>
    <w:bookmarkEnd w:id="51"/>
    <w:bookmarkEnd w:id="52"/>
    <w:bookmarkEnd w:id="53"/>
    <w:bookmarkEnd w:id="54"/>
    <w:bookmarkEnd w:id="55"/>
    <w:bookmarkEnd w:id="56"/>
    <w:bookmarkEnd w:id="57"/>
    <w:p>
      <w:pPr>
        <w:wordWrap w:val="0"/>
        <w:spacing w:line="360" w:lineRule="auto"/>
        <w:ind w:firstLine="424" w:firstLineChars="202"/>
        <w:textAlignment w:val="baseline"/>
        <w:rPr>
          <w:rFonts w:ascii="宋体" w:hAnsi="宋体" w:eastAsia="宋体" w:cs="Times New Roman"/>
          <w:color w:val="000000"/>
          <w:sz w:val="21"/>
          <w:szCs w:val="21"/>
        </w:rPr>
      </w:pPr>
      <w:r>
        <w:rPr>
          <w:rFonts w:hint="eastAsia" w:ascii="宋体" w:hAnsi="宋体" w:eastAsia="宋体" w:cs="Times New Roman"/>
          <w:color w:val="000000"/>
          <w:sz w:val="21"/>
          <w:szCs w:val="21"/>
        </w:rPr>
        <w:t>1.《项目专用技术规范》按《浙江省公路工程施工招标文件示范文本》（2022年版）第七章技术规范，《项目专用技术规范》是对“通用技术规范”的补充和修改， 应对照“通用技术规范”中同一编号的章、节、小节、条、款、项、目一起阅读和理解。本《项目专用技术规范》与“通用技术规范”有矛盾时，以本《项目专用技术规范》的规定为准。</w:t>
      </w:r>
    </w:p>
    <w:p>
      <w:pPr>
        <w:wordWrap w:val="0"/>
        <w:spacing w:line="360" w:lineRule="auto"/>
        <w:ind w:firstLine="424" w:firstLineChars="202"/>
        <w:textAlignment w:val="baseline"/>
        <w:rPr>
          <w:rFonts w:ascii="宋体" w:hAnsi="宋体" w:eastAsia="宋体" w:cs="Times New Roman"/>
          <w:color w:val="000000"/>
          <w:sz w:val="21"/>
          <w:szCs w:val="21"/>
        </w:rPr>
      </w:pPr>
      <w:r>
        <w:rPr>
          <w:rFonts w:hint="eastAsia" w:ascii="宋体" w:hAnsi="宋体" w:eastAsia="宋体" w:cs="Times New Roman"/>
          <w:color w:val="000000"/>
          <w:sz w:val="21"/>
          <w:szCs w:val="21"/>
        </w:rPr>
        <w:t>2．未修改的按“项目专用技术规范”、“通用技术规范”相应内容要求执行。</w:t>
      </w:r>
    </w:p>
    <w:p>
      <w:pPr>
        <w:wordWrap w:val="0"/>
        <w:spacing w:line="360" w:lineRule="auto"/>
        <w:ind w:firstLine="424" w:firstLineChars="202"/>
        <w:textAlignment w:val="baseline"/>
        <w:rPr>
          <w:rFonts w:ascii="宋体" w:hAnsi="宋体" w:eastAsia="宋体" w:cs="Times New Roman"/>
          <w:color w:val="000000"/>
          <w:sz w:val="21"/>
          <w:szCs w:val="21"/>
        </w:rPr>
      </w:pPr>
      <w:bookmarkStart w:id="59" w:name="_Hlk519051598"/>
      <w:r>
        <w:rPr>
          <w:rFonts w:hint="eastAsia" w:ascii="宋体" w:hAnsi="宋体" w:eastAsia="宋体" w:cs="Times New Roman"/>
          <w:color w:val="000000"/>
          <w:sz w:val="21"/>
          <w:szCs w:val="21"/>
        </w:rPr>
        <w:t>3. 本《项目专用技术规范》，在下列章、节对“技术规范”进行了补充和修改</w:t>
      </w:r>
      <w:bookmarkEnd w:id="59"/>
      <w:r>
        <w:rPr>
          <w:rFonts w:hint="eastAsia" w:ascii="宋体" w:hAnsi="宋体" w:eastAsia="宋体" w:cs="Times New Roman"/>
          <w:color w:val="000000"/>
          <w:sz w:val="21"/>
          <w:szCs w:val="21"/>
        </w:rPr>
        <w:t>：</w:t>
      </w:r>
    </w:p>
    <w:p>
      <w:pPr>
        <w:wordWrap w:val="0"/>
        <w:spacing w:line="360" w:lineRule="auto"/>
        <w:ind w:firstLine="424" w:firstLineChars="202"/>
        <w:textAlignment w:val="baseline"/>
        <w:rPr>
          <w:rFonts w:ascii="宋体" w:hAnsi="宋体" w:eastAsia="仿宋_GB2312" w:cs="Times New Roman"/>
          <w:color w:val="000000"/>
          <w:sz w:val="21"/>
          <w:szCs w:val="21"/>
        </w:rPr>
      </w:pPr>
      <w:r>
        <w:rPr>
          <w:rFonts w:hint="eastAsia" w:ascii="宋体" w:hAnsi="宋体" w:eastAsia="宋体" w:cs="Times New Roman"/>
          <w:color w:val="000000"/>
          <w:sz w:val="21"/>
          <w:szCs w:val="21"/>
        </w:rPr>
        <w:t>第100章 总则</w:t>
      </w:r>
    </w:p>
    <w:p>
      <w:pPr>
        <w:wordWrap w:val="0"/>
        <w:spacing w:line="360" w:lineRule="auto"/>
        <w:ind w:firstLine="630" w:firstLineChars="300"/>
        <w:textAlignment w:val="baseline"/>
        <w:rPr>
          <w:rFonts w:ascii="宋体" w:hAnsi="宋体" w:eastAsia="宋体" w:cs="Times New Roman"/>
          <w:color w:val="000000"/>
          <w:sz w:val="21"/>
          <w:szCs w:val="21"/>
        </w:rPr>
      </w:pPr>
      <w:r>
        <w:rPr>
          <w:rFonts w:ascii="Times New Roman" w:hAnsi="Times New Roman" w:eastAsia="宋体" w:cs="Times New Roman"/>
          <w:sz w:val="21"/>
        </w:rPr>
        <w:fldChar w:fldCharType="begin"/>
      </w:r>
      <w:r>
        <w:rPr>
          <w:rFonts w:ascii="Times New Roman" w:hAnsi="Times New Roman" w:eastAsia="宋体" w:cs="Times New Roman"/>
          <w:sz w:val="21"/>
        </w:rPr>
        <w:instrText xml:space="preserve">HYPERLINK \l "_Toc4525"</w:instrText>
      </w:r>
      <w:r>
        <w:rPr>
          <w:rFonts w:ascii="Times New Roman" w:hAnsi="Times New Roman" w:eastAsia="宋体" w:cs="Times New Roman"/>
          <w:sz w:val="21"/>
        </w:rPr>
        <w:fldChar w:fldCharType="separate"/>
      </w:r>
      <w:r>
        <w:rPr>
          <w:rFonts w:hint="eastAsia" w:ascii="宋体" w:hAnsi="宋体" w:eastAsia="宋体" w:cs="Times New Roman"/>
          <w:color w:val="000000"/>
          <w:sz w:val="21"/>
          <w:szCs w:val="21"/>
        </w:rPr>
        <w:t>第103节  临时工程与设施</w:t>
      </w:r>
      <w:r>
        <w:rPr>
          <w:rFonts w:ascii="Times New Roman" w:hAnsi="Times New Roman" w:eastAsia="宋体" w:cs="Times New Roman"/>
          <w:sz w:val="21"/>
        </w:rPr>
        <w:fldChar w:fldCharType="end"/>
      </w:r>
    </w:p>
    <w:p>
      <w:pPr>
        <w:wordWrap w:val="0"/>
        <w:spacing w:line="360" w:lineRule="auto"/>
        <w:ind w:firstLine="424" w:firstLineChars="202"/>
        <w:textAlignment w:val="baseline"/>
        <w:rPr>
          <w:rFonts w:ascii="Times New Roman" w:hAnsi="Times New Roman" w:eastAsia="宋体" w:cs="Times New Roman"/>
          <w:color w:val="000000"/>
          <w:sz w:val="21"/>
          <w:szCs w:val="21"/>
        </w:rPr>
      </w:pPr>
    </w:p>
    <w:p>
      <w:pPr>
        <w:wordWrap w:val="0"/>
        <w:spacing w:line="360" w:lineRule="auto"/>
        <w:textAlignment w:val="baseline"/>
        <w:rPr>
          <w:rFonts w:ascii="Times New Roman" w:hAnsi="Times New Roman" w:eastAsia="宋体" w:cs="Times New Roman"/>
          <w:color w:val="000000"/>
          <w:sz w:val="21"/>
          <w:szCs w:val="21"/>
        </w:rPr>
      </w:pPr>
    </w:p>
    <w:p>
      <w:pPr>
        <w:wordWrap w:val="0"/>
        <w:spacing w:line="360" w:lineRule="auto"/>
        <w:ind w:firstLine="424" w:firstLineChars="202"/>
        <w:textAlignment w:val="baseline"/>
        <w:rPr>
          <w:rFonts w:ascii="Times New Roman" w:hAnsi="Times New Roman" w:eastAsia="宋体" w:cs="Times New Roman"/>
          <w:color w:val="000000"/>
          <w:sz w:val="21"/>
          <w:szCs w:val="21"/>
        </w:rPr>
      </w:pPr>
    </w:p>
    <w:p>
      <w:pPr>
        <w:wordWrap w:val="0"/>
        <w:spacing w:line="360" w:lineRule="auto"/>
        <w:ind w:firstLine="2732" w:firstLineChars="1301"/>
        <w:textAlignment w:val="baseline"/>
        <w:rPr>
          <w:rFonts w:ascii="宋体" w:hAnsi="宋体" w:eastAsia="宋体" w:cs="Times New Roman"/>
          <w:color w:val="000000"/>
          <w:sz w:val="21"/>
          <w:szCs w:val="21"/>
        </w:rPr>
      </w:pPr>
      <w:bookmarkStart w:id="60" w:name="_Toc20731868"/>
      <w:bookmarkStart w:id="61" w:name="_Toc18504547"/>
      <w:bookmarkStart w:id="62" w:name="_Toc505864461"/>
      <w:r>
        <w:rPr>
          <w:rFonts w:hint="eastAsia" w:ascii="宋体" w:hAnsi="宋体" w:eastAsia="宋体" w:cs="Times New Roman"/>
          <w:color w:val="000000"/>
          <w:sz w:val="21"/>
          <w:szCs w:val="21"/>
        </w:rPr>
        <w:t>第103节  临时工程与设施</w:t>
      </w:r>
      <w:bookmarkEnd w:id="60"/>
      <w:bookmarkEnd w:id="61"/>
      <w:bookmarkEnd w:id="62"/>
    </w:p>
    <w:p>
      <w:pPr>
        <w:wordWrap w:val="0"/>
        <w:spacing w:line="360" w:lineRule="auto"/>
        <w:ind w:firstLine="424" w:firstLineChars="202"/>
        <w:textAlignment w:val="baseline"/>
        <w:rPr>
          <w:rFonts w:ascii="宋体" w:hAnsi="宋体" w:eastAsia="宋体" w:cs="Times New Roman"/>
          <w:color w:val="000000"/>
          <w:sz w:val="21"/>
          <w:szCs w:val="21"/>
        </w:rPr>
      </w:pPr>
      <w:r>
        <w:rPr>
          <w:rFonts w:hint="eastAsia" w:ascii="宋体" w:hAnsi="宋体" w:eastAsia="宋体" w:cs="Times New Roman"/>
          <w:color w:val="000000"/>
          <w:sz w:val="21"/>
          <w:szCs w:val="21"/>
        </w:rPr>
        <w:t>103.02  临时设施</w:t>
      </w:r>
    </w:p>
    <w:p>
      <w:pPr>
        <w:wordWrap w:val="0"/>
        <w:spacing w:line="360" w:lineRule="auto"/>
        <w:ind w:firstLine="424" w:firstLineChars="202"/>
        <w:textAlignment w:val="baseline"/>
        <w:rPr>
          <w:rFonts w:ascii="宋体" w:hAnsi="宋体" w:eastAsia="宋体" w:cs="Times New Roman"/>
          <w:color w:val="000000"/>
          <w:sz w:val="21"/>
          <w:szCs w:val="21"/>
        </w:rPr>
      </w:pPr>
      <w:r>
        <w:rPr>
          <w:rFonts w:hint="eastAsia" w:ascii="宋体" w:hAnsi="宋体" w:eastAsia="宋体" w:cs="Times New Roman"/>
          <w:color w:val="000000"/>
          <w:sz w:val="21"/>
          <w:szCs w:val="21"/>
        </w:rPr>
        <w:t>1、供电</w:t>
      </w:r>
    </w:p>
    <w:p>
      <w:pPr>
        <w:wordWrap w:val="0"/>
        <w:spacing w:line="360" w:lineRule="auto"/>
        <w:ind w:firstLine="424" w:firstLineChars="202"/>
        <w:textAlignment w:val="baseline"/>
        <w:rPr>
          <w:rFonts w:ascii="宋体" w:hAnsi="宋体" w:eastAsia="宋体" w:cs="Times New Roman"/>
          <w:color w:val="000000"/>
          <w:sz w:val="21"/>
          <w:szCs w:val="21"/>
        </w:rPr>
      </w:pPr>
      <w:r>
        <w:rPr>
          <w:rFonts w:hint="eastAsia" w:ascii="宋体" w:hAnsi="宋体" w:eastAsia="宋体" w:cs="Times New Roman"/>
          <w:color w:val="000000"/>
          <w:sz w:val="21"/>
          <w:szCs w:val="21"/>
        </w:rPr>
        <w:t>补充第（6）款：</w:t>
      </w:r>
    </w:p>
    <w:p>
      <w:pPr>
        <w:rPr>
          <w:rFonts w:ascii="宋体" w:hAnsi="宋体" w:eastAsia="宋体" w:cs="Times New Roman"/>
          <w:color w:val="000000"/>
          <w:sz w:val="21"/>
          <w:szCs w:val="21"/>
        </w:rPr>
      </w:pPr>
      <w:r>
        <w:rPr>
          <w:rFonts w:hint="eastAsia" w:ascii="宋体" w:hAnsi="宋体" w:eastAsia="宋体" w:cs="Times New Roman"/>
          <w:color w:val="000000"/>
          <w:sz w:val="21"/>
          <w:szCs w:val="21"/>
        </w:rPr>
        <w:t>（6）为防止施工现场电力不足，停电、电力网络不完善的实际情况，承包人应自行配置大功率的发电机组。承包人可根据实际情况，对于桥梁施工也可采取自发电，但发包人不对电油差价进行补助。</w:t>
      </w:r>
    </w:p>
    <w:p>
      <w:pPr>
        <w:widowControl w:val="0"/>
        <w:autoSpaceDE w:val="0"/>
        <w:autoSpaceDN w:val="0"/>
        <w:adjustRightInd w:val="0"/>
        <w:ind w:left="20"/>
        <w:jc w:val="left"/>
        <w:rPr>
          <w:rFonts w:ascii="宋体" w:hAnsi="Times New Roman" w:eastAsia="宋体" w:cs="Times New Roman"/>
          <w:kern w:val="0"/>
          <w:sz w:val="21"/>
          <w:szCs w:val="21"/>
          <w:lang w:val="en-US" w:eastAsia="zh-CN" w:bidi="ar-SA"/>
        </w:rPr>
      </w:pPr>
    </w:p>
    <w:p>
      <w:pPr>
        <w:widowControl w:val="0"/>
        <w:autoSpaceDE w:val="0"/>
        <w:autoSpaceDN w:val="0"/>
        <w:adjustRightInd w:val="0"/>
        <w:ind w:left="20"/>
        <w:jc w:val="left"/>
        <w:rPr>
          <w:rFonts w:ascii="宋体" w:hAnsi="Times New Roman" w:eastAsia="宋体" w:cs="Times New Roman"/>
          <w:kern w:val="0"/>
          <w:sz w:val="21"/>
          <w:szCs w:val="21"/>
          <w:lang w:val="en-US" w:eastAsia="zh-CN" w:bidi="ar-SA"/>
        </w:rPr>
      </w:pPr>
    </w:p>
    <w:p>
      <w:pPr>
        <w:widowControl w:val="0"/>
        <w:autoSpaceDE w:val="0"/>
        <w:autoSpaceDN w:val="0"/>
        <w:adjustRightInd w:val="0"/>
        <w:ind w:left="20"/>
        <w:jc w:val="left"/>
        <w:rPr>
          <w:rFonts w:ascii="宋体" w:hAnsi="Times New Roman" w:eastAsia="宋体" w:cs="Times New Roman"/>
          <w:kern w:val="0"/>
          <w:sz w:val="21"/>
          <w:szCs w:val="21"/>
          <w:lang w:val="en-US" w:eastAsia="zh-CN" w:bidi="ar-SA"/>
        </w:rPr>
      </w:pPr>
    </w:p>
    <w:p>
      <w:pPr>
        <w:widowControl w:val="0"/>
        <w:autoSpaceDE w:val="0"/>
        <w:autoSpaceDN w:val="0"/>
        <w:adjustRightInd w:val="0"/>
        <w:ind w:left="20"/>
        <w:jc w:val="left"/>
        <w:rPr>
          <w:rFonts w:ascii="宋体" w:hAnsi="Times New Roman" w:eastAsia="宋体" w:cs="Times New Roman"/>
          <w:kern w:val="0"/>
          <w:sz w:val="21"/>
          <w:szCs w:val="21"/>
          <w:lang w:val="en-US" w:eastAsia="zh-CN" w:bidi="ar-SA"/>
        </w:rPr>
      </w:pPr>
    </w:p>
    <w:p>
      <w:pPr>
        <w:widowControl w:val="0"/>
        <w:autoSpaceDE w:val="0"/>
        <w:autoSpaceDN w:val="0"/>
        <w:adjustRightInd w:val="0"/>
        <w:ind w:left="20"/>
        <w:jc w:val="left"/>
        <w:rPr>
          <w:rFonts w:ascii="宋体" w:hAnsi="Times New Roman" w:eastAsia="宋体" w:cs="Times New Roman"/>
          <w:kern w:val="0"/>
          <w:sz w:val="21"/>
          <w:szCs w:val="21"/>
          <w:lang w:val="en-US" w:eastAsia="zh-CN" w:bidi="ar-SA"/>
        </w:rPr>
      </w:pPr>
    </w:p>
    <w:p>
      <w:pPr>
        <w:widowControl w:val="0"/>
        <w:autoSpaceDE w:val="0"/>
        <w:autoSpaceDN w:val="0"/>
        <w:adjustRightInd w:val="0"/>
        <w:ind w:left="20"/>
        <w:jc w:val="left"/>
        <w:rPr>
          <w:rFonts w:hint="eastAsia" w:ascii="宋体" w:hAnsi="Times New Roman" w:eastAsia="宋体" w:cs="Times New Roman"/>
          <w:kern w:val="0"/>
          <w:sz w:val="21"/>
          <w:szCs w:val="21"/>
          <w:lang w:val="en-US" w:eastAsia="zh-CN" w:bidi="ar-SA"/>
        </w:rPr>
      </w:pPr>
    </w:p>
    <w:p>
      <w:pPr>
        <w:widowControl w:val="0"/>
        <w:autoSpaceDE w:val="0"/>
        <w:autoSpaceDN w:val="0"/>
        <w:adjustRightInd w:val="0"/>
        <w:ind w:left="20"/>
        <w:jc w:val="left"/>
        <w:rPr>
          <w:rFonts w:hint="eastAsia" w:ascii="宋体" w:hAnsi="Times New Roman" w:eastAsia="宋体" w:cs="Times New Roman"/>
          <w:kern w:val="0"/>
          <w:sz w:val="21"/>
          <w:szCs w:val="21"/>
          <w:lang w:val="en-US" w:eastAsia="zh-CN" w:bidi="ar-SA"/>
        </w:rPr>
      </w:pPr>
    </w:p>
    <w:p>
      <w:pPr>
        <w:widowControl w:val="0"/>
        <w:autoSpaceDE w:val="0"/>
        <w:autoSpaceDN w:val="0"/>
        <w:adjustRightInd w:val="0"/>
        <w:ind w:left="20"/>
        <w:jc w:val="left"/>
        <w:rPr>
          <w:rFonts w:hint="eastAsia" w:ascii="宋体" w:hAnsi="Times New Roman" w:eastAsia="宋体" w:cs="Times New Roman"/>
          <w:kern w:val="0"/>
          <w:sz w:val="21"/>
          <w:szCs w:val="21"/>
          <w:lang w:val="en-US" w:eastAsia="zh-CN" w:bidi="ar-SA"/>
        </w:rPr>
      </w:pPr>
    </w:p>
    <w:p>
      <w:pPr>
        <w:widowControl w:val="0"/>
        <w:autoSpaceDE w:val="0"/>
        <w:autoSpaceDN w:val="0"/>
        <w:adjustRightInd w:val="0"/>
        <w:ind w:left="20"/>
        <w:jc w:val="left"/>
        <w:rPr>
          <w:rFonts w:hint="eastAsia" w:ascii="宋体" w:hAnsi="Times New Roman" w:eastAsia="宋体" w:cs="Times New Roman"/>
          <w:kern w:val="0"/>
          <w:sz w:val="21"/>
          <w:szCs w:val="21"/>
          <w:lang w:val="en-US" w:eastAsia="zh-CN" w:bidi="ar-SA"/>
        </w:rPr>
      </w:pPr>
    </w:p>
    <w:p>
      <w:pPr>
        <w:widowControl w:val="0"/>
        <w:autoSpaceDE w:val="0"/>
        <w:autoSpaceDN w:val="0"/>
        <w:adjustRightInd w:val="0"/>
        <w:ind w:left="20"/>
        <w:jc w:val="left"/>
        <w:rPr>
          <w:rFonts w:hint="eastAsia" w:ascii="宋体" w:hAnsi="Times New Roman" w:eastAsia="宋体" w:cs="Times New Roman"/>
          <w:kern w:val="0"/>
          <w:sz w:val="21"/>
          <w:szCs w:val="21"/>
          <w:lang w:val="en-US" w:eastAsia="zh-CN" w:bidi="ar-SA"/>
        </w:rPr>
      </w:pPr>
    </w:p>
    <w:p>
      <w:pPr>
        <w:widowControl w:val="0"/>
        <w:autoSpaceDE w:val="0"/>
        <w:autoSpaceDN w:val="0"/>
        <w:adjustRightInd w:val="0"/>
        <w:ind w:left="20"/>
        <w:jc w:val="left"/>
        <w:rPr>
          <w:rFonts w:hint="eastAsia" w:ascii="宋体" w:hAnsi="Times New Roman" w:eastAsia="宋体" w:cs="Times New Roman"/>
          <w:kern w:val="0"/>
          <w:sz w:val="21"/>
          <w:szCs w:val="21"/>
          <w:lang w:val="en-US" w:eastAsia="zh-CN" w:bidi="ar-SA"/>
        </w:rPr>
      </w:pPr>
    </w:p>
    <w:p>
      <w:pPr>
        <w:widowControl w:val="0"/>
        <w:autoSpaceDE w:val="0"/>
        <w:autoSpaceDN w:val="0"/>
        <w:adjustRightInd w:val="0"/>
        <w:ind w:left="20"/>
        <w:jc w:val="left"/>
        <w:rPr>
          <w:rFonts w:hint="eastAsia" w:ascii="宋体" w:hAnsi="Times New Roman" w:eastAsia="宋体" w:cs="Times New Roman"/>
          <w:kern w:val="0"/>
          <w:sz w:val="21"/>
          <w:szCs w:val="21"/>
          <w:lang w:val="en-US" w:eastAsia="zh-CN" w:bidi="ar-SA"/>
        </w:rPr>
      </w:pPr>
    </w:p>
    <w:p>
      <w:pPr>
        <w:widowControl w:val="0"/>
        <w:autoSpaceDE w:val="0"/>
        <w:autoSpaceDN w:val="0"/>
        <w:adjustRightInd w:val="0"/>
        <w:ind w:left="20"/>
        <w:jc w:val="left"/>
        <w:rPr>
          <w:rFonts w:hint="eastAsia" w:ascii="宋体" w:hAnsi="Times New Roman" w:eastAsia="宋体" w:cs="Times New Roman"/>
          <w:kern w:val="0"/>
          <w:sz w:val="21"/>
          <w:szCs w:val="21"/>
          <w:lang w:val="en-US" w:eastAsia="zh-CN" w:bidi="ar-SA"/>
        </w:rPr>
      </w:pPr>
    </w:p>
    <w:p>
      <w:pPr>
        <w:widowControl w:val="0"/>
        <w:autoSpaceDE w:val="0"/>
        <w:autoSpaceDN w:val="0"/>
        <w:adjustRightInd w:val="0"/>
        <w:ind w:left="20"/>
        <w:jc w:val="left"/>
        <w:rPr>
          <w:rFonts w:hint="eastAsia" w:ascii="宋体" w:hAnsi="Times New Roman" w:eastAsia="宋体" w:cs="Times New Roman"/>
          <w:kern w:val="0"/>
          <w:sz w:val="21"/>
          <w:szCs w:val="21"/>
          <w:lang w:val="en-US" w:eastAsia="zh-CN" w:bidi="ar-SA"/>
        </w:rPr>
      </w:pPr>
    </w:p>
    <w:p>
      <w:pPr>
        <w:widowControl w:val="0"/>
        <w:autoSpaceDE w:val="0"/>
        <w:autoSpaceDN w:val="0"/>
        <w:adjustRightInd w:val="0"/>
        <w:ind w:left="20"/>
        <w:jc w:val="left"/>
        <w:rPr>
          <w:rFonts w:hint="eastAsia" w:ascii="宋体" w:hAnsi="Times New Roman" w:eastAsia="宋体" w:cs="Times New Roman"/>
          <w:kern w:val="0"/>
          <w:sz w:val="21"/>
          <w:szCs w:val="21"/>
          <w:lang w:val="en-US" w:eastAsia="zh-CN" w:bidi="ar-SA"/>
        </w:rPr>
      </w:pPr>
    </w:p>
    <w:p>
      <w:pPr>
        <w:widowControl w:val="0"/>
        <w:autoSpaceDE w:val="0"/>
        <w:autoSpaceDN w:val="0"/>
        <w:adjustRightInd w:val="0"/>
        <w:ind w:left="20"/>
        <w:jc w:val="left"/>
        <w:rPr>
          <w:rFonts w:hint="eastAsia" w:ascii="宋体" w:hAnsi="Times New Roman" w:eastAsia="宋体" w:cs="Times New Roman"/>
          <w:kern w:val="0"/>
          <w:sz w:val="21"/>
          <w:szCs w:val="21"/>
          <w:lang w:val="en-US" w:eastAsia="zh-CN" w:bidi="ar-SA"/>
        </w:rPr>
      </w:pPr>
    </w:p>
    <w:p>
      <w:pPr>
        <w:spacing w:before="120" w:beforeLines="50" w:after="120" w:afterLines="50"/>
        <w:jc w:val="center"/>
        <w:outlineLvl w:val="1"/>
        <w:rPr>
          <w:rFonts w:hint="eastAsia" w:ascii="Times New Roman" w:hAnsi="Times New Roman" w:eastAsia="宋体" w:cs="Times New Roman"/>
          <w:b/>
          <w:color w:val="000000"/>
          <w:sz w:val="36"/>
          <w:szCs w:val="36"/>
        </w:rPr>
      </w:pPr>
      <w:r>
        <w:rPr>
          <w:rFonts w:hint="eastAsia" w:ascii="Times New Roman" w:hAnsi="Times New Roman" w:eastAsia="宋体" w:cs="Times New Roman"/>
          <w:b/>
          <w:color w:val="000000"/>
          <w:sz w:val="36"/>
          <w:szCs w:val="36"/>
        </w:rPr>
        <w:t>工程量清单计量规则</w:t>
      </w:r>
    </w:p>
    <w:p>
      <w:pPr>
        <w:wordWrap w:val="0"/>
        <w:outlineLvl w:val="1"/>
        <w:rPr>
          <w:rFonts w:hint="eastAsia" w:ascii="Times New Roman" w:hAnsi="Times New Roman" w:eastAsia="宋体" w:cs="Times New Roman"/>
          <w:color w:val="000000"/>
          <w:sz w:val="24"/>
        </w:rPr>
      </w:pPr>
      <w:bookmarkStart w:id="63" w:name="_Toc113006832"/>
      <w:bookmarkStart w:id="64" w:name="_Toc116403650"/>
      <w:bookmarkStart w:id="65" w:name="_Toc108452778"/>
      <w:bookmarkStart w:id="66" w:name="_Toc3927"/>
      <w:bookmarkStart w:id="67" w:name="_Toc238900335"/>
      <w:bookmarkStart w:id="68" w:name="_Toc24036"/>
      <w:bookmarkStart w:id="69" w:name="_Toc7663"/>
      <w:bookmarkStart w:id="70" w:name="_Toc239671866"/>
      <w:bookmarkStart w:id="71" w:name="_Toc28157"/>
      <w:bookmarkStart w:id="72" w:name="_Toc25891"/>
      <w:bookmarkStart w:id="73" w:name="_Toc4943"/>
      <w:r>
        <w:rPr>
          <w:rFonts w:hint="eastAsia" w:ascii="Times New Roman" w:hAnsi="Times New Roman" w:eastAsia="宋体" w:cs="Times New Roman"/>
          <w:color w:val="000000"/>
          <w:sz w:val="24"/>
        </w:rPr>
        <w:t>1.工程量计价规则（修改或增列）</w:t>
      </w:r>
      <w:bookmarkEnd w:id="63"/>
      <w:bookmarkEnd w:id="64"/>
      <w:bookmarkEnd w:id="65"/>
      <w:r>
        <w:rPr>
          <w:rFonts w:hint="eastAsia" w:ascii="Times New Roman" w:hAnsi="Times New Roman" w:eastAsia="宋体" w:cs="Times New Roman"/>
          <w:color w:val="000000"/>
          <w:sz w:val="24"/>
        </w:rPr>
        <w:t xml:space="preserve"> </w:t>
      </w:r>
    </w:p>
    <w:p>
      <w:pPr>
        <w:wordWrap w:val="0"/>
        <w:ind w:firstLine="435"/>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 xml:space="preserve">1.1清单子目计价规则与DB33/T 628.1《交通建设工程工程量清单计价规范 第1部分：公路工程》（下称《地方标准》）一致的，不单独列出。 </w:t>
      </w:r>
    </w:p>
    <w:p>
      <w:pPr>
        <w:wordWrap w:val="0"/>
        <w:spacing w:line="340" w:lineRule="exact"/>
        <w:ind w:firstLine="420"/>
        <w:textAlignment w:val="baseline"/>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1.2修改使用《地方标准》以及增列的清单子目，其计价规则在此处单独列出：</w:t>
      </w:r>
      <w:bookmarkEnd w:id="66"/>
      <w:bookmarkEnd w:id="67"/>
      <w:bookmarkEnd w:id="68"/>
      <w:bookmarkEnd w:id="69"/>
      <w:bookmarkEnd w:id="70"/>
      <w:bookmarkEnd w:id="71"/>
      <w:bookmarkEnd w:id="72"/>
      <w:bookmarkEnd w:id="73"/>
    </w:p>
    <w:p>
      <w:pPr>
        <w:wordWrap w:val="0"/>
        <w:spacing w:line="340" w:lineRule="exact"/>
        <w:ind w:firstLine="420"/>
        <w:textAlignment w:val="baseline"/>
        <w:rPr>
          <w:rFonts w:ascii="Times New Roman" w:hAnsi="Times New Roman" w:eastAsia="宋体" w:cs="Times New Roman"/>
          <w:sz w:val="21"/>
        </w:rPr>
      </w:pPr>
      <w:r>
        <w:rPr>
          <w:rFonts w:hint="eastAsia" w:ascii="仿宋" w:hAnsi="仿宋" w:eastAsia="仿宋" w:cs="Times New Roman"/>
          <w:b/>
          <w:sz w:val="28"/>
          <w:szCs w:val="28"/>
        </w:rPr>
        <w:t>第100章 总则</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6"/>
        <w:gridCol w:w="1610"/>
        <w:gridCol w:w="819"/>
        <w:gridCol w:w="3340"/>
        <w:gridCol w:w="2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清单子目编码</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清单子目名称</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单位</w:t>
            </w:r>
          </w:p>
        </w:tc>
        <w:tc>
          <w:tcPr>
            <w:tcW w:w="3499"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工程量计量</w:t>
            </w:r>
          </w:p>
        </w:tc>
        <w:tc>
          <w:tcPr>
            <w:tcW w:w="25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rPr>
            </w:pPr>
            <w:r>
              <w:rPr>
                <w:rFonts w:hint="eastAsia" w:ascii="宋体" w:hAnsi="Times New Roman" w:eastAsia="宋体" w:cs="宋体"/>
                <w:kern w:val="0"/>
                <w:sz w:val="21"/>
                <w:szCs w:val="21"/>
              </w:rPr>
              <w:t>工程内容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104</w:t>
            </w:r>
          </w:p>
        </w:tc>
        <w:tc>
          <w:tcPr>
            <w:tcW w:w="1685"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kern w:val="0"/>
                <w:sz w:val="21"/>
                <w:szCs w:val="21"/>
              </w:rPr>
            </w:pPr>
            <w:r>
              <w:rPr>
                <w:rFonts w:hint="eastAsia" w:ascii="ﾃ凝偲古･" w:hAnsi="Times New Roman" w:eastAsia="ﾃ凝偲古･" w:cs="ﾃ凝偲古･"/>
                <w:kern w:val="0"/>
                <w:sz w:val="21"/>
                <w:szCs w:val="21"/>
              </w:rPr>
              <w:t>承包人</w:t>
            </w:r>
            <w:r>
              <w:rPr>
                <w:rFonts w:hint="eastAsia" w:ascii="宋体" w:hAnsi="宋体" w:eastAsia="宋体" w:cs="宋体"/>
                <w:kern w:val="0"/>
                <w:sz w:val="21"/>
                <w:szCs w:val="21"/>
              </w:rPr>
              <w:t>驻</w:t>
            </w:r>
            <w:r>
              <w:rPr>
                <w:rFonts w:hint="eastAsia" w:ascii="MS Mincho" w:hAnsi="MS Mincho" w:eastAsia="MS Mincho" w:cs="MS Mincho"/>
                <w:kern w:val="0"/>
                <w:sz w:val="21"/>
                <w:szCs w:val="21"/>
              </w:rPr>
              <w:t>地建</w:t>
            </w:r>
            <w:r>
              <w:rPr>
                <w:rFonts w:hint="eastAsia" w:ascii="宋体" w:hAnsi="宋体" w:eastAsia="宋体" w:cs="宋体"/>
                <w:kern w:val="0"/>
                <w:sz w:val="21"/>
                <w:szCs w:val="21"/>
              </w:rPr>
              <w:t>设</w:t>
            </w:r>
          </w:p>
        </w:tc>
        <w:tc>
          <w:tcPr>
            <w:tcW w:w="844"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c>
          <w:tcPr>
            <w:tcW w:w="34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c>
          <w:tcPr>
            <w:tcW w:w="25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104-1</w:t>
            </w:r>
          </w:p>
        </w:tc>
        <w:tc>
          <w:tcPr>
            <w:tcW w:w="1685"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ﾃ凝偲古･" w:hAnsi="Times New Roman" w:eastAsia="ﾃ凝偲古･" w:cs="ﾃ凝偲古･"/>
                <w:kern w:val="0"/>
                <w:sz w:val="21"/>
                <w:szCs w:val="21"/>
              </w:rPr>
            </w:pPr>
            <w:r>
              <w:rPr>
                <w:rFonts w:hint="eastAsia" w:ascii="ﾃ凝偲古･" w:hAnsi="Times New Roman" w:eastAsia="ﾃ凝偲古･" w:cs="ﾃ凝偲古･"/>
                <w:kern w:val="0"/>
                <w:sz w:val="21"/>
                <w:szCs w:val="21"/>
              </w:rPr>
              <w:t>承包人</w:t>
            </w:r>
            <w:r>
              <w:rPr>
                <w:rFonts w:hint="eastAsia" w:ascii="宋体" w:hAnsi="宋体" w:eastAsia="宋体" w:cs="宋体"/>
                <w:kern w:val="0"/>
                <w:sz w:val="21"/>
                <w:szCs w:val="21"/>
              </w:rPr>
              <w:t>驻</w:t>
            </w:r>
            <w:r>
              <w:rPr>
                <w:rFonts w:hint="eastAsia" w:ascii="MS Mincho" w:hAnsi="MS Mincho" w:eastAsia="MS Mincho" w:cs="MS Mincho"/>
                <w:kern w:val="0"/>
                <w:sz w:val="21"/>
                <w:szCs w:val="21"/>
              </w:rPr>
              <w:t>地建</w:t>
            </w:r>
            <w:r>
              <w:rPr>
                <w:rFonts w:hint="eastAsia" w:ascii="宋体" w:hAnsi="宋体" w:eastAsia="宋体" w:cs="宋体"/>
                <w:kern w:val="0"/>
                <w:sz w:val="21"/>
                <w:szCs w:val="21"/>
              </w:rPr>
              <w:t>设</w:t>
            </w:r>
          </w:p>
        </w:tc>
        <w:tc>
          <w:tcPr>
            <w:tcW w:w="844"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总额</w:t>
            </w: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Times New Roman" w:eastAsia="宋体" w:cs="宋体"/>
                <w:kern w:val="0"/>
                <w:sz w:val="21"/>
                <w:szCs w:val="21"/>
              </w:rPr>
            </w:pPr>
            <w:r>
              <w:rPr>
                <w:rFonts w:hint="default" w:ascii="宋体" w:hAnsi="Times New Roman" w:eastAsia="宋体" w:cs="宋体"/>
                <w:kern w:val="0"/>
                <w:sz w:val="21"/>
                <w:szCs w:val="21"/>
              </w:rPr>
              <w:t>1.</w:t>
            </w:r>
            <w:r>
              <w:rPr>
                <w:rFonts w:hint="eastAsia" w:ascii="宋体" w:hAnsi="Times New Roman" w:eastAsia="宋体" w:cs="宋体"/>
                <w:kern w:val="0"/>
                <w:sz w:val="21"/>
                <w:szCs w:val="21"/>
              </w:rPr>
              <w:t>以总额为单位计量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rPr>
            </w:pPr>
            <w:r>
              <w:rPr>
                <w:rFonts w:hint="default" w:ascii="宋体" w:hAnsi="Times New Roman" w:eastAsia="宋体" w:cs="宋体"/>
                <w:kern w:val="0"/>
                <w:sz w:val="21"/>
                <w:szCs w:val="21"/>
              </w:rPr>
              <w:t>2.</w:t>
            </w:r>
            <w:r>
              <w:rPr>
                <w:rFonts w:hint="eastAsia" w:ascii="宋体" w:hAnsi="Times New Roman" w:eastAsia="宋体" w:cs="宋体"/>
                <w:kern w:val="0"/>
                <w:sz w:val="21"/>
                <w:szCs w:val="21"/>
              </w:rPr>
              <w:t>按招标文件要求建设承包人驻地</w:t>
            </w:r>
            <w:r>
              <w:rPr>
                <w:rFonts w:hint="eastAsia" w:ascii="宋体" w:hAnsi="Times New Roman" w:eastAsia="宋体" w:cs="宋体"/>
                <w:b/>
                <w:bCs/>
                <w:kern w:val="0"/>
                <w:sz w:val="21"/>
                <w:szCs w:val="21"/>
              </w:rPr>
              <w:t>（无需按标准化要求建设）</w:t>
            </w:r>
            <w:r>
              <w:rPr>
                <w:rFonts w:hint="eastAsia" w:ascii="宋体" w:hAnsi="Times New Roman" w:eastAsia="宋体" w:cs="宋体"/>
                <w:kern w:val="0"/>
                <w:sz w:val="21"/>
                <w:szCs w:val="21"/>
              </w:rPr>
              <w:t>，经监理人现场核实后分期计量，其中，所报总额的</w:t>
            </w:r>
            <w:r>
              <w:rPr>
                <w:rFonts w:hint="default" w:ascii="宋体" w:hAnsi="Times New Roman" w:eastAsia="宋体" w:cs="宋体"/>
                <w:kern w:val="0"/>
                <w:sz w:val="21"/>
                <w:szCs w:val="21"/>
              </w:rPr>
              <w:t>60%</w:t>
            </w:r>
            <w:r>
              <w:rPr>
                <w:rFonts w:hint="eastAsia" w:ascii="宋体" w:hAnsi="Times New Roman" w:eastAsia="宋体" w:cs="宋体"/>
                <w:kern w:val="0"/>
                <w:sz w:val="21"/>
                <w:szCs w:val="21"/>
              </w:rPr>
              <w:t>在第</w:t>
            </w:r>
            <w:r>
              <w:rPr>
                <w:rFonts w:hint="default" w:ascii="宋体" w:hAnsi="Times New Roman" w:eastAsia="宋体" w:cs="宋体"/>
                <w:kern w:val="0"/>
                <w:sz w:val="21"/>
                <w:szCs w:val="21"/>
              </w:rPr>
              <w:t>1</w:t>
            </w:r>
            <w:r>
              <w:rPr>
                <w:rFonts w:hint="eastAsia" w:ascii="宋体" w:hAnsi="Times New Roman" w:eastAsia="宋体" w:cs="宋体"/>
                <w:kern w:val="0"/>
                <w:sz w:val="21"/>
                <w:szCs w:val="21"/>
              </w:rPr>
              <w:t>次至第</w:t>
            </w:r>
            <w:r>
              <w:rPr>
                <w:rFonts w:hint="default" w:ascii="宋体" w:hAnsi="Times New Roman" w:eastAsia="宋体" w:cs="宋体"/>
                <w:kern w:val="0"/>
                <w:sz w:val="21"/>
                <w:szCs w:val="21"/>
              </w:rPr>
              <w:t>3</w:t>
            </w:r>
            <w:r>
              <w:rPr>
                <w:rFonts w:hint="eastAsia" w:ascii="宋体" w:hAnsi="Times New Roman" w:eastAsia="宋体" w:cs="宋体"/>
                <w:kern w:val="0"/>
                <w:sz w:val="21"/>
                <w:szCs w:val="21"/>
              </w:rPr>
              <w:t>次计量中，以</w:t>
            </w:r>
            <w:r>
              <w:rPr>
                <w:rFonts w:hint="default" w:ascii="宋体" w:hAnsi="Times New Roman" w:eastAsia="宋体" w:cs="宋体"/>
                <w:kern w:val="0"/>
                <w:sz w:val="21"/>
                <w:szCs w:val="21"/>
              </w:rPr>
              <w:t>3</w:t>
            </w:r>
            <w:r>
              <w:rPr>
                <w:rFonts w:hint="eastAsia" w:ascii="宋体" w:hAnsi="Times New Roman" w:eastAsia="宋体" w:cs="宋体"/>
                <w:kern w:val="0"/>
                <w:sz w:val="21"/>
                <w:szCs w:val="21"/>
              </w:rPr>
              <w:t>次等额计量所报总额中余下的4</w:t>
            </w:r>
            <w:r>
              <w:rPr>
                <w:rFonts w:hint="default" w:ascii="宋体" w:hAnsi="Times New Roman" w:eastAsia="宋体" w:cs="宋体"/>
                <w:kern w:val="0"/>
                <w:sz w:val="21"/>
                <w:szCs w:val="21"/>
              </w:rPr>
              <w:t>0%</w:t>
            </w:r>
            <w:r>
              <w:rPr>
                <w:rFonts w:hint="eastAsia" w:ascii="宋体" w:hAnsi="Times New Roman" w:eastAsia="宋体" w:cs="宋体"/>
                <w:kern w:val="0"/>
                <w:sz w:val="21"/>
                <w:szCs w:val="21"/>
              </w:rPr>
              <w:t>，应在承包人驻地和标准化工地建设已经移走和清除，并经监理人验收合格后予以计量</w:t>
            </w:r>
          </w:p>
        </w:tc>
        <w:tc>
          <w:tcPr>
            <w:tcW w:w="25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Times New Roman" w:eastAsia="宋体" w:cs="宋体"/>
                <w:b/>
                <w:bCs/>
                <w:kern w:val="0"/>
                <w:sz w:val="21"/>
                <w:szCs w:val="21"/>
              </w:rPr>
            </w:pPr>
            <w:r>
              <w:rPr>
                <w:rFonts w:hint="default" w:ascii="宋体" w:hAnsi="Times New Roman" w:eastAsia="宋体" w:cs="宋体"/>
                <w:kern w:val="0"/>
                <w:sz w:val="21"/>
                <w:szCs w:val="21"/>
              </w:rPr>
              <w:t>1.</w:t>
            </w:r>
            <w:r>
              <w:rPr>
                <w:rFonts w:hint="eastAsia" w:ascii="宋体" w:hAnsi="Times New Roman" w:eastAsia="宋体" w:cs="宋体"/>
                <w:kern w:val="0"/>
                <w:sz w:val="21"/>
                <w:szCs w:val="21"/>
              </w:rPr>
              <w:t>承包人驻地建设，包括施工与管理所需的办公室、住房以及配套医疗卫生与消防设施等的建设、管理与维护，要求办公室与住房总面积不少于150平方米</w:t>
            </w:r>
            <w:r>
              <w:rPr>
                <w:rFonts w:hint="eastAsia" w:ascii="宋体" w:hAnsi="Times New Roman" w:eastAsia="宋体" w:cs="宋体"/>
                <w:b/>
                <w:bCs/>
                <w:kern w:val="0"/>
                <w:sz w:val="21"/>
                <w:szCs w:val="21"/>
              </w:rPr>
              <w:t>（按租房考虑）</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kern w:val="0"/>
                <w:sz w:val="21"/>
                <w:szCs w:val="21"/>
              </w:rPr>
            </w:pPr>
            <w:r>
              <w:rPr>
                <w:rFonts w:hint="eastAsia" w:ascii="宋体" w:hAnsi="Times New Roman" w:eastAsia="宋体" w:cs="宋体"/>
                <w:kern w:val="0"/>
                <w:sz w:val="21"/>
                <w:szCs w:val="21"/>
              </w:rPr>
              <w:t>2.含办公设备摊销及水电等相关费用</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rPr>
            </w:pPr>
            <w:r>
              <w:rPr>
                <w:rFonts w:hint="default" w:ascii="宋体" w:hAnsi="Times New Roman" w:eastAsia="宋体" w:cs="宋体"/>
                <w:kern w:val="0"/>
                <w:sz w:val="21"/>
                <w:szCs w:val="21"/>
              </w:rPr>
              <w:t>3.</w:t>
            </w:r>
            <w:r>
              <w:rPr>
                <w:rFonts w:hint="eastAsia" w:ascii="宋体" w:hAnsi="Times New Roman" w:eastAsia="宋体" w:cs="宋体"/>
                <w:kern w:val="0"/>
                <w:sz w:val="21"/>
                <w:szCs w:val="21"/>
              </w:rPr>
              <w:t>工程交工时，按照合同或协议要求将驻地拆除、清理、恢复原貌</w:t>
            </w:r>
          </w:p>
        </w:tc>
      </w:tr>
    </w:tbl>
    <w:p>
      <w:pPr>
        <w:wordWrap w:val="0"/>
        <w:spacing w:line="340" w:lineRule="exact"/>
        <w:ind w:firstLine="420"/>
        <w:textAlignment w:val="baseline"/>
        <w:rPr>
          <w:rFonts w:ascii="Times New Roman" w:hAnsi="Times New Roman" w:eastAsia="宋体" w:cs="Times New Roman"/>
          <w:sz w:val="21"/>
        </w:rPr>
      </w:pPr>
      <w:r>
        <w:rPr>
          <w:rFonts w:hint="eastAsia" w:ascii="仿宋" w:hAnsi="仿宋" w:eastAsia="仿宋" w:cs="Times New Roman"/>
          <w:b/>
          <w:sz w:val="28"/>
          <w:szCs w:val="28"/>
        </w:rPr>
        <w:t>第200章 路基工程</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5"/>
        <w:gridCol w:w="1606"/>
        <w:gridCol w:w="818"/>
        <w:gridCol w:w="3317"/>
        <w:gridCol w:w="2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清单子目编码</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清单子目名称</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单位</w:t>
            </w:r>
          </w:p>
        </w:tc>
        <w:tc>
          <w:tcPr>
            <w:tcW w:w="3499"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工程量计量</w:t>
            </w:r>
          </w:p>
        </w:tc>
        <w:tc>
          <w:tcPr>
            <w:tcW w:w="25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rPr>
            </w:pPr>
            <w:r>
              <w:rPr>
                <w:rFonts w:hint="eastAsia" w:ascii="宋体" w:hAnsi="Times New Roman" w:eastAsia="宋体" w:cs="宋体"/>
                <w:kern w:val="0"/>
                <w:sz w:val="21"/>
                <w:szCs w:val="21"/>
              </w:rPr>
              <w:t>工程内容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color w:val="000000"/>
                <w:sz w:val="18"/>
                <w:szCs w:val="18"/>
              </w:rPr>
            </w:pPr>
            <w:r>
              <w:rPr>
                <w:rFonts w:hint="eastAsia" w:ascii="smartSimSun" w:hAnsi="smartSimSun" w:eastAsia="smartSimSun" w:cs="Times New Roman"/>
                <w:color w:val="000000"/>
                <w:sz w:val="18"/>
                <w:szCs w:val="18"/>
              </w:rPr>
              <w:t>202</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场地清理</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c>
          <w:tcPr>
            <w:tcW w:w="25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202-2</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挖除旧路面</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c>
          <w:tcPr>
            <w:tcW w:w="25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202-2-1</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水泥混凝土面层</w:t>
            </w:r>
          </w:p>
        </w:tc>
        <w:tc>
          <w:tcPr>
            <w:tcW w:w="844"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m3</w:t>
            </w:r>
          </w:p>
        </w:tc>
        <w:tc>
          <w:tcPr>
            <w:tcW w:w="3499"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r>
              <w:rPr>
                <w:rFonts w:hint="default" w:ascii="宋体" w:hAnsi="宋体" w:eastAsia="宋体" w:cs="宋体"/>
                <w:spacing w:val="7"/>
                <w:sz w:val="18"/>
                <w:szCs w:val="18"/>
              </w:rPr>
              <w:t xml:space="preserve">依据图纸所示位置，挖除 </w:t>
            </w:r>
            <w:r>
              <w:rPr>
                <w:rFonts w:hint="default" w:ascii="宋体" w:hAnsi="宋体" w:eastAsia="宋体" w:cs="宋体"/>
                <w:spacing w:val="28"/>
                <w:sz w:val="18"/>
                <w:szCs w:val="18"/>
              </w:rPr>
              <w:t>路基范围内原有</w:t>
            </w:r>
            <w:r>
              <w:rPr>
                <w:rFonts w:hint="default" w:ascii="宋体" w:hAnsi="宋体" w:eastAsia="宋体" w:cs="宋体"/>
                <w:sz w:val="18"/>
                <w:szCs w:val="18"/>
              </w:rPr>
              <w:t>的</w:t>
            </w:r>
            <w:r>
              <w:rPr>
                <w:rFonts w:hint="default" w:ascii="宋体" w:hAnsi="宋体" w:eastAsia="宋体" w:cs="宋体"/>
                <w:spacing w:val="14"/>
                <w:sz w:val="18"/>
                <w:szCs w:val="18"/>
              </w:rPr>
              <w:t>旧路</w:t>
            </w:r>
            <w:r>
              <w:rPr>
                <w:rFonts w:hint="default" w:ascii="宋体" w:hAnsi="宋体" w:eastAsia="宋体" w:cs="宋体"/>
                <w:spacing w:val="7"/>
                <w:sz w:val="18"/>
                <w:szCs w:val="18"/>
              </w:rPr>
              <w:t xml:space="preserve">面，按不同的路面结构类 </w:t>
            </w:r>
            <w:r>
              <w:rPr>
                <w:rFonts w:hint="default" w:ascii="宋体" w:hAnsi="宋体" w:eastAsia="宋体" w:cs="宋体"/>
                <w:sz w:val="18"/>
                <w:szCs w:val="18"/>
              </w:rPr>
              <w:t>型以立方米为单位计量</w:t>
            </w:r>
          </w:p>
        </w:tc>
        <w:tc>
          <w:tcPr>
            <w:tcW w:w="2599" w:type="dxa"/>
            <w:noWrap w:val="0"/>
            <w:vAlign w:val="center"/>
          </w:tcPr>
          <w:p>
            <w:pPr>
              <w:keepNext w:val="0"/>
              <w:keepLines w:val="0"/>
              <w:widowControl w:val="0"/>
              <w:suppressLineNumbers w:val="0"/>
              <w:autoSpaceDE w:val="0"/>
              <w:autoSpaceDN w:val="0"/>
              <w:adjustRightInd w:val="0"/>
              <w:spacing w:before="0" w:beforeAutospacing="0" w:after="0" w:afterAutospacing="0"/>
              <w:ind w:left="207" w:right="0"/>
              <w:jc w:val="left"/>
              <w:rPr>
                <w:rFonts w:hint="default" w:ascii="宋体" w:hAnsi="宋体" w:eastAsia="宋体" w:cs="宋体"/>
                <w:kern w:val="0"/>
                <w:sz w:val="18"/>
                <w:szCs w:val="18"/>
                <w:lang w:val="en-US" w:eastAsia="zh-CN" w:bidi="ar-SA"/>
              </w:rPr>
            </w:pPr>
            <w:r>
              <w:rPr>
                <w:rFonts w:hint="default" w:ascii="宋体" w:hAnsi="宋体" w:eastAsia="宋体" w:cs="宋体"/>
                <w:spacing w:val="-1"/>
                <w:kern w:val="0"/>
                <w:sz w:val="18"/>
                <w:szCs w:val="18"/>
                <w:lang w:val="en-US" w:eastAsia="zh-CN" w:bidi="ar-SA"/>
              </w:rPr>
              <w:t>1.挖除</w:t>
            </w:r>
          </w:p>
          <w:p>
            <w:pPr>
              <w:keepNext w:val="0"/>
              <w:keepLines w:val="0"/>
              <w:widowControl w:val="0"/>
              <w:suppressLineNumbers w:val="0"/>
              <w:autoSpaceDE w:val="0"/>
              <w:autoSpaceDN w:val="0"/>
              <w:adjustRightInd w:val="0"/>
              <w:spacing w:before="76" w:beforeAutospacing="0" w:after="0" w:afterAutospacing="0"/>
              <w:ind w:left="207" w:right="0"/>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2.装卸、移运处理 </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kern w:val="0"/>
                <w:sz w:val="21"/>
                <w:szCs w:val="21"/>
              </w:rPr>
            </w:pPr>
            <w:r>
              <w:rPr>
                <w:rFonts w:hint="default" w:ascii="宋体" w:hAnsi="宋体" w:eastAsia="宋体" w:cs="宋体"/>
                <w:sz w:val="18"/>
                <w:szCs w:val="18"/>
              </w:rPr>
              <w:t>3.场地清理、平整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202-2-2</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沥青混凝土面层</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tcBorders>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kern w:val="0"/>
                <w:sz w:val="21"/>
                <w:szCs w:val="21"/>
              </w:rPr>
            </w:pPr>
          </w:p>
        </w:tc>
        <w:tc>
          <w:tcPr>
            <w:tcW w:w="2599" w:type="dxa"/>
            <w:tcBorders>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ﾃ凝偲古･" w:hAnsi="AYJYLK+" w:eastAsia="宋体" w:cs="ﾃ凝偲古･"/>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202-2-2-1</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铣刨</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m3</w:t>
            </w:r>
          </w:p>
        </w:tc>
        <w:tc>
          <w:tcPr>
            <w:tcW w:w="3499"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kern w:val="0"/>
                <w:sz w:val="21"/>
                <w:szCs w:val="21"/>
              </w:rPr>
            </w:pPr>
            <w:r>
              <w:rPr>
                <w:rFonts w:hint="default" w:ascii="宋体" w:hAnsi="宋体" w:eastAsia="宋体" w:cs="宋体"/>
                <w:spacing w:val="7"/>
                <w:sz w:val="18"/>
                <w:szCs w:val="18"/>
              </w:rPr>
              <w:t xml:space="preserve">依据图纸所示位置，挖除 </w:t>
            </w:r>
            <w:r>
              <w:rPr>
                <w:rFonts w:hint="default" w:ascii="宋体" w:hAnsi="宋体" w:eastAsia="宋体" w:cs="宋体"/>
                <w:spacing w:val="28"/>
                <w:sz w:val="18"/>
                <w:szCs w:val="18"/>
              </w:rPr>
              <w:t>路基范围内原有</w:t>
            </w:r>
            <w:r>
              <w:rPr>
                <w:rFonts w:hint="default" w:ascii="宋体" w:hAnsi="宋体" w:eastAsia="宋体" w:cs="宋体"/>
                <w:sz w:val="18"/>
                <w:szCs w:val="18"/>
              </w:rPr>
              <w:t>的</w:t>
            </w:r>
            <w:r>
              <w:rPr>
                <w:rFonts w:hint="default" w:ascii="宋体" w:hAnsi="宋体" w:eastAsia="宋体" w:cs="宋体"/>
                <w:spacing w:val="14"/>
                <w:sz w:val="18"/>
                <w:szCs w:val="18"/>
              </w:rPr>
              <w:t>旧路</w:t>
            </w:r>
            <w:r>
              <w:rPr>
                <w:rFonts w:hint="default" w:ascii="宋体" w:hAnsi="宋体" w:eastAsia="宋体" w:cs="宋体"/>
                <w:spacing w:val="7"/>
                <w:sz w:val="18"/>
                <w:szCs w:val="18"/>
              </w:rPr>
              <w:t xml:space="preserve">面，按不同的路面结构类 </w:t>
            </w:r>
            <w:r>
              <w:rPr>
                <w:rFonts w:hint="default" w:ascii="宋体" w:hAnsi="宋体" w:eastAsia="宋体" w:cs="宋体"/>
                <w:sz w:val="18"/>
                <w:szCs w:val="18"/>
              </w:rPr>
              <w:t>型以立方米为单位计量</w:t>
            </w:r>
          </w:p>
        </w:tc>
        <w:tc>
          <w:tcPr>
            <w:tcW w:w="2599" w:type="dxa"/>
            <w:tcBorders>
              <w:top w:val="single" w:color="auto" w:sz="4" w:space="0"/>
              <w:bottom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207" w:right="0"/>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1.挖除或铣刨 </w:t>
            </w:r>
          </w:p>
          <w:p>
            <w:pPr>
              <w:keepNext w:val="0"/>
              <w:keepLines w:val="0"/>
              <w:widowControl w:val="0"/>
              <w:suppressLineNumbers w:val="0"/>
              <w:autoSpaceDE w:val="0"/>
              <w:autoSpaceDN w:val="0"/>
              <w:adjustRightInd w:val="0"/>
              <w:spacing w:before="76" w:beforeAutospacing="0" w:after="0" w:afterAutospacing="0"/>
              <w:ind w:left="207" w:right="0"/>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2.装卸、移运处理 </w:t>
            </w:r>
          </w:p>
          <w:p>
            <w:pPr>
              <w:keepNext w:val="0"/>
              <w:keepLines w:val="0"/>
              <w:suppressLineNumbers w:val="0"/>
              <w:autoSpaceDE w:val="0"/>
              <w:autoSpaceDN w:val="0"/>
              <w:adjustRightInd w:val="0"/>
              <w:spacing w:before="0" w:beforeAutospacing="0" w:after="0" w:afterAutospacing="0"/>
              <w:ind w:left="0" w:right="0"/>
              <w:jc w:val="left"/>
              <w:rPr>
                <w:rFonts w:hint="default" w:ascii="宋体" w:hAnsi="Times New Roman" w:eastAsia="宋体" w:cs="宋体"/>
                <w:kern w:val="0"/>
                <w:sz w:val="21"/>
                <w:szCs w:val="21"/>
              </w:rPr>
            </w:pPr>
            <w:r>
              <w:rPr>
                <w:rFonts w:hint="default" w:ascii="宋体" w:hAnsi="宋体" w:eastAsia="宋体" w:cs="宋体"/>
                <w:sz w:val="18"/>
                <w:szCs w:val="18"/>
              </w:rPr>
              <w:t>3.场地清理、平整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color w:val="000000"/>
                <w:sz w:val="18"/>
                <w:szCs w:val="18"/>
              </w:rPr>
            </w:pPr>
            <w:r>
              <w:rPr>
                <w:rFonts w:hint="eastAsia" w:ascii="smartSimSun" w:hAnsi="smartSimSun" w:eastAsia="smartSimSun" w:cs="Times New Roman"/>
                <w:color w:val="000000"/>
                <w:sz w:val="18"/>
                <w:szCs w:val="18"/>
              </w:rPr>
              <w:t>203</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default" w:ascii="宋体" w:hAnsi="宋体" w:eastAsia="宋体" w:cs="宋体"/>
                <w:sz w:val="18"/>
                <w:szCs w:val="18"/>
              </w:rPr>
              <w:t>挖方路基</w:t>
            </w:r>
          </w:p>
        </w:tc>
        <w:tc>
          <w:tcPr>
            <w:tcW w:w="844"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p>
        </w:tc>
        <w:tc>
          <w:tcPr>
            <w:tcW w:w="3499"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spacing w:val="7"/>
                <w:sz w:val="18"/>
                <w:szCs w:val="18"/>
              </w:rPr>
            </w:pPr>
          </w:p>
        </w:tc>
        <w:tc>
          <w:tcPr>
            <w:tcW w:w="2599" w:type="dxa"/>
            <w:tcBorders>
              <w:top w:val="single" w:color="auto" w:sz="4" w:space="0"/>
              <w:bottom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207" w:right="0"/>
              <w:jc w:val="left"/>
              <w:rPr>
                <w:rFonts w:hint="default" w:ascii="宋体" w:hAnsi="宋体" w:eastAsia="宋体" w:cs="宋体"/>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203-1</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default" w:ascii="宋体" w:hAnsi="宋体" w:eastAsia="宋体" w:cs="宋体"/>
                <w:sz w:val="18"/>
                <w:szCs w:val="18"/>
              </w:rPr>
              <w:t>路基挖方</w:t>
            </w:r>
          </w:p>
        </w:tc>
        <w:tc>
          <w:tcPr>
            <w:tcW w:w="844"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p>
        </w:tc>
        <w:tc>
          <w:tcPr>
            <w:tcW w:w="3499"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spacing w:val="7"/>
                <w:sz w:val="18"/>
                <w:szCs w:val="18"/>
              </w:rPr>
            </w:pPr>
          </w:p>
        </w:tc>
        <w:tc>
          <w:tcPr>
            <w:tcW w:w="2599" w:type="dxa"/>
            <w:tcBorders>
              <w:top w:val="single" w:color="auto" w:sz="4" w:space="0"/>
              <w:bottom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207" w:right="0"/>
              <w:jc w:val="left"/>
              <w:rPr>
                <w:rFonts w:hint="default" w:ascii="宋体" w:hAnsi="宋体" w:eastAsia="宋体" w:cs="宋体"/>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-a</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default" w:ascii="宋体" w:hAnsi="宋体" w:eastAsia="宋体" w:cs="宋体"/>
                <w:sz w:val="18"/>
                <w:szCs w:val="18"/>
              </w:rPr>
              <w:t>挖土方</w:t>
            </w:r>
          </w:p>
        </w:tc>
        <w:tc>
          <w:tcPr>
            <w:tcW w:w="844"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m3</w:t>
            </w:r>
          </w:p>
        </w:tc>
        <w:tc>
          <w:tcPr>
            <w:tcW w:w="3499" w:type="dxa"/>
            <w:tcBorders>
              <w:top w:val="single" w:color="auto" w:sz="4" w:space="0"/>
              <w:bottom w:val="single" w:color="auto" w:sz="4" w:space="0"/>
            </w:tcBorders>
            <w:noWrap w:val="0"/>
            <w:vAlign w:val="center"/>
          </w:tcPr>
          <w:p>
            <w:pPr>
              <w:keepNext w:val="0"/>
              <w:keepLines w:val="0"/>
              <w:widowControl w:val="0"/>
              <w:suppressLineNumbers w:val="0"/>
              <w:autoSpaceDE w:val="0"/>
              <w:autoSpaceDN w:val="0"/>
              <w:adjustRightInd w:val="0"/>
              <w:spacing w:before="7" w:beforeAutospacing="0" w:after="0" w:afterAutospacing="0"/>
              <w:ind w:left="-220" w:leftChars="-118" w:right="0" w:hanging="205" w:hangingChars="107"/>
              <w:jc w:val="left"/>
              <w:rPr>
                <w:rFonts w:hint="default" w:ascii="宋体" w:hAnsi="宋体" w:eastAsia="宋体" w:cs="宋体"/>
                <w:kern w:val="0"/>
                <w:sz w:val="15"/>
                <w:szCs w:val="15"/>
                <w:lang w:val="en-US" w:eastAsia="zh-CN" w:bidi="ar-SA"/>
              </w:rPr>
            </w:pPr>
            <w:r>
              <w:rPr>
                <w:rFonts w:hint="default" w:ascii="宋体" w:hAnsi="宋体" w:eastAsia="宋体" w:cs="宋体"/>
                <w:spacing w:val="6"/>
                <w:kern w:val="0"/>
                <w:sz w:val="18"/>
                <w:szCs w:val="18"/>
                <w:lang w:val="en-US" w:eastAsia="zh-CN" w:bidi="ar-SA"/>
              </w:rPr>
              <w:t>1.</w:t>
            </w:r>
            <w:r>
              <w:rPr>
                <w:rFonts w:hint="eastAsia" w:ascii="宋体" w:hAnsi="宋体" w:eastAsia="宋体" w:cs="宋体"/>
                <w:spacing w:val="6"/>
                <w:kern w:val="0"/>
                <w:sz w:val="15"/>
                <w:szCs w:val="15"/>
                <w:lang w:val="en-US" w:eastAsia="zh-CN" w:bidi="ar-SA"/>
              </w:rPr>
              <w:t>1.</w:t>
            </w:r>
            <w:r>
              <w:rPr>
                <w:rFonts w:hint="default" w:ascii="宋体" w:hAnsi="宋体" w:eastAsia="宋体" w:cs="宋体"/>
                <w:spacing w:val="6"/>
                <w:kern w:val="0"/>
                <w:sz w:val="15"/>
                <w:szCs w:val="15"/>
                <w:lang w:val="en-US" w:eastAsia="zh-CN" w:bidi="ar-SA"/>
              </w:rPr>
              <w:t>开挖数量包括边沟、排</w:t>
            </w:r>
            <w:r>
              <w:rPr>
                <w:rFonts w:hint="default" w:ascii="宋体" w:hAnsi="宋体" w:eastAsia="宋体" w:cs="宋体"/>
                <w:spacing w:val="7"/>
                <w:kern w:val="0"/>
                <w:sz w:val="15"/>
                <w:szCs w:val="15"/>
                <w:lang w:val="en-US" w:eastAsia="zh-CN" w:bidi="ar-SA"/>
              </w:rPr>
              <w:t>水沟、截水沟，应以经监理人校核批准的横断面地面线和土石分界的补充测量为基础，依据路基设计横断面图，采用平均断面面积法计算，按照天然密实体积以立方米为单位计</w:t>
            </w:r>
            <w:r>
              <w:rPr>
                <w:rFonts w:hint="default" w:ascii="宋体" w:hAnsi="宋体" w:eastAsia="宋体" w:cs="宋体"/>
                <w:kern w:val="0"/>
                <w:sz w:val="15"/>
                <w:szCs w:val="15"/>
                <w:lang w:val="en-US" w:eastAsia="zh-CN" w:bidi="ar-SA"/>
              </w:rPr>
              <w:t xml:space="preserve">量 </w:t>
            </w:r>
          </w:p>
          <w:p>
            <w:pPr>
              <w:keepNext w:val="0"/>
              <w:keepLines w:val="0"/>
              <w:widowControl w:val="0"/>
              <w:suppressLineNumbers w:val="0"/>
              <w:autoSpaceDE w:val="0"/>
              <w:autoSpaceDN w:val="0"/>
              <w:adjustRightInd w:val="0"/>
              <w:spacing w:before="10" w:beforeAutospacing="0" w:after="0" w:afterAutospacing="0"/>
              <w:ind w:left="-97" w:leftChars="-27" w:right="0" w:firstLine="10" w:firstLineChars="7"/>
              <w:jc w:val="left"/>
              <w:rPr>
                <w:rFonts w:hint="eastAsia" w:ascii="宋体" w:hAnsi="宋体" w:eastAsia="宋体" w:cs="宋体"/>
                <w:kern w:val="0"/>
                <w:sz w:val="15"/>
                <w:szCs w:val="15"/>
                <w:lang w:val="en-US" w:eastAsia="zh-CN" w:bidi="ar-SA"/>
              </w:rPr>
            </w:pPr>
            <w:r>
              <w:rPr>
                <w:rFonts w:hint="default" w:ascii="宋体" w:hAnsi="宋体" w:eastAsia="宋体" w:cs="宋体"/>
                <w:kern w:val="0"/>
                <w:sz w:val="15"/>
                <w:szCs w:val="15"/>
                <w:lang w:val="en-US" w:eastAsia="zh-CN" w:bidi="ar-SA"/>
              </w:rPr>
              <w:t>2.路床顶面以下挖松深</w:t>
            </w:r>
            <w:r>
              <w:rPr>
                <w:rFonts w:hint="default" w:ascii="宋体" w:hAnsi="宋体" w:eastAsia="宋体" w:cs="宋体"/>
                <w:spacing w:val="-1"/>
                <w:kern w:val="0"/>
                <w:sz w:val="15"/>
                <w:szCs w:val="15"/>
                <w:lang w:val="en-US" w:eastAsia="zh-CN" w:bidi="ar-SA"/>
              </w:rPr>
              <w:t>300mm</w:t>
            </w:r>
            <w:r>
              <w:rPr>
                <w:rFonts w:hint="default" w:ascii="宋体" w:hAnsi="宋体" w:eastAsia="宋体" w:cs="宋体"/>
                <w:spacing w:val="7"/>
                <w:kern w:val="0"/>
                <w:sz w:val="15"/>
                <w:szCs w:val="15"/>
                <w:lang w:val="en-US" w:eastAsia="zh-CN" w:bidi="ar-SA"/>
              </w:rPr>
              <w:t>再压实作为挖土方</w:t>
            </w:r>
            <w:r>
              <w:rPr>
                <w:rFonts w:hint="default" w:ascii="宋体" w:hAnsi="宋体" w:eastAsia="宋体" w:cs="宋体"/>
                <w:kern w:val="0"/>
                <w:sz w:val="15"/>
                <w:szCs w:val="15"/>
                <w:lang w:val="en-US" w:eastAsia="zh-CN" w:bidi="ar-SA"/>
              </w:rPr>
              <w:t xml:space="preserve">的附属工作，不另行计量 </w:t>
            </w:r>
          </w:p>
          <w:p>
            <w:pPr>
              <w:keepNext w:val="0"/>
              <w:keepLines w:val="0"/>
              <w:suppressLineNumbers w:val="0"/>
              <w:autoSpaceDE w:val="0"/>
              <w:autoSpaceDN w:val="0"/>
              <w:adjustRightInd w:val="0"/>
              <w:spacing w:before="0" w:beforeAutospacing="0" w:after="0" w:afterAutospacing="0"/>
              <w:ind w:left="-252" w:leftChars="-118" w:right="0" w:hanging="173" w:hangingChars="107"/>
              <w:jc w:val="left"/>
              <w:rPr>
                <w:rFonts w:hint="default" w:ascii="宋体" w:hAnsi="宋体" w:eastAsia="宋体" w:cs="宋体"/>
                <w:spacing w:val="7"/>
                <w:sz w:val="18"/>
                <w:szCs w:val="18"/>
              </w:rPr>
            </w:pPr>
            <w:r>
              <w:rPr>
                <w:rFonts w:hint="default" w:ascii="宋体" w:hAnsi="宋体" w:eastAsia="宋体" w:cs="宋体"/>
                <w:spacing w:val="6"/>
                <w:sz w:val="15"/>
                <w:szCs w:val="15"/>
              </w:rPr>
              <w:t>3.弃土场的绿化、防护工</w:t>
            </w:r>
            <w:r>
              <w:rPr>
                <w:rFonts w:hint="default" w:ascii="宋体" w:hAnsi="宋体" w:eastAsia="宋体" w:cs="宋体"/>
                <w:spacing w:val="7"/>
                <w:sz w:val="15"/>
                <w:szCs w:val="15"/>
              </w:rPr>
              <w:t>程、排水设施在相应章节</w:t>
            </w:r>
            <w:r>
              <w:rPr>
                <w:rFonts w:hint="default" w:ascii="宋体" w:hAnsi="宋体" w:eastAsia="宋体" w:cs="宋体"/>
                <w:sz w:val="15"/>
                <w:szCs w:val="15"/>
              </w:rPr>
              <w:t>内计量</w:t>
            </w:r>
          </w:p>
        </w:tc>
        <w:tc>
          <w:tcPr>
            <w:tcW w:w="2599" w:type="dxa"/>
            <w:tcBorders>
              <w:top w:val="single" w:color="auto" w:sz="4" w:space="0"/>
              <w:bottom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207" w:right="0"/>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1.挖、装、运输、卸车； </w:t>
            </w:r>
          </w:p>
          <w:p>
            <w:pPr>
              <w:keepNext w:val="0"/>
              <w:keepLines w:val="0"/>
              <w:widowControl w:val="0"/>
              <w:suppressLineNumbers w:val="0"/>
              <w:autoSpaceDE w:val="0"/>
              <w:autoSpaceDN w:val="0"/>
              <w:adjustRightInd w:val="0"/>
              <w:spacing w:before="10" w:beforeAutospacing="0" w:after="0" w:afterAutospacing="0"/>
              <w:ind w:left="207" w:right="0"/>
              <w:jc w:val="left"/>
              <w:rPr>
                <w:rFonts w:hint="default" w:ascii="宋体" w:hAnsi="宋体" w:eastAsia="宋体" w:cs="宋体"/>
                <w:kern w:val="0"/>
                <w:sz w:val="18"/>
                <w:szCs w:val="18"/>
                <w:lang w:val="en-US" w:eastAsia="zh-CN" w:bidi="ar-SA"/>
              </w:rPr>
            </w:pPr>
            <w:r>
              <w:rPr>
                <w:rFonts w:hint="default" w:ascii="宋体" w:hAnsi="宋体" w:eastAsia="宋体" w:cs="宋体"/>
                <w:spacing w:val="6"/>
                <w:kern w:val="0"/>
                <w:sz w:val="18"/>
                <w:szCs w:val="18"/>
                <w:lang w:val="en-US" w:eastAsia="zh-CN" w:bidi="ar-SA"/>
              </w:rPr>
              <w:t>2.填料分理、弃土整型、</w:t>
            </w:r>
          </w:p>
          <w:p>
            <w:pPr>
              <w:keepNext w:val="0"/>
              <w:keepLines w:val="0"/>
              <w:widowControl w:val="0"/>
              <w:suppressLineNumbers w:val="0"/>
              <w:autoSpaceDE w:val="0"/>
              <w:autoSpaceDN w:val="0"/>
              <w:adjustRightInd w:val="0"/>
              <w:spacing w:before="10" w:beforeAutospacing="0" w:after="0" w:afterAutospacing="0"/>
              <w:ind w:left="207" w:right="0"/>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压实 </w:t>
            </w:r>
          </w:p>
          <w:p>
            <w:pPr>
              <w:keepNext w:val="0"/>
              <w:keepLines w:val="0"/>
              <w:widowControl w:val="0"/>
              <w:suppressLineNumbers w:val="0"/>
              <w:autoSpaceDE w:val="0"/>
              <w:autoSpaceDN w:val="0"/>
              <w:adjustRightInd w:val="0"/>
              <w:spacing w:before="56" w:beforeAutospacing="0" w:after="0" w:afterAutospacing="0"/>
              <w:ind w:left="207" w:right="0"/>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3.施工排水处理 </w:t>
            </w:r>
          </w:p>
          <w:p>
            <w:pPr>
              <w:keepNext w:val="0"/>
              <w:keepLines w:val="0"/>
              <w:widowControl w:val="0"/>
              <w:suppressLineNumbers w:val="0"/>
              <w:autoSpaceDE w:val="0"/>
              <w:autoSpaceDN w:val="0"/>
              <w:adjustRightInd w:val="0"/>
              <w:spacing w:before="10" w:beforeAutospacing="0" w:after="0" w:afterAutospacing="0"/>
              <w:ind w:left="207" w:right="0"/>
              <w:jc w:val="left"/>
              <w:rPr>
                <w:rFonts w:hint="default" w:ascii="宋体" w:hAnsi="宋体" w:eastAsia="宋体" w:cs="宋体"/>
                <w:kern w:val="0"/>
                <w:sz w:val="18"/>
                <w:szCs w:val="18"/>
                <w:lang w:val="en-US" w:eastAsia="zh-CN" w:bidi="ar-SA"/>
              </w:rPr>
            </w:pPr>
            <w:r>
              <w:rPr>
                <w:rFonts w:hint="default" w:ascii="宋体" w:hAnsi="宋体" w:eastAsia="宋体" w:cs="宋体"/>
                <w:spacing w:val="6"/>
                <w:kern w:val="0"/>
                <w:sz w:val="18"/>
                <w:szCs w:val="18"/>
                <w:lang w:val="en-US" w:eastAsia="zh-CN" w:bidi="ar-SA"/>
              </w:rPr>
              <w:t>4.边坡整修、路床顶面以</w:t>
            </w:r>
          </w:p>
          <w:p>
            <w:pPr>
              <w:keepNext w:val="0"/>
              <w:keepLines w:val="0"/>
              <w:widowControl w:val="0"/>
              <w:suppressLineNumbers w:val="0"/>
              <w:autoSpaceDE w:val="0"/>
              <w:autoSpaceDN w:val="0"/>
              <w:adjustRightInd w:val="0"/>
              <w:spacing w:before="10" w:beforeAutospacing="0" w:after="0" w:afterAutospacing="0"/>
              <w:ind w:left="207" w:right="0"/>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下挖松深</w:t>
            </w:r>
            <w:r>
              <w:rPr>
                <w:rFonts w:hint="default" w:ascii="宋体" w:hAnsi="宋体" w:eastAsia="宋体" w:cs="宋体"/>
                <w:spacing w:val="-1"/>
                <w:kern w:val="0"/>
                <w:sz w:val="18"/>
                <w:szCs w:val="18"/>
                <w:lang w:val="en-US" w:eastAsia="zh-CN" w:bidi="ar-SA"/>
              </w:rPr>
              <w:t>300mm再压实、</w:t>
            </w:r>
          </w:p>
          <w:p>
            <w:pPr>
              <w:keepNext w:val="0"/>
              <w:keepLines w:val="0"/>
              <w:widowControl w:val="0"/>
              <w:suppressLineNumbers w:val="0"/>
              <w:autoSpaceDE w:val="0"/>
              <w:autoSpaceDN w:val="0"/>
              <w:adjustRightInd w:val="0"/>
              <w:spacing w:before="0" w:beforeAutospacing="0" w:after="0" w:afterAutospacing="0"/>
              <w:ind w:left="207" w:right="0"/>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路床清理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color w:val="000000"/>
                <w:sz w:val="18"/>
                <w:szCs w:val="18"/>
              </w:rPr>
            </w:pPr>
            <w:r>
              <w:rPr>
                <w:rFonts w:hint="eastAsia" w:ascii="smartSimSun" w:hAnsi="smartSimSun" w:eastAsia="smartSimSun" w:cs="Times New Roman"/>
                <w:color w:val="000000"/>
                <w:sz w:val="18"/>
                <w:szCs w:val="18"/>
              </w:rPr>
              <w:t>205</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default" w:ascii="宋体" w:hAnsi="宋体" w:eastAsia="宋体" w:cs="宋体"/>
                <w:spacing w:val="16"/>
                <w:sz w:val="18"/>
                <w:szCs w:val="18"/>
              </w:rPr>
              <w:t>特殊地区路基处</w:t>
            </w:r>
            <w:r>
              <w:rPr>
                <w:rFonts w:hint="default" w:ascii="宋体" w:hAnsi="宋体" w:eastAsia="宋体" w:cs="宋体"/>
                <w:sz w:val="18"/>
                <w:szCs w:val="18"/>
              </w:rPr>
              <w:t>理</w:t>
            </w:r>
          </w:p>
        </w:tc>
        <w:tc>
          <w:tcPr>
            <w:tcW w:w="844"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p>
        </w:tc>
        <w:tc>
          <w:tcPr>
            <w:tcW w:w="3499"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spacing w:val="7"/>
                <w:sz w:val="18"/>
                <w:szCs w:val="18"/>
              </w:rPr>
            </w:pPr>
          </w:p>
        </w:tc>
        <w:tc>
          <w:tcPr>
            <w:tcW w:w="2599" w:type="dxa"/>
            <w:tcBorders>
              <w:top w:val="single" w:color="auto" w:sz="4" w:space="0"/>
              <w:bottom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207" w:right="0"/>
              <w:jc w:val="left"/>
              <w:rPr>
                <w:rFonts w:hint="default" w:ascii="宋体" w:hAnsi="宋体" w:eastAsia="宋体" w:cs="宋体"/>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205-1</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软土路基处理</w:t>
            </w:r>
          </w:p>
        </w:tc>
        <w:tc>
          <w:tcPr>
            <w:tcW w:w="844"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p>
        </w:tc>
        <w:tc>
          <w:tcPr>
            <w:tcW w:w="3499"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spacing w:val="7"/>
                <w:sz w:val="18"/>
                <w:szCs w:val="18"/>
              </w:rPr>
            </w:pPr>
          </w:p>
        </w:tc>
        <w:tc>
          <w:tcPr>
            <w:tcW w:w="2599" w:type="dxa"/>
            <w:tcBorders>
              <w:top w:val="single" w:color="auto" w:sz="4" w:space="0"/>
              <w:bottom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207" w:right="0"/>
              <w:jc w:val="left"/>
              <w:rPr>
                <w:rFonts w:hint="default" w:ascii="宋体" w:hAnsi="宋体" w:eastAsia="宋体" w:cs="宋体"/>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205-1-4</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土工合成材料</w:t>
            </w:r>
          </w:p>
        </w:tc>
        <w:tc>
          <w:tcPr>
            <w:tcW w:w="844"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p>
        </w:tc>
        <w:tc>
          <w:tcPr>
            <w:tcW w:w="3499"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spacing w:val="7"/>
                <w:sz w:val="18"/>
                <w:szCs w:val="18"/>
              </w:rPr>
            </w:pPr>
          </w:p>
        </w:tc>
        <w:tc>
          <w:tcPr>
            <w:tcW w:w="2599" w:type="dxa"/>
            <w:tcBorders>
              <w:top w:val="single" w:color="auto" w:sz="4" w:space="0"/>
              <w:bottom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207" w:right="0"/>
              <w:jc w:val="left"/>
              <w:rPr>
                <w:rFonts w:hint="default" w:ascii="宋体" w:hAnsi="宋体" w:eastAsia="宋体" w:cs="宋体"/>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205-1-4-1</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抗裂贴</w:t>
            </w:r>
          </w:p>
        </w:tc>
        <w:tc>
          <w:tcPr>
            <w:tcW w:w="844"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m2</w:t>
            </w:r>
          </w:p>
        </w:tc>
        <w:tc>
          <w:tcPr>
            <w:tcW w:w="3499"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spacing w:val="7"/>
                <w:sz w:val="18"/>
                <w:szCs w:val="18"/>
              </w:rPr>
            </w:pPr>
            <w:r>
              <w:rPr>
                <w:rFonts w:hint="default" w:ascii="宋体" w:hAnsi="宋体" w:eastAsia="宋体" w:cs="宋体"/>
                <w:spacing w:val="6"/>
                <w:sz w:val="18"/>
                <w:szCs w:val="18"/>
              </w:rPr>
              <w:t>1.依据图纸所示位置和规</w:t>
            </w:r>
            <w:r>
              <w:rPr>
                <w:rFonts w:hint="default" w:ascii="宋体" w:hAnsi="宋体" w:eastAsia="宋体" w:cs="宋体"/>
                <w:spacing w:val="7"/>
                <w:sz w:val="18"/>
                <w:szCs w:val="18"/>
              </w:rPr>
              <w:t>格，按累计净面积以平方</w:t>
            </w:r>
            <w:r>
              <w:rPr>
                <w:rFonts w:hint="default" w:ascii="宋体" w:hAnsi="宋体" w:eastAsia="宋体" w:cs="宋体"/>
                <w:sz w:val="18"/>
                <w:szCs w:val="18"/>
              </w:rPr>
              <w:t xml:space="preserve">米为单位计量 </w:t>
            </w:r>
            <w:r>
              <w:rPr>
                <w:rFonts w:hint="default" w:ascii="宋体" w:hAnsi="宋体" w:eastAsia="宋体" w:cs="宋体"/>
                <w:spacing w:val="6"/>
                <w:sz w:val="18"/>
                <w:szCs w:val="18"/>
              </w:rPr>
              <w:t>2.接缝的重叠面积和边缘</w:t>
            </w:r>
            <w:r>
              <w:rPr>
                <w:rFonts w:hint="default" w:ascii="宋体" w:hAnsi="宋体" w:eastAsia="宋体" w:cs="宋体"/>
                <w:sz w:val="18"/>
                <w:szCs w:val="18"/>
              </w:rPr>
              <w:t>的包裹面积不予计量</w:t>
            </w:r>
          </w:p>
        </w:tc>
        <w:tc>
          <w:tcPr>
            <w:tcW w:w="2599" w:type="dxa"/>
            <w:tcBorders>
              <w:top w:val="single" w:color="auto" w:sz="4" w:space="0"/>
              <w:bottom w:val="single" w:color="auto" w:sz="4" w:space="0"/>
            </w:tcBorders>
            <w:noWrap w:val="0"/>
            <w:vAlign w:val="center"/>
          </w:tcPr>
          <w:p>
            <w:pPr>
              <w:keepNext w:val="0"/>
              <w:keepLines w:val="0"/>
              <w:widowControl w:val="0"/>
              <w:suppressLineNumbers w:val="0"/>
              <w:autoSpaceDE w:val="0"/>
              <w:autoSpaceDN w:val="0"/>
              <w:adjustRightInd w:val="0"/>
              <w:spacing w:before="160" w:beforeAutospacing="0" w:after="0" w:afterAutospacing="0"/>
              <w:ind w:left="207" w:right="0"/>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1.清理下承层 2.铺设及固定 </w:t>
            </w:r>
            <w:r>
              <w:rPr>
                <w:rFonts w:hint="default" w:ascii="宋体" w:hAnsi="宋体" w:eastAsia="宋体" w:cs="宋体"/>
                <w:spacing w:val="-2"/>
                <w:kern w:val="0"/>
                <w:sz w:val="18"/>
                <w:szCs w:val="18"/>
                <w:lang w:val="en-US" w:eastAsia="zh-CN" w:bidi="ar-SA"/>
              </w:rPr>
              <w:t>3.接缝处理（搭接、缝接、</w:t>
            </w:r>
            <w:r>
              <w:rPr>
                <w:rFonts w:hint="default" w:ascii="宋体" w:hAnsi="宋体" w:eastAsia="宋体" w:cs="宋体"/>
                <w:kern w:val="0"/>
                <w:sz w:val="18"/>
                <w:szCs w:val="18"/>
                <w:lang w:val="en-US" w:eastAsia="zh-CN" w:bidi="ar-SA"/>
              </w:rPr>
              <w:t>粘接） 4.边缘处理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top"/>
          </w:tcPr>
          <w:p>
            <w:pPr>
              <w:keepNext w:val="0"/>
              <w:keepLines w:val="0"/>
              <w:suppressLineNumbers w:val="0"/>
              <w:spacing w:before="0" w:beforeAutospacing="0" w:after="0" w:afterAutospacing="0"/>
              <w:ind w:left="0" w:right="0"/>
              <w:jc w:val="center"/>
              <w:rPr>
                <w:rFonts w:hint="default" w:ascii="smartSimSun" w:hAnsi="smartSimSun" w:eastAsia="smartSimSun" w:cs="Times New Roman"/>
                <w:color w:val="000000"/>
                <w:sz w:val="18"/>
                <w:szCs w:val="18"/>
              </w:rPr>
            </w:pP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p>
        </w:tc>
        <w:tc>
          <w:tcPr>
            <w:tcW w:w="844"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p>
        </w:tc>
        <w:tc>
          <w:tcPr>
            <w:tcW w:w="3499" w:type="dxa"/>
            <w:tcBorders>
              <w:top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spacing w:val="7"/>
                <w:sz w:val="18"/>
                <w:szCs w:val="18"/>
              </w:rPr>
            </w:pPr>
          </w:p>
        </w:tc>
        <w:tc>
          <w:tcPr>
            <w:tcW w:w="2599" w:type="dxa"/>
            <w:tcBorders>
              <w:top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207" w:right="0"/>
              <w:jc w:val="left"/>
              <w:rPr>
                <w:rFonts w:hint="default" w:ascii="宋体" w:hAnsi="宋体" w:eastAsia="宋体" w:cs="宋体"/>
                <w:kern w:val="0"/>
                <w:sz w:val="18"/>
                <w:szCs w:val="18"/>
                <w:lang w:val="en-US" w:eastAsia="zh-CN" w:bidi="ar-SA"/>
              </w:rPr>
            </w:pPr>
          </w:p>
        </w:tc>
      </w:tr>
    </w:tbl>
    <w:p>
      <w:pPr>
        <w:wordWrap w:val="0"/>
        <w:spacing w:line="340" w:lineRule="exact"/>
        <w:ind w:firstLine="420"/>
        <w:textAlignment w:val="baseline"/>
        <w:rPr>
          <w:rFonts w:ascii="仿宋" w:hAnsi="仿宋" w:eastAsia="仿宋" w:cs="Times New Roman"/>
          <w:b/>
          <w:sz w:val="28"/>
          <w:szCs w:val="28"/>
        </w:rPr>
      </w:pPr>
    </w:p>
    <w:p>
      <w:pPr>
        <w:wordWrap w:val="0"/>
        <w:spacing w:line="340" w:lineRule="exact"/>
        <w:ind w:firstLine="420"/>
        <w:textAlignment w:val="baseline"/>
        <w:rPr>
          <w:rFonts w:ascii="Times New Roman" w:hAnsi="Times New Roman" w:eastAsia="宋体" w:cs="Times New Roman"/>
          <w:sz w:val="21"/>
        </w:rPr>
      </w:pPr>
      <w:r>
        <w:rPr>
          <w:rFonts w:hint="eastAsia" w:ascii="仿宋" w:hAnsi="仿宋" w:eastAsia="仿宋" w:cs="Times New Roman"/>
          <w:b/>
          <w:sz w:val="28"/>
          <w:szCs w:val="28"/>
        </w:rPr>
        <w:t>第300章 路面工程</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4"/>
        <w:gridCol w:w="1656"/>
        <w:gridCol w:w="813"/>
        <w:gridCol w:w="3298"/>
        <w:gridCol w:w="2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清单子目编码</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清单子目名称</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单位</w:t>
            </w:r>
          </w:p>
        </w:tc>
        <w:tc>
          <w:tcPr>
            <w:tcW w:w="3499"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工程量计量</w:t>
            </w:r>
          </w:p>
        </w:tc>
        <w:tc>
          <w:tcPr>
            <w:tcW w:w="25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rPr>
            </w:pPr>
            <w:r>
              <w:rPr>
                <w:rFonts w:hint="eastAsia" w:ascii="宋体" w:hAnsi="Times New Roman" w:eastAsia="宋体" w:cs="宋体"/>
                <w:kern w:val="0"/>
                <w:sz w:val="21"/>
                <w:szCs w:val="21"/>
              </w:rPr>
              <w:t>工程内容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eastAsia" w:ascii="宋体" w:hAnsi="Times New Roman" w:eastAsia="宋体" w:cs="宋体"/>
                <w:kern w:val="0"/>
                <w:sz w:val="21"/>
                <w:szCs w:val="21"/>
              </w:rPr>
            </w:pPr>
            <w:r>
              <w:rPr>
                <w:rFonts w:hint="eastAsia" w:ascii="宋体" w:hAnsi="Times New Roman" w:eastAsia="宋体" w:cs="宋体"/>
                <w:kern w:val="0"/>
                <w:sz w:val="21"/>
                <w:szCs w:val="21"/>
              </w:rPr>
              <w:t>302</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宋体" w:hAnsi="Times New Roman" w:eastAsia="宋体" w:cs="宋体"/>
                <w:kern w:val="0"/>
                <w:sz w:val="21"/>
                <w:szCs w:val="21"/>
              </w:rPr>
            </w:pPr>
            <w:r>
              <w:rPr>
                <w:rFonts w:hint="eastAsia" w:ascii="smartSimSun" w:hAnsi="smartSimSun" w:eastAsia="smartSimSun" w:cs="Times New Roman"/>
                <w:sz w:val="18"/>
                <w:szCs w:val="18"/>
              </w:rPr>
              <w:t>垫层</w:t>
            </w:r>
          </w:p>
        </w:tc>
        <w:tc>
          <w:tcPr>
            <w:tcW w:w="844" w:type="dxa"/>
            <w:noWrap w:val="0"/>
            <w:vAlign w:val="center"/>
          </w:tcPr>
          <w:p>
            <w:pPr>
              <w:keepNext w:val="0"/>
              <w:keepLines w:val="0"/>
              <w:suppressLineNumbers w:val="0"/>
              <w:spacing w:before="0" w:beforeAutospacing="0" w:after="0" w:afterAutospacing="0"/>
              <w:ind w:left="0" w:right="0"/>
              <w:jc w:val="center"/>
              <w:rPr>
                <w:rFonts w:hint="eastAsia" w:ascii="宋体" w:hAnsi="Times New Roman" w:eastAsia="宋体" w:cs="宋体"/>
                <w:kern w:val="0"/>
                <w:sz w:val="21"/>
                <w:szCs w:val="21"/>
              </w:rPr>
            </w:pPr>
          </w:p>
        </w:tc>
        <w:tc>
          <w:tcPr>
            <w:tcW w:w="3499" w:type="dxa"/>
            <w:noWrap w:val="0"/>
            <w:vAlign w:val="center"/>
          </w:tcPr>
          <w:p>
            <w:pPr>
              <w:keepNext w:val="0"/>
              <w:keepLines w:val="0"/>
              <w:suppressLineNumbers w:val="0"/>
              <w:spacing w:before="0" w:beforeAutospacing="0" w:after="0" w:afterAutospacing="0"/>
              <w:ind w:left="0" w:right="0"/>
              <w:jc w:val="center"/>
              <w:rPr>
                <w:rFonts w:hint="eastAsia" w:ascii="宋体" w:hAnsi="Times New Roman" w:eastAsia="宋体" w:cs="宋体"/>
                <w:kern w:val="0"/>
                <w:sz w:val="21"/>
                <w:szCs w:val="21"/>
              </w:rPr>
            </w:pPr>
          </w:p>
        </w:tc>
        <w:tc>
          <w:tcPr>
            <w:tcW w:w="2599" w:type="dxa"/>
            <w:noWrap w:val="0"/>
            <w:vAlign w:val="center"/>
          </w:tcPr>
          <w:p>
            <w:pPr>
              <w:keepNext w:val="0"/>
              <w:keepLines w:val="0"/>
              <w:suppressLineNumbers w:val="0"/>
              <w:spacing w:before="0" w:beforeAutospacing="0" w:after="0" w:afterAutospacing="0"/>
              <w:ind w:left="0" w:right="0"/>
              <w:jc w:val="center"/>
              <w:rPr>
                <w:rFonts w:hint="eastAsia" w:ascii="宋体" w:hAnsi="Times New Roman"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eastAsia" w:ascii="宋体" w:hAnsi="Times New Roman" w:eastAsia="宋体" w:cs="宋体"/>
                <w:kern w:val="0"/>
                <w:sz w:val="21"/>
                <w:szCs w:val="21"/>
              </w:rPr>
            </w:pPr>
            <w:r>
              <w:rPr>
                <w:rFonts w:hint="eastAsia" w:ascii="宋体" w:hAnsi="Times New Roman" w:eastAsia="宋体" w:cs="宋体"/>
                <w:kern w:val="0"/>
                <w:sz w:val="21"/>
                <w:szCs w:val="21"/>
              </w:rPr>
              <w:t>302-8</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sz w:val="20"/>
                <w:szCs w:val="20"/>
              </w:rPr>
            </w:pPr>
            <w:r>
              <w:rPr>
                <w:rFonts w:hint="eastAsia" w:ascii="smartSimSun" w:hAnsi="smartSimSun" w:eastAsia="smartSimSun" w:cs="Times New Roman"/>
                <w:sz w:val="18"/>
                <w:szCs w:val="18"/>
              </w:rPr>
              <w:t>素混凝土垫层 C20</w:t>
            </w:r>
          </w:p>
        </w:tc>
        <w:tc>
          <w:tcPr>
            <w:tcW w:w="844" w:type="dxa"/>
            <w:noWrap w:val="0"/>
            <w:vAlign w:val="center"/>
          </w:tcPr>
          <w:p>
            <w:pPr>
              <w:keepNext w:val="0"/>
              <w:keepLines w:val="0"/>
              <w:suppressLineNumbers w:val="0"/>
              <w:spacing w:before="0" w:beforeAutospacing="0" w:after="0" w:afterAutospacing="0"/>
              <w:ind w:left="0" w:right="0"/>
              <w:jc w:val="center"/>
              <w:rPr>
                <w:rFonts w:hint="eastAsia" w:ascii="宋体" w:hAnsi="Times New Roman" w:eastAsia="宋体" w:cs="宋体"/>
                <w:kern w:val="0"/>
                <w:sz w:val="21"/>
                <w:szCs w:val="21"/>
              </w:rPr>
            </w:pPr>
            <w:r>
              <w:rPr>
                <w:rFonts w:hint="default" w:ascii="宋体" w:hAnsi="Times New Roman" w:eastAsia="宋体" w:cs="宋体"/>
                <w:kern w:val="0"/>
                <w:sz w:val="21"/>
                <w:szCs w:val="21"/>
              </w:rPr>
              <w:t>m</w:t>
            </w:r>
            <w:r>
              <w:rPr>
                <w:rFonts w:hint="eastAsia" w:ascii="宋体" w:hAnsi="Times New Roman" w:eastAsia="宋体" w:cs="宋体"/>
                <w:kern w:val="0"/>
                <w:sz w:val="21"/>
                <w:szCs w:val="21"/>
              </w:rPr>
              <w:t>3</w:t>
            </w:r>
          </w:p>
        </w:tc>
        <w:tc>
          <w:tcPr>
            <w:tcW w:w="3499"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default" w:ascii="宋体" w:hAnsi="宋体" w:eastAsia="宋体" w:cs="宋体"/>
                <w:spacing w:val="7"/>
                <w:sz w:val="18"/>
                <w:szCs w:val="18"/>
              </w:rPr>
              <w:t xml:space="preserve">按铺筑压实体积以立方米 为单位计量（按铺筑长度 </w:t>
            </w:r>
            <w:r>
              <w:rPr>
                <w:rFonts w:hint="default" w:ascii="宋体" w:hAnsi="宋体" w:eastAsia="宋体" w:cs="宋体"/>
                <w:sz w:val="18"/>
                <w:szCs w:val="18"/>
              </w:rPr>
              <w:t>与平均厚度截面积之积）</w:t>
            </w:r>
          </w:p>
        </w:tc>
        <w:tc>
          <w:tcPr>
            <w:tcW w:w="2599" w:type="dxa"/>
            <w:noWrap w:val="0"/>
            <w:vAlign w:val="center"/>
          </w:tcPr>
          <w:p>
            <w:pPr>
              <w:keepNext w:val="0"/>
              <w:keepLines w:val="0"/>
              <w:widowControl w:val="0"/>
              <w:suppressLineNumbers w:val="0"/>
              <w:autoSpaceDE w:val="0"/>
              <w:autoSpaceDN w:val="0"/>
              <w:adjustRightInd w:val="0"/>
              <w:spacing w:before="7" w:beforeAutospacing="0" w:after="0" w:afterAutospacing="0"/>
              <w:ind w:left="210" w:right="0"/>
              <w:jc w:val="left"/>
              <w:rPr>
                <w:rFonts w:hint="eastAsia" w:ascii="宋体" w:hAnsi="宋体" w:eastAsia="宋体" w:cs="宋体"/>
                <w:kern w:val="0"/>
                <w:sz w:val="18"/>
                <w:szCs w:val="18"/>
                <w:lang w:val="en-US" w:eastAsia="zh-CN" w:bidi="ar-SA"/>
              </w:rPr>
            </w:pPr>
            <w:r>
              <w:rPr>
                <w:rFonts w:hint="default" w:ascii="宋体" w:hAnsi="宋体" w:eastAsia="宋体" w:cs="宋体"/>
                <w:spacing w:val="6"/>
                <w:kern w:val="0"/>
                <w:sz w:val="18"/>
                <w:szCs w:val="18"/>
                <w:lang w:val="en-US" w:eastAsia="zh-CN" w:bidi="ar-SA"/>
              </w:rPr>
              <w:t>1.检查、清除路基上的浮</w:t>
            </w:r>
            <w:r>
              <w:rPr>
                <w:rFonts w:hint="default" w:ascii="宋体" w:hAnsi="宋体" w:eastAsia="宋体" w:cs="宋体"/>
                <w:kern w:val="0"/>
                <w:sz w:val="18"/>
                <w:szCs w:val="18"/>
                <w:lang w:val="en-US" w:eastAsia="zh-CN" w:bidi="ar-SA"/>
              </w:rPr>
              <w:t xml:space="preserve">土、杂物，并洒水湿润 2.模板制作、安装、拆除 </w:t>
            </w:r>
            <w:r>
              <w:rPr>
                <w:rFonts w:hint="default" w:ascii="宋体" w:hAnsi="宋体" w:eastAsia="宋体" w:cs="宋体"/>
                <w:spacing w:val="6"/>
                <w:kern w:val="0"/>
                <w:sz w:val="18"/>
                <w:szCs w:val="18"/>
                <w:lang w:val="en-US" w:eastAsia="zh-CN" w:bidi="ar-SA"/>
              </w:rPr>
              <w:t>3.混凝土拌和、运输、浇</w:t>
            </w:r>
            <w:r>
              <w:rPr>
                <w:rFonts w:hint="default" w:ascii="宋体" w:hAnsi="宋体" w:eastAsia="宋体" w:cs="宋体"/>
                <w:kern w:val="0"/>
                <w:sz w:val="18"/>
                <w:szCs w:val="18"/>
                <w:lang w:val="en-US" w:eastAsia="zh-CN" w:bidi="ar-SA"/>
              </w:rPr>
              <w:t>筑4.混凝土养护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color w:val="000000"/>
                <w:sz w:val="18"/>
                <w:szCs w:val="18"/>
              </w:rPr>
            </w:pPr>
            <w:r>
              <w:rPr>
                <w:rFonts w:hint="eastAsia" w:ascii="smartSimSun" w:hAnsi="smartSimSun" w:eastAsia="smartSimSun" w:cs="Times New Roman"/>
                <w:color w:val="000000"/>
                <w:sz w:val="18"/>
                <w:szCs w:val="18"/>
              </w:rPr>
              <w:t>305</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透层、封层、黏层</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c>
          <w:tcPr>
            <w:tcW w:w="25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305-2</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黏层</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m2</w:t>
            </w:r>
          </w:p>
        </w:tc>
        <w:tc>
          <w:tcPr>
            <w:tcW w:w="3499" w:type="dxa"/>
            <w:noWrap w:val="0"/>
            <w:vAlign w:val="top"/>
          </w:tcPr>
          <w:p>
            <w:pPr>
              <w:keepNext w:val="0"/>
              <w:keepLines w:val="0"/>
              <w:widowControl w:val="0"/>
              <w:suppressLineNumbers w:val="0"/>
              <w:autoSpaceDE w:val="0"/>
              <w:autoSpaceDN w:val="0"/>
              <w:adjustRightInd w:val="0"/>
              <w:spacing w:before="112" w:beforeAutospacing="0" w:after="0" w:afterAutospacing="0"/>
              <w:ind w:left="207" w:right="0"/>
              <w:jc w:val="left"/>
              <w:rPr>
                <w:rFonts w:hint="default" w:ascii="宋体" w:hAnsi="宋体" w:eastAsia="宋体" w:cs="宋体"/>
                <w:kern w:val="0"/>
                <w:sz w:val="18"/>
                <w:szCs w:val="18"/>
                <w:lang w:val="en-US" w:eastAsia="zh-CN" w:bidi="ar-SA"/>
              </w:rPr>
            </w:pPr>
            <w:r>
              <w:rPr>
                <w:rFonts w:hint="default" w:ascii="宋体" w:hAnsi="宋体" w:eastAsia="宋体" w:cs="宋体"/>
                <w:spacing w:val="7"/>
                <w:kern w:val="0"/>
                <w:sz w:val="18"/>
                <w:szCs w:val="18"/>
                <w:lang w:val="en-US" w:eastAsia="zh-CN" w:bidi="ar-SA"/>
              </w:rPr>
              <w:t>依据图纸所示（含桥梁及隧道）沥青品种、规格、 喷油量，按照洒布面积以</w:t>
            </w:r>
            <w:r>
              <w:rPr>
                <w:rFonts w:hint="default" w:ascii="宋体" w:hAnsi="宋体" w:eastAsia="宋体" w:cs="宋体"/>
                <w:kern w:val="0"/>
                <w:sz w:val="18"/>
                <w:szCs w:val="18"/>
                <w:lang w:val="en-US" w:eastAsia="zh-CN" w:bidi="ar-SA"/>
              </w:rPr>
              <w:t>平方米为单位计量</w:t>
            </w:r>
          </w:p>
        </w:tc>
        <w:tc>
          <w:tcPr>
            <w:tcW w:w="2599" w:type="dxa"/>
            <w:noWrap w:val="0"/>
            <w:vAlign w:val="top"/>
          </w:tcPr>
          <w:p>
            <w:pPr>
              <w:keepNext w:val="0"/>
              <w:keepLines w:val="0"/>
              <w:widowControl w:val="0"/>
              <w:suppressLineNumbers w:val="0"/>
              <w:autoSpaceDE w:val="0"/>
              <w:autoSpaceDN w:val="0"/>
              <w:adjustRightInd w:val="0"/>
              <w:spacing w:before="7" w:beforeAutospacing="0" w:after="0" w:afterAutospacing="0"/>
              <w:ind w:left="210" w:right="0"/>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1.检查和清扫下承层 2.试验段施工</w:t>
            </w:r>
            <w:r>
              <w:rPr>
                <w:rFonts w:hint="default" w:ascii="宋体" w:hAnsi="宋体" w:eastAsia="宋体" w:cs="宋体"/>
                <w:spacing w:val="6"/>
                <w:kern w:val="0"/>
                <w:sz w:val="18"/>
                <w:szCs w:val="18"/>
                <w:lang w:val="en-US" w:eastAsia="zh-CN" w:bidi="ar-SA"/>
              </w:rPr>
              <w:t>3.专用设备洒布或施工粘</w:t>
            </w:r>
            <w:r>
              <w:rPr>
                <w:rFonts w:hint="default" w:ascii="宋体" w:hAnsi="宋体" w:eastAsia="宋体" w:cs="宋体"/>
                <w:kern w:val="0"/>
                <w:sz w:val="18"/>
                <w:szCs w:val="18"/>
                <w:lang w:val="en-US" w:eastAsia="zh-CN" w:bidi="ar-SA"/>
              </w:rPr>
              <w:t>层4.整型、碾压、找补5.初期养护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305-3</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封层</w:t>
            </w:r>
          </w:p>
        </w:tc>
        <w:tc>
          <w:tcPr>
            <w:tcW w:w="844"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p>
        </w:tc>
        <w:tc>
          <w:tcPr>
            <w:tcW w:w="3499" w:type="dxa"/>
            <w:noWrap w:val="0"/>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 w:val="21"/>
              </w:rPr>
            </w:pPr>
          </w:p>
        </w:tc>
        <w:tc>
          <w:tcPr>
            <w:tcW w:w="2599" w:type="dxa"/>
            <w:noWrap w:val="0"/>
            <w:vAlign w:val="top"/>
          </w:tcPr>
          <w:p>
            <w:pPr>
              <w:keepNext w:val="0"/>
              <w:keepLines w:val="0"/>
              <w:widowControl w:val="0"/>
              <w:suppressLineNumbers w:val="0"/>
              <w:autoSpaceDE w:val="0"/>
              <w:autoSpaceDN w:val="0"/>
              <w:adjustRightInd w:val="0"/>
              <w:spacing w:before="10" w:beforeAutospacing="0" w:after="0" w:afterAutospacing="0"/>
              <w:ind w:left="210" w:right="0"/>
              <w:jc w:val="left"/>
              <w:rPr>
                <w:rFonts w:hint="default" w:ascii="宋体" w:hAnsi="宋体" w:eastAsia="宋体" w:cs="宋体"/>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305-3-2</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乳化沥青封层</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m2</w:t>
            </w:r>
          </w:p>
        </w:tc>
        <w:tc>
          <w:tcPr>
            <w:tcW w:w="3499" w:type="dxa"/>
            <w:noWrap w:val="0"/>
            <w:vAlign w:val="top"/>
          </w:tcPr>
          <w:p>
            <w:pPr>
              <w:keepNext w:val="0"/>
              <w:keepLines w:val="0"/>
              <w:widowControl w:val="0"/>
              <w:suppressLineNumbers w:val="0"/>
              <w:autoSpaceDE w:val="0"/>
              <w:autoSpaceDN w:val="0"/>
              <w:adjustRightInd w:val="0"/>
              <w:spacing w:before="0" w:beforeAutospacing="0" w:after="0" w:afterAutospacing="0"/>
              <w:ind w:left="207" w:right="0"/>
              <w:jc w:val="left"/>
              <w:rPr>
                <w:rFonts w:hint="default" w:ascii="宋体" w:hAnsi="宋体" w:eastAsia="宋体" w:cs="宋体"/>
                <w:kern w:val="0"/>
                <w:sz w:val="18"/>
                <w:szCs w:val="18"/>
                <w:lang w:val="en-US" w:eastAsia="zh-CN" w:bidi="ar-SA"/>
              </w:rPr>
            </w:pPr>
            <w:r>
              <w:rPr>
                <w:rFonts w:hint="default" w:ascii="宋体" w:hAnsi="宋体" w:eastAsia="宋体" w:cs="宋体"/>
                <w:spacing w:val="7"/>
                <w:kern w:val="0"/>
                <w:sz w:val="18"/>
                <w:szCs w:val="18"/>
                <w:lang w:val="en-US" w:eastAsia="zh-CN" w:bidi="ar-SA"/>
              </w:rPr>
              <w:t>依据图纸所示（含桥梁及隧道）沥青种类、厚度，按照封层面积以平方米为</w:t>
            </w:r>
            <w:r>
              <w:rPr>
                <w:rFonts w:hint="default" w:ascii="宋体" w:hAnsi="宋体" w:eastAsia="宋体" w:cs="宋体"/>
                <w:kern w:val="0"/>
                <w:sz w:val="18"/>
                <w:szCs w:val="18"/>
                <w:lang w:val="en-US" w:eastAsia="zh-CN" w:bidi="ar-SA"/>
              </w:rPr>
              <w:t>单位计量</w:t>
            </w:r>
          </w:p>
        </w:tc>
        <w:tc>
          <w:tcPr>
            <w:tcW w:w="2599" w:type="dxa"/>
            <w:noWrap w:val="0"/>
            <w:vAlign w:val="top"/>
          </w:tcPr>
          <w:p>
            <w:pPr>
              <w:keepNext w:val="0"/>
              <w:keepLines w:val="0"/>
              <w:widowControl w:val="0"/>
              <w:suppressLineNumbers w:val="0"/>
              <w:autoSpaceDE w:val="0"/>
              <w:autoSpaceDN w:val="0"/>
              <w:adjustRightInd w:val="0"/>
              <w:spacing w:before="129" w:beforeAutospacing="0" w:after="0" w:afterAutospacing="0"/>
              <w:ind w:left="3" w:right="0"/>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1.检查和清扫下承层 2.试验段施工 </w:t>
            </w:r>
            <w:r>
              <w:rPr>
                <w:rFonts w:hint="default" w:ascii="宋体" w:hAnsi="宋体" w:eastAsia="宋体" w:cs="宋体"/>
                <w:spacing w:val="6"/>
                <w:kern w:val="0"/>
                <w:sz w:val="18"/>
                <w:szCs w:val="18"/>
                <w:lang w:val="en-US" w:eastAsia="zh-CN" w:bidi="ar-SA"/>
              </w:rPr>
              <w:t>3.专用设备洒布或施工封</w:t>
            </w:r>
            <w:r>
              <w:rPr>
                <w:rFonts w:hint="default" w:ascii="宋体" w:hAnsi="宋体" w:eastAsia="宋体" w:cs="宋体"/>
                <w:kern w:val="0"/>
                <w:sz w:val="18"/>
                <w:szCs w:val="18"/>
                <w:lang w:val="en-US" w:eastAsia="zh-CN" w:bidi="ar-SA"/>
              </w:rPr>
              <w:t>层 4.整型、碾压、找补 5.初期养护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color w:val="000000"/>
                <w:sz w:val="18"/>
                <w:szCs w:val="18"/>
              </w:rPr>
            </w:pPr>
            <w:r>
              <w:rPr>
                <w:rFonts w:hint="eastAsia" w:ascii="smartSimSun" w:hAnsi="smartSimSun" w:eastAsia="smartSimSun" w:cs="Times New Roman"/>
                <w:color w:val="000000"/>
                <w:sz w:val="18"/>
                <w:szCs w:val="18"/>
              </w:rPr>
              <w:t>306</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沥青混凝土面层</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top"/>
          </w:tcPr>
          <w:p>
            <w:pPr>
              <w:keepNext w:val="0"/>
              <w:keepLines w:val="0"/>
              <w:widowControl w:val="0"/>
              <w:suppressLineNumbers w:val="0"/>
              <w:autoSpaceDE w:val="0"/>
              <w:autoSpaceDN w:val="0"/>
              <w:adjustRightInd w:val="0"/>
              <w:spacing w:before="10" w:beforeAutospacing="0" w:after="0" w:afterAutospacing="0"/>
              <w:ind w:left="207" w:right="0"/>
              <w:jc w:val="left"/>
              <w:rPr>
                <w:rFonts w:hint="default" w:ascii="宋体" w:hAnsi="宋体" w:eastAsia="宋体" w:cs="宋体"/>
                <w:kern w:val="0"/>
                <w:sz w:val="18"/>
                <w:szCs w:val="18"/>
                <w:lang w:val="en-US" w:eastAsia="zh-CN" w:bidi="ar-SA"/>
              </w:rPr>
            </w:pPr>
          </w:p>
        </w:tc>
        <w:tc>
          <w:tcPr>
            <w:tcW w:w="2599" w:type="dxa"/>
            <w:noWrap w:val="0"/>
            <w:vAlign w:val="top"/>
          </w:tcPr>
          <w:p>
            <w:pPr>
              <w:keepNext w:val="0"/>
              <w:keepLines w:val="0"/>
              <w:widowControl w:val="0"/>
              <w:suppressLineNumbers w:val="0"/>
              <w:autoSpaceDE w:val="0"/>
              <w:autoSpaceDN w:val="0"/>
              <w:adjustRightInd w:val="0"/>
              <w:spacing w:before="10" w:beforeAutospacing="0" w:after="0" w:afterAutospacing="0"/>
              <w:ind w:left="210" w:right="0"/>
              <w:jc w:val="left"/>
              <w:rPr>
                <w:rFonts w:hint="default" w:ascii="宋体" w:hAnsi="宋体" w:eastAsia="宋体" w:cs="宋体"/>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306-2</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改性沥青混凝土面层</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 w:val="21"/>
              </w:rPr>
            </w:pPr>
          </w:p>
        </w:tc>
        <w:tc>
          <w:tcPr>
            <w:tcW w:w="2599" w:type="dxa"/>
            <w:noWrap w:val="0"/>
            <w:vAlign w:val="top"/>
          </w:tcPr>
          <w:p>
            <w:pPr>
              <w:keepNext w:val="0"/>
              <w:keepLines w:val="0"/>
              <w:widowControl w:val="0"/>
              <w:suppressLineNumbers w:val="0"/>
              <w:autoSpaceDE w:val="0"/>
              <w:autoSpaceDN w:val="0"/>
              <w:adjustRightInd w:val="0"/>
              <w:spacing w:before="10" w:beforeAutospacing="0" w:after="0" w:afterAutospacing="0"/>
              <w:ind w:left="210" w:right="0"/>
              <w:jc w:val="left"/>
              <w:rPr>
                <w:rFonts w:hint="default" w:ascii="宋体" w:hAnsi="宋体" w:eastAsia="宋体" w:cs="宋体"/>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306-2-1</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细粒式改性沥青混凝土</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rPr>
            </w:pPr>
          </w:p>
        </w:tc>
        <w:tc>
          <w:tcPr>
            <w:tcW w:w="2599" w:type="dxa"/>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306-2-1-3</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eastAsia" w:ascii="smartSimSun" w:hAnsi="smartSimSun" w:eastAsia="smartSimSun" w:cs="Times New Roman"/>
                <w:sz w:val="18"/>
                <w:szCs w:val="18"/>
              </w:rPr>
              <w:t>SMA-13沥青混凝土 厚5cm</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m2</w:t>
            </w: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ﾃ凝偲古･" w:hAnsi="Times New Roman" w:eastAsia="ﾃ凝偲古･" w:cs="ﾃ凝偲古･"/>
                <w:kern w:val="0"/>
                <w:sz w:val="18"/>
                <w:szCs w:val="18"/>
              </w:rPr>
            </w:pPr>
            <w:r>
              <w:rPr>
                <w:rFonts w:hint="default" w:ascii="宋体" w:hAnsi="宋体" w:eastAsia="宋体" w:cs="宋体"/>
                <w:spacing w:val="7"/>
                <w:sz w:val="18"/>
                <w:szCs w:val="18"/>
              </w:rPr>
              <w:t xml:space="preserve">依据图纸（含桥梁及隧道 沥青混凝土面层）所示级 配类型及铺筑压实厚度， 按照铺筑的顶面面积以平 </w:t>
            </w:r>
            <w:r>
              <w:rPr>
                <w:rFonts w:hint="default" w:ascii="宋体" w:hAnsi="宋体" w:eastAsia="宋体" w:cs="宋体"/>
                <w:sz w:val="18"/>
                <w:szCs w:val="18"/>
              </w:rPr>
              <w:t>方米为单位计量</w:t>
            </w:r>
          </w:p>
        </w:tc>
        <w:tc>
          <w:tcPr>
            <w:tcW w:w="2599" w:type="dxa"/>
            <w:noWrap w:val="0"/>
            <w:vAlign w:val="center"/>
          </w:tcPr>
          <w:p>
            <w:pPr>
              <w:keepNext w:val="0"/>
              <w:keepLines w:val="0"/>
              <w:widowControl w:val="0"/>
              <w:suppressLineNumbers w:val="0"/>
              <w:autoSpaceDE w:val="0"/>
              <w:autoSpaceDN w:val="0"/>
              <w:adjustRightInd w:val="0"/>
              <w:spacing w:before="9" w:beforeAutospacing="0" w:after="0" w:afterAutospacing="0"/>
              <w:ind w:left="0" w:right="0"/>
              <w:jc w:val="left"/>
              <w:rPr>
                <w:rFonts w:hint="eastAsia"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1.检查和清理下承层 </w:t>
            </w:r>
            <w:r>
              <w:rPr>
                <w:rFonts w:hint="default" w:ascii="宋体" w:hAnsi="宋体" w:eastAsia="宋体" w:cs="宋体"/>
                <w:spacing w:val="6"/>
                <w:kern w:val="0"/>
                <w:sz w:val="18"/>
                <w:szCs w:val="18"/>
                <w:lang w:val="en-US" w:eastAsia="zh-CN" w:bidi="ar-SA"/>
              </w:rPr>
              <w:t>2.拌和设备安装、调试、</w:t>
            </w:r>
            <w:r>
              <w:rPr>
                <w:rFonts w:hint="default" w:ascii="宋体" w:hAnsi="宋体" w:eastAsia="宋体" w:cs="宋体"/>
                <w:kern w:val="0"/>
                <w:sz w:val="18"/>
                <w:szCs w:val="18"/>
                <w:lang w:val="en-US" w:eastAsia="zh-CN" w:bidi="ar-SA"/>
              </w:rPr>
              <w:t xml:space="preserve">拆除 </w:t>
            </w:r>
            <w:r>
              <w:rPr>
                <w:rFonts w:hint="default" w:ascii="宋体" w:hAnsi="宋体" w:eastAsia="宋体" w:cs="宋体"/>
                <w:spacing w:val="-2"/>
                <w:kern w:val="0"/>
                <w:sz w:val="18"/>
                <w:szCs w:val="18"/>
                <w:lang w:val="en-US" w:eastAsia="zh-CN" w:bidi="ar-SA"/>
              </w:rPr>
              <w:t>3.沥青加热、保温、输送，</w:t>
            </w:r>
            <w:r>
              <w:rPr>
                <w:rFonts w:hint="default" w:ascii="宋体" w:hAnsi="宋体" w:eastAsia="宋体" w:cs="宋体"/>
                <w:spacing w:val="7"/>
                <w:kern w:val="0"/>
                <w:sz w:val="18"/>
                <w:szCs w:val="18"/>
                <w:lang w:val="en-US" w:eastAsia="zh-CN" w:bidi="ar-SA"/>
              </w:rPr>
              <w:t xml:space="preserve">配运料，矿料加热烘干， </w:t>
            </w:r>
            <w:r>
              <w:rPr>
                <w:rFonts w:hint="default" w:ascii="宋体" w:hAnsi="宋体" w:eastAsia="宋体" w:cs="宋体"/>
                <w:kern w:val="0"/>
                <w:sz w:val="18"/>
                <w:szCs w:val="18"/>
                <w:lang w:val="en-US" w:eastAsia="zh-CN" w:bidi="ar-SA"/>
              </w:rPr>
              <w:t xml:space="preserve">拌和、出料 </w:t>
            </w:r>
            <w:r>
              <w:rPr>
                <w:rFonts w:hint="default" w:ascii="宋体" w:hAnsi="宋体" w:eastAsia="宋体" w:cs="宋体"/>
                <w:spacing w:val="6"/>
                <w:kern w:val="0"/>
                <w:sz w:val="18"/>
                <w:szCs w:val="18"/>
                <w:lang w:val="en-US" w:eastAsia="zh-CN" w:bidi="ar-SA"/>
              </w:rPr>
              <w:t>4.运输、摊铺、碾压、成</w:t>
            </w:r>
            <w:r>
              <w:rPr>
                <w:rFonts w:hint="default" w:ascii="宋体" w:hAnsi="宋体" w:eastAsia="宋体" w:cs="宋体"/>
                <w:kern w:val="0"/>
                <w:sz w:val="18"/>
                <w:szCs w:val="18"/>
                <w:lang w:val="en-US" w:eastAsia="zh-CN" w:bidi="ar-SA"/>
              </w:rPr>
              <w:t xml:space="preserve">型 </w:t>
            </w:r>
            <w:r>
              <w:rPr>
                <w:rFonts w:hint="default" w:ascii="宋体" w:hAnsi="宋体" w:eastAsia="宋体" w:cs="宋体"/>
                <w:spacing w:val="-1"/>
                <w:kern w:val="0"/>
                <w:sz w:val="18"/>
                <w:szCs w:val="18"/>
                <w:lang w:val="en-US" w:eastAsia="zh-CN" w:bidi="ar-SA"/>
              </w:rPr>
              <w:t>5.接缝</w:t>
            </w:r>
            <w:r>
              <w:rPr>
                <w:rFonts w:hint="default" w:ascii="宋体" w:hAnsi="宋体" w:eastAsia="宋体" w:cs="宋体"/>
                <w:kern w:val="0"/>
                <w:sz w:val="18"/>
                <w:szCs w:val="18"/>
                <w:lang w:val="en-US" w:eastAsia="zh-CN" w:bidi="ar-SA"/>
              </w:rPr>
              <w:t>6.初期养护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306-2-2</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中粒式改性沥青混凝土</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c>
          <w:tcPr>
            <w:tcW w:w="25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306-2-2-4</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eastAsia" w:ascii="smartSimSun" w:hAnsi="smartSimSun" w:eastAsia="smartSimSun" w:cs="Times New Roman"/>
                <w:sz w:val="18"/>
                <w:szCs w:val="18"/>
              </w:rPr>
              <w:t>GRAC-20大孔隙灌浆沥青砼 厚70mm</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m2</w:t>
            </w:r>
          </w:p>
        </w:tc>
        <w:tc>
          <w:tcPr>
            <w:tcW w:w="3499" w:type="dxa"/>
            <w:noWrap w:val="0"/>
            <w:vAlign w:val="center"/>
          </w:tcPr>
          <w:p>
            <w:pPr>
              <w:keepNext w:val="0"/>
              <w:keepLines w:val="0"/>
              <w:widowControl w:val="0"/>
              <w:suppressLineNumbers w:val="0"/>
              <w:autoSpaceDE w:val="0"/>
              <w:autoSpaceDN w:val="0"/>
              <w:adjustRightInd w:val="0"/>
              <w:spacing w:before="0" w:beforeAutospacing="0" w:after="0" w:afterAutospacing="0"/>
              <w:ind w:left="207" w:right="0"/>
              <w:jc w:val="left"/>
              <w:rPr>
                <w:rFonts w:hint="eastAsia" w:ascii="宋体" w:hAnsi="宋体" w:eastAsia="宋体" w:cs="宋体"/>
                <w:kern w:val="0"/>
                <w:sz w:val="18"/>
                <w:szCs w:val="18"/>
                <w:lang w:val="en-US" w:eastAsia="zh-CN" w:bidi="ar-SA"/>
              </w:rPr>
            </w:pPr>
            <w:r>
              <w:rPr>
                <w:rFonts w:hint="default" w:ascii="宋体" w:hAnsi="宋体" w:eastAsia="宋体" w:cs="宋体"/>
                <w:spacing w:val="7"/>
                <w:kern w:val="0"/>
                <w:sz w:val="18"/>
                <w:szCs w:val="18"/>
                <w:lang w:val="en-US" w:eastAsia="zh-CN" w:bidi="ar-SA"/>
              </w:rPr>
              <w:t>依据图纸（含桥梁及隧道沥青混凝土面层）所示级配类型及铺筑压实厚度，按照铺筑的顶面面积以平</w:t>
            </w:r>
            <w:r>
              <w:rPr>
                <w:rFonts w:hint="default" w:ascii="宋体" w:hAnsi="宋体" w:eastAsia="宋体" w:cs="宋体"/>
                <w:kern w:val="0"/>
                <w:sz w:val="18"/>
                <w:szCs w:val="18"/>
                <w:lang w:val="en-US" w:eastAsia="zh-CN" w:bidi="ar-SA"/>
              </w:rPr>
              <w:t>方米为单位计量</w:t>
            </w:r>
          </w:p>
        </w:tc>
        <w:tc>
          <w:tcPr>
            <w:tcW w:w="2599" w:type="dxa"/>
            <w:noWrap w:val="0"/>
            <w:vAlign w:val="center"/>
          </w:tcPr>
          <w:p>
            <w:pPr>
              <w:keepNext w:val="0"/>
              <w:keepLines w:val="0"/>
              <w:widowControl w:val="0"/>
              <w:suppressLineNumbers w:val="0"/>
              <w:autoSpaceDE w:val="0"/>
              <w:autoSpaceDN w:val="0"/>
              <w:adjustRightInd w:val="0"/>
              <w:spacing w:before="7" w:beforeAutospacing="0" w:after="0" w:afterAutospacing="0"/>
              <w:ind w:left="0" w:right="0"/>
              <w:jc w:val="left"/>
              <w:rPr>
                <w:rFonts w:hint="eastAsia"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1.检查和清理下承层 </w:t>
            </w:r>
            <w:r>
              <w:rPr>
                <w:rFonts w:hint="default" w:ascii="宋体" w:hAnsi="宋体" w:eastAsia="宋体" w:cs="宋体"/>
                <w:spacing w:val="6"/>
                <w:kern w:val="0"/>
                <w:sz w:val="18"/>
                <w:szCs w:val="18"/>
                <w:lang w:val="en-US" w:eastAsia="zh-CN" w:bidi="ar-SA"/>
              </w:rPr>
              <w:t>2.拌和设备安装、调试、</w:t>
            </w:r>
            <w:r>
              <w:rPr>
                <w:rFonts w:hint="default" w:ascii="宋体" w:hAnsi="宋体" w:eastAsia="宋体" w:cs="宋体"/>
                <w:kern w:val="0"/>
                <w:sz w:val="18"/>
                <w:szCs w:val="18"/>
                <w:lang w:val="en-US" w:eastAsia="zh-CN" w:bidi="ar-SA"/>
              </w:rPr>
              <w:t xml:space="preserve">拆除： 3.改性沥青混合料生产（含各种外掺材料添加） </w:t>
            </w:r>
            <w:r>
              <w:rPr>
                <w:rFonts w:hint="default" w:ascii="宋体" w:hAnsi="宋体" w:eastAsia="宋体" w:cs="宋体"/>
                <w:spacing w:val="6"/>
                <w:kern w:val="0"/>
                <w:sz w:val="18"/>
                <w:szCs w:val="18"/>
                <w:lang w:val="en-US" w:eastAsia="zh-CN" w:bidi="ar-SA"/>
              </w:rPr>
              <w:t>4.混合料运输、摊铺、碾</w:t>
            </w:r>
            <w:r>
              <w:rPr>
                <w:rFonts w:hint="default" w:ascii="宋体" w:hAnsi="宋体" w:eastAsia="宋体" w:cs="宋体"/>
                <w:kern w:val="0"/>
                <w:sz w:val="18"/>
                <w:szCs w:val="18"/>
                <w:lang w:val="en-US" w:eastAsia="zh-CN" w:bidi="ar-SA"/>
              </w:rPr>
              <w:t>压、成型 5.接缝 6.初期养护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color w:val="000000"/>
                <w:sz w:val="18"/>
                <w:szCs w:val="18"/>
              </w:rPr>
            </w:pPr>
            <w:r>
              <w:rPr>
                <w:rFonts w:hint="eastAsia" w:ascii="smartSimSun" w:hAnsi="smartSimSun" w:eastAsia="smartSimSun" w:cs="Times New Roman"/>
                <w:color w:val="000000"/>
                <w:sz w:val="18"/>
                <w:szCs w:val="18"/>
              </w:rPr>
              <w:t>307</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水泥混凝土面板</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kern w:val="0"/>
                <w:sz w:val="21"/>
                <w:szCs w:val="21"/>
              </w:rPr>
            </w:pPr>
          </w:p>
        </w:tc>
        <w:tc>
          <w:tcPr>
            <w:tcW w:w="25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307-1</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水泥混凝土面层</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kern w:val="0"/>
                <w:sz w:val="21"/>
                <w:szCs w:val="21"/>
              </w:rPr>
            </w:pPr>
          </w:p>
        </w:tc>
        <w:tc>
          <w:tcPr>
            <w:tcW w:w="25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Times New Roman"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307-1-1</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eastAsia" w:ascii="smartSimSun" w:hAnsi="smartSimSun" w:eastAsia="smartSimSun" w:cs="Times New Roman"/>
                <w:sz w:val="18"/>
                <w:szCs w:val="18"/>
              </w:rPr>
              <w:t>C30混凝土</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m3</w:t>
            </w:r>
          </w:p>
        </w:tc>
        <w:tc>
          <w:tcPr>
            <w:tcW w:w="3499" w:type="dxa"/>
            <w:noWrap w:val="0"/>
            <w:vAlign w:val="center"/>
          </w:tcPr>
          <w:p>
            <w:pPr>
              <w:keepNext w:val="0"/>
              <w:keepLines w:val="0"/>
              <w:widowControl w:val="0"/>
              <w:suppressLineNumbers w:val="0"/>
              <w:autoSpaceDE w:val="0"/>
              <w:autoSpaceDN w:val="0"/>
              <w:adjustRightInd w:val="0"/>
              <w:spacing w:before="103" w:beforeAutospacing="0" w:after="0" w:afterAutospacing="0"/>
              <w:ind w:left="207" w:right="0"/>
              <w:jc w:val="left"/>
              <w:rPr>
                <w:rFonts w:hint="eastAsia" w:ascii="宋体" w:hAnsi="宋体" w:eastAsia="宋体" w:cs="宋体"/>
                <w:kern w:val="0"/>
                <w:sz w:val="18"/>
                <w:szCs w:val="18"/>
                <w:lang w:val="en-US" w:eastAsia="zh-CN" w:bidi="ar-SA"/>
              </w:rPr>
            </w:pPr>
            <w:r>
              <w:rPr>
                <w:rFonts w:hint="default" w:ascii="宋体" w:hAnsi="宋体" w:eastAsia="宋体" w:cs="宋体"/>
                <w:spacing w:val="7"/>
                <w:kern w:val="0"/>
                <w:sz w:val="18"/>
                <w:szCs w:val="18"/>
                <w:lang w:val="en-US" w:eastAsia="zh-CN" w:bidi="ar-SA"/>
              </w:rPr>
              <w:t>依据图纸所示厚度和混凝土强度等级，按照铺筑体</w:t>
            </w:r>
            <w:r>
              <w:rPr>
                <w:rFonts w:hint="default" w:ascii="宋体" w:hAnsi="宋体" w:eastAsia="宋体" w:cs="宋体"/>
                <w:kern w:val="0"/>
                <w:sz w:val="18"/>
                <w:szCs w:val="18"/>
                <w:lang w:val="en-US" w:eastAsia="zh-CN" w:bidi="ar-SA"/>
              </w:rPr>
              <w:t>积以立方米为单位计量</w:t>
            </w:r>
          </w:p>
        </w:tc>
        <w:tc>
          <w:tcPr>
            <w:tcW w:w="2599" w:type="dxa"/>
            <w:noWrap w:val="0"/>
            <w:vAlign w:val="center"/>
          </w:tcPr>
          <w:p>
            <w:pPr>
              <w:keepNext w:val="0"/>
              <w:keepLines w:val="0"/>
              <w:widowControl w:val="0"/>
              <w:suppressLineNumbers w:val="0"/>
              <w:autoSpaceDE w:val="0"/>
              <w:autoSpaceDN w:val="0"/>
              <w:adjustRightInd w:val="0"/>
              <w:spacing w:before="103" w:beforeAutospacing="0" w:after="0" w:afterAutospacing="0"/>
              <w:ind w:left="0" w:right="0"/>
              <w:jc w:val="left"/>
              <w:rPr>
                <w:rFonts w:hint="default" w:ascii="宋体" w:hAnsi="宋体" w:eastAsia="宋体" w:cs="宋体"/>
                <w:kern w:val="0"/>
                <w:sz w:val="18"/>
                <w:szCs w:val="18"/>
                <w:lang w:val="en-US" w:eastAsia="zh-CN" w:bidi="ar-SA"/>
              </w:rPr>
            </w:pPr>
            <w:r>
              <w:rPr>
                <w:rFonts w:hint="default" w:ascii="宋体" w:hAnsi="宋体" w:eastAsia="宋体" w:cs="宋体"/>
                <w:spacing w:val="6"/>
                <w:kern w:val="0"/>
                <w:sz w:val="18"/>
                <w:szCs w:val="18"/>
                <w:lang w:val="en-US" w:eastAsia="zh-CN" w:bidi="ar-SA"/>
              </w:rPr>
              <w:t>1.检查和清理下承层、洒</w:t>
            </w:r>
            <w:r>
              <w:rPr>
                <w:rFonts w:hint="default" w:ascii="宋体" w:hAnsi="宋体" w:eastAsia="宋体" w:cs="宋体"/>
                <w:kern w:val="0"/>
                <w:sz w:val="18"/>
                <w:szCs w:val="18"/>
                <w:lang w:val="en-US" w:eastAsia="zh-CN" w:bidi="ar-SA"/>
              </w:rPr>
              <w:t xml:space="preserve">水湿润 </w:t>
            </w:r>
            <w:r>
              <w:rPr>
                <w:rFonts w:hint="default" w:ascii="宋体" w:hAnsi="宋体" w:eastAsia="宋体" w:cs="宋体"/>
                <w:spacing w:val="1"/>
                <w:kern w:val="0"/>
                <w:sz w:val="18"/>
                <w:szCs w:val="18"/>
                <w:lang w:val="en-US" w:eastAsia="zh-CN" w:bidi="ar-SA"/>
              </w:rPr>
              <w:t>2.</w:t>
            </w:r>
            <w:r>
              <w:rPr>
                <w:rFonts w:hint="default" w:ascii="宋体" w:hAnsi="宋体" w:eastAsia="宋体" w:cs="宋体"/>
                <w:kern w:val="0"/>
                <w:sz w:val="18"/>
                <w:szCs w:val="18"/>
                <w:lang w:val="en-US" w:eastAsia="zh-CN" w:bidi="ar-SA"/>
              </w:rPr>
              <w:t>模板制作</w:t>
            </w:r>
            <w:r>
              <w:rPr>
                <w:rFonts w:hint="default" w:ascii="宋体" w:hAnsi="宋体" w:eastAsia="宋体" w:cs="宋体"/>
                <w:spacing w:val="-8"/>
                <w:kern w:val="0"/>
                <w:sz w:val="18"/>
                <w:szCs w:val="18"/>
                <w:lang w:val="en-US" w:eastAsia="zh-CN" w:bidi="ar-SA"/>
              </w:rPr>
              <w:t>、</w:t>
            </w:r>
            <w:r>
              <w:rPr>
                <w:rFonts w:hint="default" w:ascii="宋体" w:hAnsi="宋体" w:eastAsia="宋体" w:cs="宋体"/>
                <w:kern w:val="0"/>
                <w:sz w:val="18"/>
                <w:szCs w:val="18"/>
                <w:lang w:val="en-US" w:eastAsia="zh-CN" w:bidi="ar-SA"/>
              </w:rPr>
              <w:t>架设</w:t>
            </w:r>
            <w:r>
              <w:rPr>
                <w:rFonts w:hint="default" w:ascii="宋体" w:hAnsi="宋体" w:eastAsia="宋体" w:cs="宋体"/>
                <w:spacing w:val="-8"/>
                <w:kern w:val="0"/>
                <w:sz w:val="18"/>
                <w:szCs w:val="18"/>
                <w:lang w:val="en-US" w:eastAsia="zh-CN" w:bidi="ar-SA"/>
              </w:rPr>
              <w:t>、</w:t>
            </w:r>
            <w:r>
              <w:rPr>
                <w:rFonts w:hint="default" w:ascii="宋体" w:hAnsi="宋体" w:eastAsia="宋体" w:cs="宋体"/>
                <w:kern w:val="0"/>
                <w:sz w:val="18"/>
                <w:szCs w:val="18"/>
                <w:lang w:val="en-US" w:eastAsia="zh-CN" w:bidi="ar-SA"/>
              </w:rPr>
              <w:t xml:space="preserve">安装修理、拆除 </w:t>
            </w:r>
            <w:r>
              <w:rPr>
                <w:rFonts w:hint="default" w:ascii="宋体" w:hAnsi="宋体" w:eastAsia="宋体" w:cs="宋体"/>
                <w:spacing w:val="6"/>
                <w:kern w:val="0"/>
                <w:sz w:val="18"/>
                <w:szCs w:val="18"/>
                <w:lang w:val="en-US" w:eastAsia="zh-CN" w:bidi="ar-SA"/>
              </w:rPr>
              <w:t>3.混凝土拌和物配合比设</w:t>
            </w:r>
            <w:r>
              <w:rPr>
                <w:rFonts w:hint="default" w:ascii="宋体" w:hAnsi="宋体" w:eastAsia="宋体" w:cs="宋体"/>
                <w:spacing w:val="7"/>
                <w:kern w:val="0"/>
                <w:sz w:val="18"/>
                <w:szCs w:val="18"/>
                <w:lang w:val="en-US" w:eastAsia="zh-CN" w:bidi="ar-SA"/>
              </w:rPr>
              <w:t xml:space="preserve">计、配料、拌和（含各种 外掺材料添加）、运输、 浇筑、振捣、真空吸水、 </w:t>
            </w:r>
            <w:r>
              <w:rPr>
                <w:rFonts w:hint="default" w:ascii="宋体" w:hAnsi="宋体" w:eastAsia="宋体" w:cs="宋体"/>
                <w:kern w:val="0"/>
                <w:sz w:val="18"/>
                <w:szCs w:val="18"/>
                <w:lang w:val="en-US" w:eastAsia="zh-CN" w:bidi="ar-SA"/>
              </w:rPr>
              <w:t>抹平、压（刻）纹，养护 4.切缝、灌缝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color w:val="000000"/>
                <w:sz w:val="18"/>
                <w:szCs w:val="18"/>
              </w:rPr>
            </w:pPr>
            <w:r>
              <w:rPr>
                <w:rFonts w:hint="eastAsia" w:ascii="smartSimSun" w:hAnsi="smartSimSun" w:eastAsia="smartSimSun" w:cs="Times New Roman"/>
                <w:color w:val="000000"/>
                <w:sz w:val="18"/>
                <w:szCs w:val="18"/>
              </w:rPr>
              <w:t>309</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路槽、路肩及中央分隔带</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kern w:val="0"/>
                <w:sz w:val="21"/>
                <w:szCs w:val="21"/>
              </w:rPr>
            </w:pPr>
          </w:p>
        </w:tc>
        <w:tc>
          <w:tcPr>
            <w:tcW w:w="25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Times New Roman"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309-1</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路肩培土</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m3</w:t>
            </w: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kern w:val="0"/>
                <w:sz w:val="21"/>
                <w:szCs w:val="21"/>
              </w:rPr>
            </w:pPr>
            <w:r>
              <w:rPr>
                <w:rFonts w:hint="default" w:ascii="宋体" w:hAnsi="宋体" w:eastAsia="宋体" w:cs="宋体"/>
                <w:spacing w:val="7"/>
                <w:sz w:val="18"/>
                <w:szCs w:val="18"/>
              </w:rPr>
              <w:t xml:space="preserve">依据图纸所示断面尺寸， 按照压实体积以立方米为 </w:t>
            </w:r>
            <w:r>
              <w:rPr>
                <w:rFonts w:hint="default" w:ascii="宋体" w:hAnsi="宋体" w:eastAsia="宋体" w:cs="宋体"/>
                <w:sz w:val="18"/>
                <w:szCs w:val="18"/>
              </w:rPr>
              <w:t>单位计量</w:t>
            </w:r>
          </w:p>
        </w:tc>
        <w:tc>
          <w:tcPr>
            <w:tcW w:w="2599" w:type="dxa"/>
            <w:noWrap w:val="0"/>
            <w:vAlign w:val="center"/>
          </w:tcPr>
          <w:p>
            <w:pPr>
              <w:keepNext w:val="0"/>
              <w:keepLines w:val="0"/>
              <w:widowControl w:val="0"/>
              <w:suppressLineNumbers w:val="0"/>
              <w:autoSpaceDE w:val="0"/>
              <w:autoSpaceDN w:val="0"/>
              <w:adjustRightInd w:val="0"/>
              <w:spacing w:before="9" w:beforeAutospacing="0" w:after="0" w:afterAutospacing="0"/>
              <w:ind w:left="0" w:right="0" w:firstLine="1" w:firstLineChars="1"/>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1.挖运土 </w:t>
            </w:r>
          </w:p>
          <w:p>
            <w:pPr>
              <w:keepNext w:val="0"/>
              <w:keepLines w:val="0"/>
              <w:widowControl w:val="0"/>
              <w:suppressLineNumbers w:val="0"/>
              <w:autoSpaceDE w:val="0"/>
              <w:autoSpaceDN w:val="0"/>
              <w:adjustRightInd w:val="0"/>
              <w:spacing w:before="76" w:beforeAutospacing="0" w:after="0" w:afterAutospacing="0"/>
              <w:ind w:left="0" w:right="0" w:firstLine="1" w:firstLineChars="1"/>
              <w:jc w:val="left"/>
              <w:rPr>
                <w:rFonts w:hint="default" w:ascii="宋体" w:hAnsi="宋体" w:eastAsia="宋体" w:cs="宋体"/>
                <w:kern w:val="0"/>
                <w:sz w:val="18"/>
                <w:szCs w:val="18"/>
                <w:lang w:val="en-US" w:eastAsia="zh-CN" w:bidi="ar-SA"/>
              </w:rPr>
            </w:pPr>
            <w:r>
              <w:rPr>
                <w:rFonts w:hint="default" w:ascii="宋体" w:hAnsi="宋体" w:eastAsia="宋体" w:cs="宋体"/>
                <w:spacing w:val="6"/>
                <w:kern w:val="0"/>
                <w:sz w:val="18"/>
                <w:szCs w:val="18"/>
                <w:lang w:val="en-US" w:eastAsia="zh-CN" w:bidi="ar-SA"/>
              </w:rPr>
              <w:t>2.路基整修、培土、整型</w:t>
            </w:r>
          </w:p>
          <w:p>
            <w:pPr>
              <w:keepNext w:val="0"/>
              <w:keepLines w:val="0"/>
              <w:widowControl w:val="0"/>
              <w:suppressLineNumbers w:val="0"/>
              <w:autoSpaceDE w:val="0"/>
              <w:autoSpaceDN w:val="0"/>
              <w:adjustRightInd w:val="0"/>
              <w:spacing w:before="76" w:beforeAutospacing="0" w:after="0" w:afterAutospacing="0"/>
              <w:ind w:left="0" w:right="0" w:firstLine="1" w:firstLineChars="1"/>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3.分层填筑、压实 </w:t>
            </w:r>
          </w:p>
          <w:p>
            <w:pPr>
              <w:keepNext w:val="0"/>
              <w:keepLines w:val="0"/>
              <w:suppressLineNumbers w:val="0"/>
              <w:autoSpaceDE w:val="0"/>
              <w:autoSpaceDN w:val="0"/>
              <w:adjustRightInd w:val="0"/>
              <w:spacing w:before="0" w:beforeAutospacing="0" w:after="0" w:afterAutospacing="0"/>
              <w:ind w:left="0" w:right="0"/>
              <w:jc w:val="left"/>
              <w:rPr>
                <w:rFonts w:hint="default" w:ascii="宋体" w:hAnsi="Times New Roman" w:eastAsia="宋体" w:cs="宋体"/>
                <w:kern w:val="0"/>
                <w:sz w:val="21"/>
                <w:szCs w:val="21"/>
              </w:rPr>
            </w:pPr>
            <w:r>
              <w:rPr>
                <w:rFonts w:hint="default" w:ascii="宋体" w:hAnsi="宋体" w:eastAsia="宋体" w:cs="宋体"/>
                <w:sz w:val="18"/>
                <w:szCs w:val="18"/>
              </w:rPr>
              <w:t>4.修整路肩横坡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309-4</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路缘石</w:t>
            </w:r>
          </w:p>
        </w:tc>
        <w:tc>
          <w:tcPr>
            <w:tcW w:w="844"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spacing w:val="7"/>
                <w:sz w:val="18"/>
                <w:szCs w:val="18"/>
              </w:rPr>
            </w:pPr>
          </w:p>
        </w:tc>
        <w:tc>
          <w:tcPr>
            <w:tcW w:w="2599" w:type="dxa"/>
            <w:noWrap w:val="0"/>
            <w:vAlign w:val="center"/>
          </w:tcPr>
          <w:p>
            <w:pPr>
              <w:keepNext w:val="0"/>
              <w:keepLines w:val="0"/>
              <w:widowControl w:val="0"/>
              <w:suppressLineNumbers w:val="0"/>
              <w:autoSpaceDE w:val="0"/>
              <w:autoSpaceDN w:val="0"/>
              <w:adjustRightInd w:val="0"/>
              <w:spacing w:before="9" w:beforeAutospacing="0" w:after="0" w:afterAutospacing="0"/>
              <w:ind w:left="0" w:right="0" w:firstLine="1" w:firstLineChars="1"/>
              <w:jc w:val="left"/>
              <w:rPr>
                <w:rFonts w:hint="default" w:ascii="宋体" w:hAnsi="宋体" w:eastAsia="宋体" w:cs="宋体"/>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309-4-3</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其他路缘石</w:t>
            </w:r>
          </w:p>
        </w:tc>
        <w:tc>
          <w:tcPr>
            <w:tcW w:w="844"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spacing w:val="7"/>
                <w:sz w:val="18"/>
                <w:szCs w:val="18"/>
              </w:rPr>
            </w:pPr>
          </w:p>
        </w:tc>
        <w:tc>
          <w:tcPr>
            <w:tcW w:w="2599" w:type="dxa"/>
            <w:noWrap w:val="0"/>
            <w:vAlign w:val="center"/>
          </w:tcPr>
          <w:p>
            <w:pPr>
              <w:keepNext w:val="0"/>
              <w:keepLines w:val="0"/>
              <w:widowControl w:val="0"/>
              <w:suppressLineNumbers w:val="0"/>
              <w:autoSpaceDE w:val="0"/>
              <w:autoSpaceDN w:val="0"/>
              <w:adjustRightInd w:val="0"/>
              <w:spacing w:before="9" w:beforeAutospacing="0" w:after="0" w:afterAutospacing="0"/>
              <w:ind w:left="0" w:right="0" w:firstLine="1" w:firstLineChars="1"/>
              <w:jc w:val="left"/>
              <w:rPr>
                <w:rFonts w:hint="default" w:ascii="宋体" w:hAnsi="宋体" w:eastAsia="宋体" w:cs="宋体"/>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309-4-3-1</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sz w:val="20"/>
                <w:szCs w:val="20"/>
              </w:rPr>
            </w:pPr>
            <w:r>
              <w:rPr>
                <w:rFonts w:hint="eastAsia" w:ascii="smartSimSun" w:hAnsi="smartSimSun" w:eastAsia="smartSimSun" w:cs="Times New Roman"/>
                <w:sz w:val="18"/>
                <w:szCs w:val="18"/>
              </w:rPr>
              <w:t>花岗岩 450*150*1000</w:t>
            </w:r>
          </w:p>
        </w:tc>
        <w:tc>
          <w:tcPr>
            <w:tcW w:w="844"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default" w:ascii="smartSimSun" w:hAnsi="smartSimSun" w:eastAsia="smartSimSun" w:cs="Times New Roman"/>
                <w:sz w:val="18"/>
                <w:szCs w:val="18"/>
              </w:rPr>
              <w:t>m</w:t>
            </w:r>
            <w:r>
              <w:rPr>
                <w:rFonts w:hint="eastAsia" w:ascii="smartSimSun" w:hAnsi="smartSimSun" w:eastAsia="smartSimSun" w:cs="Times New Roman"/>
                <w:sz w:val="18"/>
                <w:szCs w:val="18"/>
              </w:rPr>
              <w:t>3</w:t>
            </w: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spacing w:val="7"/>
                <w:sz w:val="18"/>
                <w:szCs w:val="18"/>
              </w:rPr>
            </w:pPr>
            <w:r>
              <w:rPr>
                <w:rFonts w:hint="default" w:ascii="宋体" w:hAnsi="宋体" w:eastAsia="宋体" w:cs="宋体"/>
                <w:spacing w:val="7"/>
                <w:sz w:val="18"/>
                <w:szCs w:val="18"/>
              </w:rPr>
              <w:t xml:space="preserve">依据图纸所示断面尺寸和 不同材质，按照预制安装 </w:t>
            </w:r>
            <w:r>
              <w:rPr>
                <w:rFonts w:hint="default" w:ascii="宋体" w:hAnsi="宋体" w:eastAsia="宋体" w:cs="宋体"/>
                <w:sz w:val="18"/>
                <w:szCs w:val="18"/>
              </w:rPr>
              <w:t>体积以立方米为单位计量</w:t>
            </w:r>
          </w:p>
        </w:tc>
        <w:tc>
          <w:tcPr>
            <w:tcW w:w="2599" w:type="dxa"/>
            <w:noWrap w:val="0"/>
            <w:vAlign w:val="center"/>
          </w:tcPr>
          <w:p>
            <w:pPr>
              <w:keepNext w:val="0"/>
              <w:keepLines w:val="0"/>
              <w:widowControl w:val="0"/>
              <w:suppressLineNumbers w:val="0"/>
              <w:autoSpaceDE w:val="0"/>
              <w:autoSpaceDN w:val="0"/>
              <w:adjustRightInd w:val="0"/>
              <w:spacing w:before="7" w:beforeAutospacing="0" w:after="0" w:afterAutospacing="0"/>
              <w:ind w:left="0" w:right="0"/>
              <w:jc w:val="left"/>
              <w:rPr>
                <w:rFonts w:hint="default" w:ascii="宋体" w:hAnsi="宋体" w:eastAsia="宋体" w:cs="宋体"/>
                <w:kern w:val="0"/>
                <w:sz w:val="18"/>
                <w:szCs w:val="18"/>
                <w:lang w:val="en-US" w:eastAsia="zh-CN" w:bidi="ar-SA"/>
              </w:rPr>
            </w:pPr>
            <w:r>
              <w:rPr>
                <w:rFonts w:hint="default" w:ascii="宋体" w:hAnsi="宋体" w:eastAsia="宋体" w:cs="宋体"/>
                <w:spacing w:val="6"/>
                <w:kern w:val="0"/>
                <w:sz w:val="18"/>
                <w:szCs w:val="18"/>
                <w:lang w:val="en-US" w:eastAsia="zh-CN" w:bidi="ar-SA"/>
              </w:rPr>
              <w:t>1.加工场地平整，硬化处</w:t>
            </w:r>
            <w:r>
              <w:rPr>
                <w:rFonts w:hint="default" w:ascii="宋体" w:hAnsi="宋体" w:eastAsia="宋体" w:cs="宋体"/>
                <w:kern w:val="0"/>
                <w:sz w:val="18"/>
                <w:szCs w:val="18"/>
                <w:lang w:val="en-US" w:eastAsia="zh-CN" w:bidi="ar-SA"/>
              </w:rPr>
              <w:t xml:space="preserve">理 2.路缘石加工、装运 </w:t>
            </w:r>
          </w:p>
          <w:p>
            <w:pPr>
              <w:keepNext w:val="0"/>
              <w:keepLines w:val="0"/>
              <w:widowControl w:val="0"/>
              <w:suppressLineNumbers w:val="0"/>
              <w:autoSpaceDE w:val="0"/>
              <w:autoSpaceDN w:val="0"/>
              <w:adjustRightInd w:val="0"/>
              <w:spacing w:before="18" w:beforeAutospacing="0" w:after="0" w:afterAutospacing="0" w:line="318" w:lineRule="auto"/>
              <w:ind w:left="3" w:right="187"/>
              <w:jc w:val="left"/>
              <w:rPr>
                <w:rFonts w:hint="eastAsia" w:ascii="宋体" w:hAnsi="宋体" w:eastAsia="宋体" w:cs="宋体"/>
                <w:kern w:val="0"/>
                <w:sz w:val="18"/>
                <w:szCs w:val="18"/>
                <w:lang w:val="en-US" w:eastAsia="zh-CN" w:bidi="ar-SA"/>
              </w:rPr>
            </w:pPr>
            <w:r>
              <w:rPr>
                <w:rFonts w:hint="default" w:ascii="宋体" w:hAnsi="宋体" w:eastAsia="宋体" w:cs="宋体"/>
                <w:spacing w:val="6"/>
                <w:kern w:val="0"/>
                <w:sz w:val="18"/>
                <w:szCs w:val="18"/>
                <w:lang w:val="en-US" w:eastAsia="zh-CN" w:bidi="ar-SA"/>
              </w:rPr>
              <w:t>3.路基整修、基槽开挖与</w:t>
            </w:r>
            <w:r>
              <w:rPr>
                <w:rFonts w:hint="default" w:ascii="宋体" w:hAnsi="宋体" w:eastAsia="宋体" w:cs="宋体"/>
                <w:kern w:val="0"/>
                <w:sz w:val="18"/>
                <w:szCs w:val="18"/>
                <w:lang w:val="en-US" w:eastAsia="zh-CN" w:bidi="ar-SA"/>
              </w:rPr>
              <w:t xml:space="preserve">回填，废方弃运 </w:t>
            </w:r>
          </w:p>
          <w:p>
            <w:pPr>
              <w:keepNext w:val="0"/>
              <w:keepLines w:val="0"/>
              <w:widowControl w:val="0"/>
              <w:suppressLineNumbers w:val="0"/>
              <w:autoSpaceDE w:val="0"/>
              <w:autoSpaceDN w:val="0"/>
              <w:adjustRightInd w:val="0"/>
              <w:spacing w:before="18" w:beforeAutospacing="0" w:after="0" w:afterAutospacing="0" w:line="318" w:lineRule="auto"/>
              <w:ind w:left="3" w:right="187"/>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4.基槽夯实 </w:t>
            </w:r>
          </w:p>
          <w:p>
            <w:pPr>
              <w:keepNext w:val="0"/>
              <w:keepLines w:val="0"/>
              <w:widowControl w:val="0"/>
              <w:suppressLineNumbers w:val="0"/>
              <w:autoSpaceDE w:val="0"/>
              <w:autoSpaceDN w:val="0"/>
              <w:adjustRightInd w:val="0"/>
              <w:spacing w:before="9" w:beforeAutospacing="0" w:after="0" w:afterAutospacing="0"/>
              <w:ind w:left="0" w:right="0" w:firstLine="1" w:firstLineChars="1"/>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5.路缘石铺砌、勾缝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color w:val="000000"/>
                <w:sz w:val="18"/>
                <w:szCs w:val="18"/>
              </w:rPr>
            </w:pPr>
            <w:r>
              <w:rPr>
                <w:rFonts w:hint="eastAsia" w:ascii="smartSimSun" w:hAnsi="smartSimSun" w:eastAsia="smartSimSun" w:cs="Times New Roman"/>
                <w:color w:val="000000"/>
                <w:sz w:val="18"/>
                <w:szCs w:val="18"/>
              </w:rPr>
              <w:t>310</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路面排水</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kern w:val="0"/>
                <w:sz w:val="21"/>
                <w:szCs w:val="21"/>
              </w:rPr>
            </w:pPr>
          </w:p>
        </w:tc>
        <w:tc>
          <w:tcPr>
            <w:tcW w:w="25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ﾃ凝偲古･" w:hAnsi="AYJYLK+" w:eastAsia="宋体" w:cs="ﾃ凝偲古･"/>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310-1</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排水管</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kern w:val="0"/>
                <w:sz w:val="21"/>
                <w:szCs w:val="21"/>
              </w:rPr>
            </w:pPr>
          </w:p>
        </w:tc>
        <w:tc>
          <w:tcPr>
            <w:tcW w:w="25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310-1-3</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eastAsia" w:ascii="smartSimSun" w:hAnsi="smartSimSun" w:eastAsia="smartSimSun" w:cs="Times New Roman"/>
                <w:sz w:val="18"/>
                <w:szCs w:val="18"/>
              </w:rPr>
              <w:t>HDPE双壁波纹排水管</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ﾃ凝偲古･" w:hAnsi="Times New Roman" w:eastAsia="ﾃ凝偲古･" w:cs="ﾃ凝偲古･"/>
                <w:kern w:val="0"/>
                <w:sz w:val="18"/>
                <w:szCs w:val="18"/>
              </w:rPr>
            </w:pPr>
          </w:p>
        </w:tc>
        <w:tc>
          <w:tcPr>
            <w:tcW w:w="25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310-1-3-3</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D400mm</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m</w:t>
            </w: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kern w:val="0"/>
                <w:sz w:val="21"/>
                <w:szCs w:val="21"/>
              </w:rPr>
            </w:pPr>
            <w:r>
              <w:rPr>
                <w:rFonts w:hint="default" w:ascii="宋体" w:hAnsi="宋体" w:eastAsia="宋体" w:cs="宋体"/>
                <w:spacing w:val="7"/>
                <w:sz w:val="18"/>
                <w:szCs w:val="18"/>
              </w:rPr>
              <w:t xml:space="preserve">依据图纸所示位置，分不 同类型及规格，按埋设管 </w:t>
            </w:r>
            <w:r>
              <w:rPr>
                <w:rFonts w:hint="default" w:ascii="宋体" w:hAnsi="宋体" w:eastAsia="宋体" w:cs="宋体"/>
                <w:sz w:val="18"/>
                <w:szCs w:val="18"/>
              </w:rPr>
              <w:t>长以米为单位计量</w:t>
            </w:r>
          </w:p>
        </w:tc>
        <w:tc>
          <w:tcPr>
            <w:tcW w:w="2599" w:type="dxa"/>
            <w:noWrap w:val="0"/>
            <w:vAlign w:val="center"/>
          </w:tcPr>
          <w:p>
            <w:pPr>
              <w:keepNext w:val="0"/>
              <w:keepLines w:val="0"/>
              <w:widowControl w:val="0"/>
              <w:suppressLineNumbers w:val="0"/>
              <w:autoSpaceDE w:val="0"/>
              <w:autoSpaceDN w:val="0"/>
              <w:adjustRightInd w:val="0"/>
              <w:spacing w:before="7" w:beforeAutospacing="0" w:after="0" w:afterAutospacing="0"/>
              <w:ind w:left="0" w:right="0" w:firstLine="1" w:firstLineChars="1"/>
              <w:jc w:val="left"/>
              <w:rPr>
                <w:rFonts w:hint="default" w:ascii="宋体" w:hAnsi="宋体" w:eastAsia="宋体" w:cs="宋体"/>
                <w:kern w:val="0"/>
                <w:sz w:val="18"/>
                <w:szCs w:val="18"/>
                <w:lang w:val="en-US" w:eastAsia="zh-CN" w:bidi="ar-SA"/>
              </w:rPr>
            </w:pPr>
            <w:r>
              <w:rPr>
                <w:rFonts w:hint="default" w:ascii="宋体" w:hAnsi="宋体" w:eastAsia="宋体" w:cs="宋体"/>
                <w:spacing w:val="6"/>
                <w:kern w:val="0"/>
                <w:sz w:val="18"/>
                <w:szCs w:val="18"/>
                <w:lang w:val="en-US" w:eastAsia="zh-CN" w:bidi="ar-SA"/>
              </w:rPr>
              <w:t>1.基槽开挖填筑、废方弃</w:t>
            </w:r>
            <w:r>
              <w:rPr>
                <w:rFonts w:hint="default" w:ascii="宋体" w:hAnsi="宋体" w:eastAsia="宋体" w:cs="宋体"/>
                <w:kern w:val="0"/>
                <w:sz w:val="18"/>
                <w:szCs w:val="18"/>
                <w:lang w:val="en-US" w:eastAsia="zh-CN" w:bidi="ar-SA"/>
              </w:rPr>
              <w:t>运 2.垫层（基础）铺筑 3.排水管制作 4.安放排水管 5.接头处理 6.回填、压实 7.出水口处理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310-4</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eastAsia" w:ascii="smartSimSun" w:hAnsi="smartSimSun" w:eastAsia="smartSimSun" w:cs="Times New Roman"/>
                <w:sz w:val="18"/>
                <w:szCs w:val="18"/>
              </w:rPr>
              <w:t>现浇混凝土集水井  700*700*800</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座</w:t>
            </w: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SimSun-Identity-H" w:hAnsi="Times New Roman" w:eastAsia="SimSun-Identity-H" w:cs="SimSun-Identity-H"/>
                <w:kern w:val="0"/>
                <w:sz w:val="18"/>
                <w:szCs w:val="18"/>
              </w:rPr>
            </w:pPr>
            <w:r>
              <w:rPr>
                <w:rFonts w:hint="default" w:ascii="宋体" w:hAnsi="宋体" w:eastAsia="宋体" w:cs="宋体"/>
                <w:spacing w:val="7"/>
                <w:sz w:val="18"/>
                <w:szCs w:val="18"/>
              </w:rPr>
              <w:t>依据图纸所示位置，分不 同类型及规格，按设置的 各类井数量，以座为单位</w:t>
            </w:r>
            <w:r>
              <w:rPr>
                <w:rFonts w:hint="default" w:ascii="宋体" w:hAnsi="宋体" w:eastAsia="宋体" w:cs="宋体"/>
                <w:spacing w:val="-2"/>
                <w:sz w:val="18"/>
                <w:szCs w:val="18"/>
              </w:rPr>
              <w:t>计量。井座的加高、井盖、</w:t>
            </w:r>
            <w:r>
              <w:rPr>
                <w:rFonts w:hint="default" w:ascii="宋体" w:hAnsi="宋体" w:eastAsia="宋体" w:cs="宋体"/>
                <w:spacing w:val="7"/>
                <w:sz w:val="18"/>
                <w:szCs w:val="18"/>
              </w:rPr>
              <w:t>井箅等作为各类井的附属</w:t>
            </w:r>
            <w:r>
              <w:rPr>
                <w:rFonts w:hint="default" w:ascii="宋体" w:hAnsi="宋体" w:eastAsia="宋体" w:cs="宋体"/>
                <w:sz w:val="18"/>
                <w:szCs w:val="18"/>
              </w:rPr>
              <w:t>工作，不另行计量</w:t>
            </w:r>
          </w:p>
        </w:tc>
        <w:tc>
          <w:tcPr>
            <w:tcW w:w="2599" w:type="dxa"/>
            <w:noWrap w:val="0"/>
            <w:vAlign w:val="center"/>
          </w:tcPr>
          <w:p>
            <w:pPr>
              <w:keepNext w:val="0"/>
              <w:keepLines w:val="0"/>
              <w:widowControl w:val="0"/>
              <w:suppressLineNumbers w:val="0"/>
              <w:autoSpaceDE w:val="0"/>
              <w:autoSpaceDN w:val="0"/>
              <w:adjustRightInd w:val="0"/>
              <w:spacing w:before="7" w:beforeAutospacing="0" w:after="0" w:afterAutospacing="0"/>
              <w:ind w:left="0" w:right="0" w:firstLine="1" w:firstLineChars="1"/>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1.基坑开挖及废方弃运 </w:t>
            </w:r>
            <w:r>
              <w:rPr>
                <w:rFonts w:hint="default" w:ascii="宋体" w:hAnsi="宋体" w:eastAsia="宋体" w:cs="宋体"/>
                <w:spacing w:val="6"/>
                <w:kern w:val="0"/>
                <w:sz w:val="18"/>
                <w:szCs w:val="18"/>
                <w:lang w:val="en-US" w:eastAsia="zh-CN" w:bidi="ar-SA"/>
              </w:rPr>
              <w:t>2.地基平整夯实，垫层及</w:t>
            </w:r>
            <w:r>
              <w:rPr>
                <w:rFonts w:hint="default" w:ascii="宋体" w:hAnsi="宋体" w:eastAsia="宋体" w:cs="宋体"/>
                <w:kern w:val="0"/>
                <w:sz w:val="18"/>
                <w:szCs w:val="18"/>
                <w:lang w:val="en-US" w:eastAsia="zh-CN" w:bidi="ar-SA"/>
              </w:rPr>
              <w:t xml:space="preserve">基础施工 </w:t>
            </w:r>
            <w:r>
              <w:rPr>
                <w:rFonts w:hint="default" w:ascii="宋体" w:hAnsi="宋体" w:eastAsia="宋体" w:cs="宋体"/>
                <w:spacing w:val="-2"/>
                <w:kern w:val="0"/>
                <w:sz w:val="18"/>
                <w:szCs w:val="18"/>
                <w:lang w:val="en-US" w:eastAsia="zh-CN" w:bidi="ar-SA"/>
              </w:rPr>
              <w:t>3.模板制作、安装、拆除、</w:t>
            </w:r>
            <w:r>
              <w:rPr>
                <w:rFonts w:hint="default" w:ascii="宋体" w:hAnsi="宋体" w:eastAsia="宋体" w:cs="宋体"/>
                <w:kern w:val="0"/>
                <w:sz w:val="18"/>
                <w:szCs w:val="18"/>
                <w:lang w:val="en-US" w:eastAsia="zh-CN" w:bidi="ar-SA"/>
              </w:rPr>
              <w:t xml:space="preserve">修理 4.钢筋制作与安装 </w:t>
            </w:r>
            <w:r>
              <w:rPr>
                <w:rFonts w:hint="default" w:ascii="宋体" w:hAnsi="宋体" w:eastAsia="宋体" w:cs="宋体"/>
                <w:spacing w:val="6"/>
                <w:kern w:val="0"/>
                <w:sz w:val="18"/>
                <w:szCs w:val="18"/>
                <w:lang w:val="en-US" w:eastAsia="zh-CN" w:bidi="ar-SA"/>
              </w:rPr>
              <w:t>5.混凝土拌和、运输、浇</w:t>
            </w:r>
            <w:r>
              <w:rPr>
                <w:rFonts w:hint="default" w:ascii="宋体" w:hAnsi="宋体" w:eastAsia="宋体" w:cs="宋体"/>
                <w:kern w:val="0"/>
                <w:sz w:val="18"/>
                <w:szCs w:val="18"/>
                <w:lang w:val="en-US" w:eastAsia="zh-CN" w:bidi="ar-SA"/>
              </w:rPr>
              <w:t>筑、养护 6.砌体砌筑 7.井盖板制备及安装 8.井壁外围回填，夯实。</w:t>
            </w:r>
          </w:p>
        </w:tc>
      </w:tr>
    </w:tbl>
    <w:p>
      <w:pPr>
        <w:wordWrap w:val="0"/>
        <w:spacing w:line="340" w:lineRule="exact"/>
        <w:ind w:firstLine="420"/>
        <w:textAlignment w:val="baseline"/>
        <w:rPr>
          <w:rFonts w:ascii="Times New Roman" w:hAnsi="Times New Roman" w:eastAsia="宋体" w:cs="Times New Roman"/>
          <w:sz w:val="21"/>
        </w:rPr>
      </w:pPr>
      <w:r>
        <w:rPr>
          <w:rFonts w:hint="eastAsia" w:ascii="仿宋" w:hAnsi="仿宋" w:eastAsia="仿宋" w:cs="Times New Roman"/>
          <w:b/>
          <w:sz w:val="28"/>
          <w:szCs w:val="28"/>
        </w:rPr>
        <w:t>第600章 交通安全设施</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4"/>
        <w:gridCol w:w="1610"/>
        <w:gridCol w:w="807"/>
        <w:gridCol w:w="3359"/>
        <w:gridCol w:w="2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清单子目编码</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清单子目名称</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单位</w:t>
            </w:r>
          </w:p>
        </w:tc>
        <w:tc>
          <w:tcPr>
            <w:tcW w:w="3499"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工程量计量</w:t>
            </w:r>
          </w:p>
        </w:tc>
        <w:tc>
          <w:tcPr>
            <w:tcW w:w="25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rPr>
            </w:pPr>
            <w:r>
              <w:rPr>
                <w:rFonts w:hint="eastAsia" w:ascii="宋体" w:hAnsi="Times New Roman" w:eastAsia="宋体" w:cs="宋体"/>
                <w:kern w:val="0"/>
                <w:sz w:val="21"/>
                <w:szCs w:val="21"/>
              </w:rPr>
              <w:t>工程内容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color w:val="000000"/>
                <w:sz w:val="18"/>
                <w:szCs w:val="18"/>
              </w:rPr>
            </w:pPr>
            <w:r>
              <w:rPr>
                <w:rFonts w:hint="eastAsia" w:ascii="smartSimSun" w:hAnsi="smartSimSun" w:eastAsia="smartSimSun" w:cs="Times New Roman"/>
                <w:color w:val="000000"/>
                <w:sz w:val="18"/>
                <w:szCs w:val="18"/>
              </w:rPr>
              <w:t>602</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护栏</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c>
          <w:tcPr>
            <w:tcW w:w="25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602-6</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路侧波形梁钢护栏</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c>
          <w:tcPr>
            <w:tcW w:w="25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602-6-14</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Gr-A-2E</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m</w:t>
            </w: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SimSun-Identity-H" w:hAnsi="Times New Roman" w:eastAsia="SimSun-Identity-H" w:cs="SimSun-Identity-H"/>
                <w:kern w:val="0"/>
                <w:sz w:val="18"/>
                <w:szCs w:val="18"/>
              </w:rPr>
            </w:pPr>
            <w:r>
              <w:rPr>
                <w:rFonts w:hint="default" w:ascii="宋体" w:hAnsi="宋体" w:eastAsia="宋体" w:cs="宋体"/>
                <w:spacing w:val="6"/>
                <w:sz w:val="18"/>
                <w:szCs w:val="18"/>
              </w:rPr>
              <w:t>依据图纸所示位置、防撞等级、构造形式代号，分不同构造形式代号，以米为单位计量</w:t>
            </w:r>
          </w:p>
        </w:tc>
        <w:tc>
          <w:tcPr>
            <w:tcW w:w="2599" w:type="dxa"/>
            <w:noWrap w:val="0"/>
            <w:vAlign w:val="center"/>
          </w:tcPr>
          <w:p>
            <w:pPr>
              <w:keepNext w:val="0"/>
              <w:keepLines w:val="0"/>
              <w:widowControl w:val="0"/>
              <w:suppressLineNumbers w:val="0"/>
              <w:autoSpaceDE w:val="0"/>
              <w:autoSpaceDN w:val="0"/>
              <w:adjustRightInd w:val="0"/>
              <w:spacing w:before="0" w:beforeAutospacing="0" w:after="0" w:afterAutospacing="0"/>
              <w:ind w:left="3" w:right="187"/>
              <w:jc w:val="left"/>
              <w:rPr>
                <w:rFonts w:hint="default" w:ascii="宋体" w:hAnsi="宋体" w:eastAsia="宋体" w:cs="宋体"/>
                <w:kern w:val="0"/>
                <w:sz w:val="18"/>
                <w:szCs w:val="18"/>
                <w:lang w:val="en-US" w:eastAsia="zh-CN" w:bidi="ar-SA"/>
              </w:rPr>
            </w:pPr>
            <w:r>
              <w:rPr>
                <w:rFonts w:hint="default" w:ascii="宋体" w:hAnsi="宋体" w:eastAsia="宋体" w:cs="宋体"/>
                <w:spacing w:val="6"/>
                <w:kern w:val="0"/>
                <w:sz w:val="18"/>
                <w:szCs w:val="18"/>
                <w:lang w:val="en-US" w:eastAsia="zh-CN" w:bidi="ar-SA"/>
              </w:rPr>
              <w:t>1.基础施工（成孔、埋入</w:t>
            </w:r>
            <w:r>
              <w:rPr>
                <w:rFonts w:hint="default" w:ascii="宋体" w:hAnsi="宋体" w:eastAsia="宋体" w:cs="宋体"/>
                <w:spacing w:val="7"/>
                <w:kern w:val="0"/>
                <w:sz w:val="18"/>
                <w:szCs w:val="18"/>
                <w:lang w:val="en-US" w:eastAsia="zh-CN" w:bidi="ar-SA"/>
              </w:rPr>
              <w:t>或预埋套筒或预埋地脚螺</w:t>
            </w:r>
            <w:r>
              <w:rPr>
                <w:rFonts w:hint="default" w:ascii="宋体" w:hAnsi="宋体" w:eastAsia="宋体" w:cs="宋体"/>
                <w:kern w:val="0"/>
                <w:sz w:val="18"/>
                <w:szCs w:val="18"/>
                <w:lang w:val="en-US" w:eastAsia="zh-CN" w:bidi="ar-SA"/>
              </w:rPr>
              <w:t>栓等） 2.波形梁及其匹配件安装 3.场地清理，弃方处理 4.补涂防腐涂装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602-8</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波形梁钢护栏端头</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c>
          <w:tcPr>
            <w:tcW w:w="25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602-8-4</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eastAsia" w:ascii="smartSimSun" w:hAnsi="smartSimSun" w:eastAsia="smartSimSun" w:cs="Times New Roman"/>
                <w:sz w:val="18"/>
                <w:szCs w:val="18"/>
              </w:rPr>
              <w:t>圆形式端头</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个</w:t>
            </w:r>
          </w:p>
        </w:tc>
        <w:tc>
          <w:tcPr>
            <w:tcW w:w="3499" w:type="dxa"/>
            <w:noWrap w:val="0"/>
            <w:vAlign w:val="center"/>
          </w:tcPr>
          <w:p>
            <w:pPr>
              <w:keepNext w:val="0"/>
              <w:keepLines w:val="0"/>
              <w:widowControl w:val="0"/>
              <w:suppressLineNumbers w:val="0"/>
              <w:autoSpaceDE w:val="0"/>
              <w:autoSpaceDN w:val="0"/>
              <w:adjustRightInd w:val="0"/>
              <w:spacing w:before="7" w:beforeAutospacing="0" w:after="0" w:afterAutospacing="0" w:line="318" w:lineRule="auto"/>
              <w:ind w:left="0" w:right="196"/>
              <w:jc w:val="left"/>
              <w:rPr>
                <w:rFonts w:hint="eastAsia" w:ascii="宋体" w:hAnsi="宋体" w:eastAsia="宋体" w:cs="宋体"/>
                <w:kern w:val="0"/>
                <w:sz w:val="18"/>
                <w:szCs w:val="18"/>
                <w:lang w:val="en-US" w:eastAsia="zh-CN" w:bidi="ar-SA"/>
              </w:rPr>
            </w:pPr>
            <w:r>
              <w:rPr>
                <w:rFonts w:hint="default" w:ascii="宋体" w:hAnsi="宋体" w:eastAsia="宋体" w:cs="宋体"/>
                <w:spacing w:val="6"/>
                <w:kern w:val="0"/>
                <w:sz w:val="18"/>
                <w:szCs w:val="18"/>
                <w:lang w:val="en-US" w:eastAsia="zh-CN" w:bidi="ar-SA"/>
              </w:rPr>
              <w:t>1.依据图纸所示位置、断</w:t>
            </w:r>
            <w:r>
              <w:rPr>
                <w:rFonts w:hint="default" w:ascii="宋体" w:hAnsi="宋体" w:eastAsia="宋体" w:cs="宋体"/>
                <w:spacing w:val="7"/>
                <w:kern w:val="0"/>
                <w:sz w:val="18"/>
                <w:szCs w:val="18"/>
                <w:lang w:val="en-US" w:eastAsia="zh-CN" w:bidi="ar-SA"/>
              </w:rPr>
              <w:t xml:space="preserve">面尺寸，按各型号端头数 </w:t>
            </w:r>
            <w:r>
              <w:rPr>
                <w:rFonts w:hint="default" w:ascii="宋体" w:hAnsi="宋体" w:eastAsia="宋体" w:cs="宋体"/>
                <w:kern w:val="0"/>
                <w:sz w:val="18"/>
                <w:szCs w:val="18"/>
                <w:lang w:val="en-US" w:eastAsia="zh-CN" w:bidi="ar-SA"/>
              </w:rPr>
              <w:t>量，以个为单位计量</w:t>
            </w:r>
            <w:r>
              <w:rPr>
                <w:rFonts w:hint="default" w:ascii="宋体" w:hAnsi="宋体" w:eastAsia="宋体" w:cs="宋体"/>
                <w:spacing w:val="6"/>
                <w:kern w:val="0"/>
                <w:sz w:val="18"/>
                <w:szCs w:val="18"/>
                <w:lang w:val="en-US" w:eastAsia="zh-CN" w:bidi="ar-SA"/>
              </w:rPr>
              <w:t>2.每个端头的长度为沿路</w:t>
            </w:r>
            <w:r>
              <w:rPr>
                <w:rFonts w:hint="default" w:ascii="宋体" w:hAnsi="宋体" w:eastAsia="宋体" w:cs="宋体"/>
                <w:spacing w:val="7"/>
                <w:kern w:val="0"/>
                <w:sz w:val="18"/>
                <w:szCs w:val="18"/>
                <w:lang w:val="en-US" w:eastAsia="zh-CN" w:bidi="ar-SA"/>
              </w:rPr>
              <w:t xml:space="preserve">线的长度，详见《公路交 </w:t>
            </w:r>
            <w:r>
              <w:rPr>
                <w:rFonts w:hint="default" w:ascii="宋体" w:hAnsi="宋体" w:eastAsia="宋体" w:cs="宋体"/>
                <w:spacing w:val="28"/>
                <w:kern w:val="0"/>
                <w:sz w:val="18"/>
                <w:szCs w:val="18"/>
                <w:lang w:val="en-US" w:eastAsia="zh-CN" w:bidi="ar-SA"/>
              </w:rPr>
              <w:t>通安全设施设计</w:t>
            </w:r>
            <w:r>
              <w:rPr>
                <w:rFonts w:hint="default" w:ascii="宋体" w:hAnsi="宋体" w:eastAsia="宋体" w:cs="宋体"/>
                <w:kern w:val="0"/>
                <w:sz w:val="18"/>
                <w:szCs w:val="18"/>
                <w:lang w:val="en-US" w:eastAsia="zh-CN" w:bidi="ar-SA"/>
              </w:rPr>
              <w:t>细则》</w:t>
            </w:r>
            <w:r>
              <w:rPr>
                <w:rFonts w:hint="default" w:ascii="宋体" w:hAnsi="宋体" w:eastAsia="宋体" w:cs="宋体"/>
                <w:spacing w:val="-1"/>
                <w:kern w:val="0"/>
                <w:sz w:val="18"/>
                <w:szCs w:val="18"/>
                <w:lang w:val="en-US" w:eastAsia="zh-CN" w:bidi="ar-SA"/>
              </w:rPr>
              <w:t>（JTG/TD81-2017）</w:t>
            </w:r>
          </w:p>
        </w:tc>
        <w:tc>
          <w:tcPr>
            <w:tcW w:w="2599" w:type="dxa"/>
            <w:noWrap w:val="0"/>
            <w:vAlign w:val="center"/>
          </w:tcPr>
          <w:p>
            <w:pPr>
              <w:keepNext w:val="0"/>
              <w:keepLines w:val="0"/>
              <w:widowControl w:val="0"/>
              <w:suppressLineNumbers w:val="0"/>
              <w:autoSpaceDE w:val="0"/>
              <w:autoSpaceDN w:val="0"/>
              <w:adjustRightInd w:val="0"/>
              <w:spacing w:before="0" w:beforeAutospacing="0" w:after="0" w:afterAutospacing="0"/>
              <w:ind w:left="210" w:right="0"/>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1.基槽开挖 </w:t>
            </w:r>
          </w:p>
          <w:p>
            <w:pPr>
              <w:keepNext w:val="0"/>
              <w:keepLines w:val="0"/>
              <w:widowControl w:val="0"/>
              <w:suppressLineNumbers w:val="0"/>
              <w:autoSpaceDE w:val="0"/>
              <w:autoSpaceDN w:val="0"/>
              <w:adjustRightInd w:val="0"/>
              <w:spacing w:before="76" w:beforeAutospacing="0" w:after="0" w:afterAutospacing="0" w:line="318" w:lineRule="auto"/>
              <w:ind w:left="210" w:right="187"/>
              <w:jc w:val="left"/>
              <w:rPr>
                <w:rFonts w:hint="default" w:ascii="宋体" w:hAnsi="宋体" w:eastAsia="宋体" w:cs="宋体"/>
                <w:kern w:val="0"/>
                <w:sz w:val="18"/>
                <w:szCs w:val="18"/>
                <w:lang w:val="en-US" w:eastAsia="zh-CN" w:bidi="ar-SA"/>
              </w:rPr>
            </w:pPr>
            <w:r>
              <w:rPr>
                <w:rFonts w:hint="default" w:ascii="宋体" w:hAnsi="宋体" w:eastAsia="宋体" w:cs="宋体"/>
                <w:spacing w:val="6"/>
                <w:kern w:val="0"/>
                <w:sz w:val="18"/>
                <w:szCs w:val="18"/>
                <w:lang w:val="en-US" w:eastAsia="zh-CN" w:bidi="ar-SA"/>
              </w:rPr>
              <w:t>2.混凝土制备、运输、埋</w:t>
            </w:r>
            <w:r>
              <w:rPr>
                <w:rFonts w:hint="default" w:ascii="宋体" w:hAnsi="宋体" w:eastAsia="宋体" w:cs="宋体"/>
                <w:kern w:val="0"/>
                <w:sz w:val="18"/>
                <w:szCs w:val="18"/>
                <w:lang w:val="en-US" w:eastAsia="zh-CN" w:bidi="ar-SA"/>
              </w:rPr>
              <w:t xml:space="preserve">设预埋件、浇筑、养护 3.安装波形梁护栏端头 </w:t>
            </w:r>
          </w:p>
          <w:p>
            <w:pPr>
              <w:keepNext w:val="0"/>
              <w:keepLines w:val="0"/>
              <w:widowControl w:val="0"/>
              <w:suppressLineNumbers w:val="0"/>
              <w:autoSpaceDE w:val="0"/>
              <w:autoSpaceDN w:val="0"/>
              <w:adjustRightInd w:val="0"/>
              <w:spacing w:before="18" w:beforeAutospacing="0" w:after="0" w:afterAutospacing="0"/>
              <w:ind w:left="210" w:right="0"/>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4.场地清理，弃方处理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rPr>
            </w:pPr>
            <w:r>
              <w:rPr>
                <w:rFonts w:hint="default" w:ascii="宋体" w:hAnsi="宋体" w:eastAsia="宋体" w:cs="宋体"/>
                <w:sz w:val="18"/>
                <w:szCs w:val="18"/>
              </w:rPr>
              <w:t>5.补涂防腐涂装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602-10</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中央分隔带活动护栏</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SimSun-Identity-H" w:hAnsi="Times New Roman" w:eastAsia="SimSun-Identity-H" w:cs="SimSun-Identity-H"/>
                <w:kern w:val="0"/>
                <w:sz w:val="18"/>
                <w:szCs w:val="18"/>
              </w:rPr>
            </w:pPr>
          </w:p>
        </w:tc>
        <w:tc>
          <w:tcPr>
            <w:tcW w:w="25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Times New Roman"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602-10-1</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机非隔离护栏</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m</w:t>
            </w: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SimSun-Identity-H" w:hAnsi="Times New Roman" w:eastAsia="SimSun-Identity-H" w:cs="SimSun-Identity-H"/>
                <w:kern w:val="0"/>
                <w:sz w:val="18"/>
                <w:szCs w:val="18"/>
              </w:rPr>
            </w:pPr>
            <w:r>
              <w:rPr>
                <w:rFonts w:hint="default" w:ascii="宋体" w:hAnsi="宋体" w:eastAsia="宋体" w:cs="宋体"/>
                <w:spacing w:val="-1"/>
                <w:sz w:val="18"/>
                <w:szCs w:val="18"/>
              </w:rPr>
              <w:t>依据图纸所示位置和断</w:t>
            </w:r>
            <w:r>
              <w:rPr>
                <w:rFonts w:hint="default" w:ascii="宋体" w:hAnsi="宋体" w:eastAsia="宋体" w:cs="宋体"/>
                <w:sz w:val="18"/>
                <w:szCs w:val="18"/>
              </w:rPr>
              <w:t>面</w:t>
            </w:r>
            <w:r>
              <w:rPr>
                <w:rFonts w:hint="default" w:ascii="宋体" w:hAnsi="宋体" w:eastAsia="宋体" w:cs="宋体"/>
                <w:spacing w:val="-9"/>
                <w:sz w:val="18"/>
                <w:szCs w:val="18"/>
              </w:rPr>
              <w:t>尺寸，按活动护栏长度以米</w:t>
            </w:r>
            <w:r>
              <w:rPr>
                <w:rFonts w:hint="default" w:ascii="宋体" w:hAnsi="宋体" w:eastAsia="宋体" w:cs="宋体"/>
                <w:spacing w:val="-6"/>
                <w:sz w:val="18"/>
                <w:szCs w:val="18"/>
              </w:rPr>
              <w:t>为单位计量</w:t>
            </w:r>
          </w:p>
        </w:tc>
        <w:tc>
          <w:tcPr>
            <w:tcW w:w="2599" w:type="dxa"/>
            <w:noWrap w:val="0"/>
            <w:vAlign w:val="top"/>
          </w:tcPr>
          <w:p>
            <w:pPr>
              <w:keepNext w:val="0"/>
              <w:keepLines w:val="0"/>
              <w:widowControl w:val="0"/>
              <w:suppressLineNumbers w:val="0"/>
              <w:autoSpaceDE w:val="0"/>
              <w:autoSpaceDN w:val="0"/>
              <w:adjustRightInd w:val="0"/>
              <w:spacing w:before="7" w:beforeAutospacing="0" w:after="0" w:afterAutospacing="0"/>
              <w:ind w:left="210" w:right="0"/>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1.</w:t>
            </w:r>
            <w:r>
              <w:rPr>
                <w:rFonts w:hint="eastAsia" w:ascii="宋体" w:hAnsi="宋体" w:eastAsia="宋体" w:cs="宋体"/>
                <w:kern w:val="0"/>
                <w:sz w:val="18"/>
                <w:szCs w:val="18"/>
                <w:lang w:val="en-US" w:eastAsia="zh-CN" w:bidi="ar-SA"/>
              </w:rPr>
              <w:t>地面钻孔打预埋螺栓等</w:t>
            </w:r>
            <w:r>
              <w:rPr>
                <w:rFonts w:hint="default" w:ascii="宋体" w:hAnsi="宋体" w:eastAsia="宋体" w:cs="宋体"/>
                <w:kern w:val="0"/>
                <w:sz w:val="18"/>
                <w:szCs w:val="18"/>
                <w:lang w:val="en-US" w:eastAsia="zh-CN" w:bidi="ar-SA"/>
              </w:rPr>
              <w:t xml:space="preserve"> </w:t>
            </w:r>
            <w:r>
              <w:rPr>
                <w:rFonts w:hint="eastAsia" w:ascii="宋体" w:hAnsi="宋体" w:eastAsia="宋体" w:cs="宋体"/>
                <w:spacing w:val="1"/>
                <w:kern w:val="0"/>
                <w:sz w:val="18"/>
                <w:szCs w:val="18"/>
                <w:lang w:val="en-US" w:eastAsia="zh-CN" w:bidi="ar-SA"/>
              </w:rPr>
              <w:t>2</w:t>
            </w:r>
            <w:r>
              <w:rPr>
                <w:rFonts w:hint="default" w:ascii="宋体" w:hAnsi="宋体" w:eastAsia="宋体" w:cs="宋体"/>
                <w:spacing w:val="8"/>
                <w:kern w:val="0"/>
                <w:sz w:val="18"/>
                <w:szCs w:val="18"/>
                <w:lang w:val="en-US" w:eastAsia="zh-CN" w:bidi="ar-SA"/>
              </w:rPr>
              <w:t>.</w:t>
            </w:r>
            <w:r>
              <w:rPr>
                <w:rFonts w:hint="default" w:ascii="宋体" w:hAnsi="宋体" w:eastAsia="宋体" w:cs="宋体"/>
                <w:spacing w:val="7"/>
                <w:kern w:val="0"/>
                <w:sz w:val="18"/>
                <w:szCs w:val="18"/>
                <w:lang w:val="en-US" w:eastAsia="zh-CN" w:bidi="ar-SA"/>
              </w:rPr>
              <w:t>护栏及其匹配件连接</w:t>
            </w:r>
            <w:r>
              <w:rPr>
                <w:rFonts w:hint="default" w:ascii="宋体" w:hAnsi="宋体" w:eastAsia="宋体" w:cs="宋体"/>
                <w:kern w:val="0"/>
                <w:sz w:val="18"/>
                <w:szCs w:val="18"/>
                <w:lang w:val="en-US" w:eastAsia="zh-CN" w:bidi="ar-SA"/>
              </w:rPr>
              <w:t xml:space="preserve">， </w:t>
            </w:r>
            <w:r>
              <w:rPr>
                <w:rFonts w:hint="default" w:ascii="宋体" w:hAnsi="宋体" w:eastAsia="宋体" w:cs="宋体"/>
                <w:spacing w:val="28"/>
                <w:kern w:val="0"/>
                <w:sz w:val="18"/>
                <w:szCs w:val="18"/>
                <w:lang w:val="en-US" w:eastAsia="zh-CN" w:bidi="ar-SA"/>
              </w:rPr>
              <w:t>防盗和开启装置</w:t>
            </w:r>
            <w:r>
              <w:rPr>
                <w:rFonts w:hint="default" w:ascii="宋体" w:hAnsi="宋体" w:eastAsia="宋体" w:cs="宋体"/>
                <w:kern w:val="0"/>
                <w:sz w:val="18"/>
                <w:szCs w:val="18"/>
                <w:lang w:val="en-US" w:eastAsia="zh-CN" w:bidi="ar-SA"/>
              </w:rPr>
              <w:t>设</w:t>
            </w:r>
            <w:r>
              <w:rPr>
                <w:rFonts w:hint="default" w:ascii="宋体" w:hAnsi="宋体" w:eastAsia="宋体" w:cs="宋体"/>
                <w:spacing w:val="14"/>
                <w:kern w:val="0"/>
                <w:sz w:val="18"/>
                <w:szCs w:val="18"/>
                <w:lang w:val="en-US" w:eastAsia="zh-CN" w:bidi="ar-SA"/>
              </w:rPr>
              <w:t>施安</w:t>
            </w:r>
            <w:r>
              <w:rPr>
                <w:rFonts w:hint="default" w:ascii="宋体" w:hAnsi="宋体" w:eastAsia="宋体" w:cs="宋体"/>
                <w:kern w:val="0"/>
                <w:sz w:val="18"/>
                <w:szCs w:val="18"/>
                <w:lang w:val="en-US" w:eastAsia="zh-CN" w:bidi="ar-SA"/>
              </w:rPr>
              <w:t>装，表面反射体安装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color w:val="000000"/>
                <w:sz w:val="18"/>
                <w:szCs w:val="18"/>
              </w:rPr>
            </w:pPr>
            <w:r>
              <w:rPr>
                <w:rFonts w:hint="eastAsia" w:ascii="smartSimSun" w:hAnsi="smartSimSun" w:eastAsia="smartSimSun" w:cs="Times New Roman"/>
                <w:color w:val="000000"/>
                <w:sz w:val="18"/>
                <w:szCs w:val="18"/>
              </w:rPr>
              <w:t>604</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道路交通标志</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ﾃ凝偲古･" w:hAnsi="Times New Roman" w:eastAsia="ﾃ凝偲古･" w:cs="ﾃ凝偲古･"/>
                <w:kern w:val="0"/>
                <w:sz w:val="18"/>
                <w:szCs w:val="18"/>
              </w:rPr>
            </w:pPr>
          </w:p>
        </w:tc>
        <w:tc>
          <w:tcPr>
            <w:tcW w:w="2599" w:type="dxa"/>
            <w:noWrap w:val="0"/>
            <w:vAlign w:val="top"/>
          </w:tcPr>
          <w:p>
            <w:pPr>
              <w:keepNext w:val="0"/>
              <w:keepLines w:val="0"/>
              <w:widowControl w:val="0"/>
              <w:suppressLineNumbers w:val="0"/>
              <w:autoSpaceDE w:val="0"/>
              <w:autoSpaceDN w:val="0"/>
              <w:adjustRightInd w:val="0"/>
              <w:spacing w:before="10" w:beforeAutospacing="0" w:after="0" w:afterAutospacing="0" w:line="318" w:lineRule="auto"/>
              <w:ind w:left="210" w:right="103"/>
              <w:jc w:val="left"/>
              <w:rPr>
                <w:rFonts w:hint="default" w:ascii="宋体" w:hAnsi="宋体" w:eastAsia="宋体" w:cs="宋体"/>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604-1</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道路交通标志</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SimSun-Identity-H" w:hAnsi="Times New Roman" w:eastAsia="SimSun-Identity-H" w:cs="SimSun-Identity-H"/>
                <w:kern w:val="0"/>
                <w:sz w:val="18"/>
                <w:szCs w:val="18"/>
              </w:rPr>
            </w:pPr>
          </w:p>
        </w:tc>
        <w:tc>
          <w:tcPr>
            <w:tcW w:w="2599" w:type="dxa"/>
            <w:noWrap w:val="0"/>
            <w:vAlign w:val="top"/>
          </w:tcPr>
          <w:p>
            <w:pPr>
              <w:keepNext w:val="0"/>
              <w:keepLines w:val="0"/>
              <w:widowControl w:val="0"/>
              <w:suppressLineNumbers w:val="0"/>
              <w:autoSpaceDE w:val="0"/>
              <w:autoSpaceDN w:val="0"/>
              <w:adjustRightInd w:val="0"/>
              <w:spacing w:before="10" w:beforeAutospacing="0" w:after="0" w:afterAutospacing="0"/>
              <w:ind w:left="210" w:right="0"/>
              <w:jc w:val="left"/>
              <w:rPr>
                <w:rFonts w:hint="default" w:ascii="宋体" w:hAnsi="宋体" w:eastAsia="宋体" w:cs="宋体"/>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604-1-1</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eastAsia" w:ascii="smartSimSun" w:hAnsi="smartSimSun" w:eastAsia="smartSimSun" w:cs="Times New Roman"/>
                <w:sz w:val="18"/>
                <w:szCs w:val="18"/>
              </w:rPr>
              <w:t>标志整套拆除</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个</w:t>
            </w:r>
          </w:p>
        </w:tc>
        <w:tc>
          <w:tcPr>
            <w:tcW w:w="3499" w:type="dxa"/>
            <w:tcBorders>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kern w:val="0"/>
                <w:sz w:val="21"/>
                <w:szCs w:val="21"/>
              </w:rPr>
            </w:pPr>
            <w:r>
              <w:rPr>
                <w:rFonts w:hint="default" w:ascii="宋体" w:hAnsi="宋体" w:eastAsia="宋体" w:cs="宋体"/>
                <w:spacing w:val="7"/>
                <w:sz w:val="18"/>
                <w:szCs w:val="18"/>
              </w:rPr>
              <w:t xml:space="preserve">依据图纸所示位置和断面 </w:t>
            </w:r>
            <w:r>
              <w:rPr>
                <w:rFonts w:hint="default" w:ascii="宋体" w:hAnsi="宋体" w:eastAsia="宋体" w:cs="宋体"/>
                <w:sz w:val="18"/>
                <w:szCs w:val="18"/>
              </w:rPr>
              <w:t>尺</w:t>
            </w:r>
            <w:r>
              <w:rPr>
                <w:rFonts w:hint="default" w:ascii="宋体" w:hAnsi="宋体" w:eastAsia="宋体" w:cs="宋体"/>
                <w:spacing w:val="-2"/>
                <w:sz w:val="18"/>
                <w:szCs w:val="18"/>
              </w:rPr>
              <w:t>寸，分不同规格的标志</w:t>
            </w:r>
            <w:r>
              <w:rPr>
                <w:rFonts w:hint="default" w:ascii="宋体" w:hAnsi="宋体" w:eastAsia="宋体" w:cs="宋体"/>
                <w:spacing w:val="7"/>
                <w:sz w:val="18"/>
                <w:szCs w:val="18"/>
              </w:rPr>
              <w:t xml:space="preserve">板面，按安装就位的标志 </w:t>
            </w:r>
            <w:r>
              <w:rPr>
                <w:rFonts w:hint="default" w:ascii="宋体" w:hAnsi="宋体" w:eastAsia="宋体" w:cs="宋体"/>
                <w:sz w:val="18"/>
                <w:szCs w:val="18"/>
              </w:rPr>
              <w:t>数量以个为单位计量</w:t>
            </w:r>
          </w:p>
        </w:tc>
        <w:tc>
          <w:tcPr>
            <w:tcW w:w="2599" w:type="dxa"/>
            <w:tcBorders>
              <w:bottom w:val="single" w:color="auto" w:sz="4" w:space="0"/>
            </w:tcBorders>
            <w:noWrap w:val="0"/>
            <w:vAlign w:val="center"/>
          </w:tcPr>
          <w:p>
            <w:pPr>
              <w:keepNext w:val="0"/>
              <w:keepLines w:val="0"/>
              <w:widowControl w:val="0"/>
              <w:suppressLineNumbers w:val="0"/>
              <w:autoSpaceDE w:val="0"/>
              <w:autoSpaceDN w:val="0"/>
              <w:adjustRightInd w:val="0"/>
              <w:spacing w:before="7" w:beforeAutospacing="0" w:after="0" w:afterAutospacing="0"/>
              <w:ind w:left="0" w:right="0"/>
              <w:jc w:val="left"/>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w:t>
            </w:r>
            <w:r>
              <w:rPr>
                <w:rFonts w:hint="default" w:ascii="宋体" w:hAnsi="宋体" w:eastAsia="宋体" w:cs="宋体"/>
                <w:spacing w:val="6"/>
                <w:kern w:val="0"/>
                <w:sz w:val="18"/>
                <w:szCs w:val="18"/>
                <w:lang w:val="en-US" w:eastAsia="zh-CN" w:bidi="ar-SA"/>
              </w:rPr>
              <w:t xml:space="preserve"> 立柱、标志板及各种匹</w:t>
            </w:r>
            <w:r>
              <w:rPr>
                <w:rFonts w:hint="default" w:ascii="宋体" w:hAnsi="宋体" w:eastAsia="宋体" w:cs="宋体"/>
                <w:kern w:val="0"/>
                <w:sz w:val="18"/>
                <w:szCs w:val="18"/>
                <w:lang w:val="en-US" w:eastAsia="zh-CN" w:bidi="ar-SA"/>
              </w:rPr>
              <w:t>配件</w:t>
            </w:r>
            <w:r>
              <w:rPr>
                <w:rFonts w:hint="eastAsia" w:ascii="宋体" w:hAnsi="宋体" w:eastAsia="宋体" w:cs="宋体"/>
                <w:kern w:val="0"/>
                <w:sz w:val="18"/>
                <w:szCs w:val="18"/>
                <w:lang w:val="en-US" w:eastAsia="zh-CN" w:bidi="ar-SA"/>
              </w:rPr>
              <w:t>拆除，堆放至建设单位指定位置2.设备基础挖除，地面恢复；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604-1-2</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eastAsia" w:ascii="smartSimSun" w:hAnsi="smartSimSun" w:eastAsia="smartSimSun" w:cs="Times New Roman"/>
                <w:sz w:val="18"/>
                <w:szCs w:val="18"/>
              </w:rPr>
              <w:t>标志移位</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个</w:t>
            </w:r>
          </w:p>
        </w:tc>
        <w:tc>
          <w:tcPr>
            <w:tcW w:w="3499" w:type="dxa"/>
            <w:tcBorders>
              <w:top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kern w:val="0"/>
                <w:sz w:val="21"/>
                <w:szCs w:val="21"/>
              </w:rPr>
            </w:pPr>
            <w:r>
              <w:rPr>
                <w:rFonts w:hint="default" w:ascii="宋体" w:hAnsi="宋体" w:eastAsia="宋体" w:cs="宋体"/>
                <w:spacing w:val="7"/>
                <w:sz w:val="18"/>
                <w:szCs w:val="18"/>
              </w:rPr>
              <w:t xml:space="preserve">依据图纸所示位置和断面 </w:t>
            </w:r>
            <w:r>
              <w:rPr>
                <w:rFonts w:hint="default" w:ascii="宋体" w:hAnsi="宋体" w:eastAsia="宋体" w:cs="宋体"/>
                <w:sz w:val="18"/>
                <w:szCs w:val="18"/>
              </w:rPr>
              <w:t>尺</w:t>
            </w:r>
            <w:r>
              <w:rPr>
                <w:rFonts w:hint="default" w:ascii="宋体" w:hAnsi="宋体" w:eastAsia="宋体" w:cs="宋体"/>
                <w:spacing w:val="-2"/>
                <w:sz w:val="18"/>
                <w:szCs w:val="18"/>
              </w:rPr>
              <w:t>寸，分不同规格的标志</w:t>
            </w:r>
            <w:r>
              <w:rPr>
                <w:rFonts w:hint="default" w:ascii="宋体" w:hAnsi="宋体" w:eastAsia="宋体" w:cs="宋体"/>
                <w:spacing w:val="7"/>
                <w:sz w:val="18"/>
                <w:szCs w:val="18"/>
              </w:rPr>
              <w:t xml:space="preserve">板面，按安装就位的标志 </w:t>
            </w:r>
            <w:r>
              <w:rPr>
                <w:rFonts w:hint="default" w:ascii="宋体" w:hAnsi="宋体" w:eastAsia="宋体" w:cs="宋体"/>
                <w:sz w:val="18"/>
                <w:szCs w:val="18"/>
              </w:rPr>
              <w:t>数量以个为单位计量</w:t>
            </w:r>
          </w:p>
        </w:tc>
        <w:tc>
          <w:tcPr>
            <w:tcW w:w="2599" w:type="dxa"/>
            <w:tcBorders>
              <w:top w:val="single" w:color="auto" w:sz="4" w:space="0"/>
            </w:tcBorders>
            <w:noWrap w:val="0"/>
            <w:vAlign w:val="center"/>
          </w:tcPr>
          <w:p>
            <w:pPr>
              <w:keepNext w:val="0"/>
              <w:keepLines w:val="0"/>
              <w:widowControl w:val="0"/>
              <w:suppressLineNumbers w:val="0"/>
              <w:autoSpaceDE w:val="0"/>
              <w:autoSpaceDN w:val="0"/>
              <w:adjustRightInd w:val="0"/>
              <w:spacing w:before="7" w:beforeAutospacing="0" w:after="0" w:afterAutospacing="0"/>
              <w:ind w:left="0" w:right="0"/>
              <w:jc w:val="left"/>
              <w:rPr>
                <w:rFonts w:hint="default" w:ascii="宋体" w:hAnsi="Times New Roman" w:eastAsia="宋体" w:cs="宋体"/>
                <w:kern w:val="0"/>
                <w:sz w:val="24"/>
                <w:szCs w:val="21"/>
                <w:lang w:val="en-US" w:eastAsia="zh-CN" w:bidi="ar-SA"/>
              </w:rPr>
            </w:pPr>
            <w:r>
              <w:rPr>
                <w:rFonts w:hint="default" w:ascii="宋体" w:hAnsi="宋体" w:eastAsia="宋体" w:cs="宋体"/>
                <w:kern w:val="0"/>
                <w:sz w:val="18"/>
                <w:szCs w:val="18"/>
                <w:lang w:val="en-US" w:eastAsia="zh-CN" w:bidi="ar-SA"/>
              </w:rPr>
              <w:t xml:space="preserve">1.基槽开挖 </w:t>
            </w:r>
            <w:r>
              <w:rPr>
                <w:rFonts w:hint="default" w:ascii="宋体" w:hAnsi="宋体" w:eastAsia="宋体" w:cs="宋体"/>
                <w:spacing w:val="6"/>
                <w:kern w:val="0"/>
                <w:sz w:val="18"/>
                <w:szCs w:val="18"/>
                <w:lang w:val="en-US" w:eastAsia="zh-CN" w:bidi="ar-SA"/>
              </w:rPr>
              <w:t>2.基础施工（钢筋与预埋</w:t>
            </w:r>
            <w:r>
              <w:rPr>
                <w:rFonts w:hint="default" w:ascii="宋体" w:hAnsi="宋体" w:eastAsia="宋体" w:cs="宋体"/>
                <w:kern w:val="0"/>
                <w:sz w:val="18"/>
                <w:szCs w:val="18"/>
                <w:lang w:val="en-US" w:eastAsia="zh-CN" w:bidi="ar-SA"/>
              </w:rPr>
              <w:t xml:space="preserve">件安装、混凝土浇筑等） </w:t>
            </w:r>
            <w:r>
              <w:rPr>
                <w:rFonts w:hint="default" w:ascii="宋体" w:hAnsi="宋体" w:eastAsia="宋体" w:cs="宋体"/>
                <w:spacing w:val="6"/>
                <w:kern w:val="0"/>
                <w:sz w:val="18"/>
                <w:szCs w:val="18"/>
                <w:lang w:val="en-US" w:eastAsia="zh-CN" w:bidi="ar-SA"/>
              </w:rPr>
              <w:t>3.立柱、标志板及各种匹</w:t>
            </w:r>
            <w:r>
              <w:rPr>
                <w:rFonts w:hint="default" w:ascii="宋体" w:hAnsi="宋体" w:eastAsia="宋体" w:cs="宋体"/>
                <w:kern w:val="0"/>
                <w:sz w:val="18"/>
                <w:szCs w:val="18"/>
                <w:lang w:val="en-US" w:eastAsia="zh-CN" w:bidi="ar-SA"/>
              </w:rPr>
              <w:t>配件制作与安装 4.清理，弃方处理</w:t>
            </w:r>
            <w:r>
              <w:rPr>
                <w:rFonts w:hint="eastAsia" w:ascii="宋体" w:hAnsi="宋体" w:eastAsia="宋体" w:cs="宋体"/>
                <w:kern w:val="0"/>
                <w:sz w:val="18"/>
                <w:szCs w:val="18"/>
                <w:lang w:val="en-US" w:eastAsia="zh-CN" w:bidi="ar-SA"/>
              </w:rPr>
              <w:t xml:space="preserve"> 5.原位置标志基础挖除，地面恢复；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604-1-3</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电线杆及杆件贴反光膜</w:t>
            </w:r>
          </w:p>
        </w:tc>
        <w:tc>
          <w:tcPr>
            <w:tcW w:w="844"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m2</w:t>
            </w:r>
          </w:p>
        </w:tc>
        <w:tc>
          <w:tcPr>
            <w:tcW w:w="3499" w:type="dxa"/>
            <w:tcBorders>
              <w:top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sz w:val="18"/>
                <w:szCs w:val="18"/>
              </w:rPr>
            </w:pPr>
            <w:r>
              <w:rPr>
                <w:rFonts w:hint="default" w:ascii="宋体" w:hAnsi="宋体" w:eastAsia="宋体" w:cs="宋体"/>
                <w:spacing w:val="7"/>
                <w:sz w:val="18"/>
                <w:szCs w:val="18"/>
              </w:rPr>
              <w:t>依据图纸所示位置</w:t>
            </w:r>
            <w:r>
              <w:rPr>
                <w:rFonts w:hint="eastAsia" w:ascii="宋体" w:hAnsi="宋体" w:eastAsia="宋体" w:cs="宋体"/>
                <w:spacing w:val="7"/>
                <w:sz w:val="18"/>
                <w:szCs w:val="18"/>
              </w:rPr>
              <w:t>和</w:t>
            </w:r>
            <w:r>
              <w:rPr>
                <w:rFonts w:hint="default" w:ascii="宋体" w:hAnsi="宋体" w:eastAsia="宋体" w:cs="宋体"/>
                <w:sz w:val="18"/>
                <w:szCs w:val="18"/>
              </w:rPr>
              <w:t>尺</w:t>
            </w:r>
            <w:r>
              <w:rPr>
                <w:rFonts w:hint="default" w:ascii="宋体" w:hAnsi="宋体" w:eastAsia="宋体" w:cs="宋体"/>
                <w:spacing w:val="-2"/>
                <w:sz w:val="18"/>
                <w:szCs w:val="18"/>
              </w:rPr>
              <w:t>寸，</w:t>
            </w:r>
            <w:r>
              <w:rPr>
                <w:rFonts w:hint="default" w:ascii="宋体" w:hAnsi="宋体" w:eastAsia="宋体" w:cs="宋体"/>
                <w:spacing w:val="7"/>
                <w:sz w:val="18"/>
                <w:szCs w:val="18"/>
              </w:rPr>
              <w:t>按安装就位的</w:t>
            </w:r>
            <w:r>
              <w:rPr>
                <w:rFonts w:hint="default" w:ascii="宋体" w:hAnsi="宋体" w:eastAsia="宋体" w:cs="宋体"/>
                <w:sz w:val="18"/>
                <w:szCs w:val="18"/>
              </w:rPr>
              <w:t>数量以</w:t>
            </w:r>
            <w:r>
              <w:rPr>
                <w:rFonts w:hint="eastAsia" w:ascii="宋体" w:hAnsi="宋体" w:eastAsia="宋体" w:cs="宋体"/>
                <w:sz w:val="18"/>
                <w:szCs w:val="18"/>
              </w:rPr>
              <w:t>m2</w:t>
            </w:r>
            <w:r>
              <w:rPr>
                <w:rFonts w:hint="default" w:ascii="宋体" w:hAnsi="宋体" w:eastAsia="宋体" w:cs="宋体"/>
                <w:sz w:val="18"/>
                <w:szCs w:val="18"/>
              </w:rPr>
              <w:t>为单位计量</w:t>
            </w:r>
          </w:p>
        </w:tc>
        <w:tc>
          <w:tcPr>
            <w:tcW w:w="2599" w:type="dxa"/>
            <w:tcBorders>
              <w:top w:val="single" w:color="auto" w:sz="4" w:space="0"/>
            </w:tcBorders>
            <w:noWrap w:val="0"/>
            <w:vAlign w:val="center"/>
          </w:tcPr>
          <w:p>
            <w:pPr>
              <w:keepNext w:val="0"/>
              <w:keepLines w:val="0"/>
              <w:widowControl w:val="0"/>
              <w:suppressLineNumbers w:val="0"/>
              <w:autoSpaceDE w:val="0"/>
              <w:autoSpaceDN w:val="0"/>
              <w:adjustRightInd w:val="0"/>
              <w:spacing w:before="7" w:beforeAutospacing="0" w:after="0" w:afterAutospacing="0"/>
              <w:ind w:left="0" w:right="0"/>
              <w:jc w:val="both"/>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1.</w:t>
            </w:r>
            <w:r>
              <w:rPr>
                <w:rFonts w:hint="eastAsia" w:ascii="宋体" w:hAnsi="宋体" w:eastAsia="宋体" w:cs="宋体"/>
                <w:kern w:val="0"/>
                <w:sz w:val="18"/>
                <w:szCs w:val="18"/>
                <w:lang w:val="en-US" w:eastAsia="zh-CN" w:bidi="ar-SA"/>
              </w:rPr>
              <w:t>墙面清洗干净</w:t>
            </w:r>
            <w:r>
              <w:rPr>
                <w:rFonts w:hint="default" w:ascii="宋体" w:hAnsi="宋体" w:eastAsia="宋体" w:cs="宋体"/>
                <w:kern w:val="0"/>
                <w:sz w:val="18"/>
                <w:szCs w:val="18"/>
                <w:lang w:val="en-US" w:eastAsia="zh-CN" w:bidi="ar-SA"/>
              </w:rPr>
              <w:t xml:space="preserve"> </w:t>
            </w:r>
          </w:p>
          <w:p>
            <w:pPr>
              <w:keepNext w:val="0"/>
              <w:keepLines w:val="0"/>
              <w:widowControl w:val="0"/>
              <w:suppressLineNumbers w:val="0"/>
              <w:autoSpaceDE w:val="0"/>
              <w:autoSpaceDN w:val="0"/>
              <w:adjustRightInd w:val="0"/>
              <w:spacing w:before="7" w:beforeAutospacing="0" w:after="0" w:afterAutospacing="0"/>
              <w:ind w:left="0" w:right="0"/>
              <w:jc w:val="left"/>
              <w:rPr>
                <w:rFonts w:hint="default" w:ascii="宋体" w:hAnsi="宋体" w:eastAsia="宋体" w:cs="宋体"/>
                <w:kern w:val="0"/>
                <w:sz w:val="18"/>
                <w:szCs w:val="18"/>
                <w:lang w:val="en-US" w:eastAsia="zh-CN" w:bidi="ar-SA"/>
              </w:rPr>
            </w:pPr>
            <w:r>
              <w:rPr>
                <w:rFonts w:hint="default" w:ascii="宋体" w:hAnsi="宋体" w:eastAsia="宋体" w:cs="宋体"/>
                <w:spacing w:val="6"/>
                <w:kern w:val="0"/>
                <w:sz w:val="18"/>
                <w:szCs w:val="18"/>
                <w:lang w:val="en-US" w:eastAsia="zh-CN" w:bidi="ar-SA"/>
              </w:rPr>
              <w:t>2.</w:t>
            </w:r>
            <w:r>
              <w:rPr>
                <w:rFonts w:hint="eastAsia" w:ascii="宋体" w:hAnsi="宋体" w:eastAsia="宋体" w:cs="宋体"/>
                <w:spacing w:val="6"/>
                <w:kern w:val="0"/>
                <w:sz w:val="18"/>
                <w:szCs w:val="18"/>
                <w:lang w:val="en-US" w:eastAsia="zh-CN" w:bidi="ar-SA"/>
              </w:rPr>
              <w:t>张贴</w:t>
            </w:r>
            <w:r>
              <w:rPr>
                <w:rFonts w:hint="eastAsia" w:ascii="smartSimSun" w:hAnsi="smartSimSun" w:eastAsia="smartSimSun" w:cs="Times New Roman"/>
                <w:kern w:val="0"/>
                <w:sz w:val="18"/>
                <w:szCs w:val="18"/>
                <w:lang w:val="en-US" w:eastAsia="zh-CN" w:bidi="ar-SA"/>
              </w:rPr>
              <w:t>反光膜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color w:val="000000"/>
                <w:sz w:val="18"/>
                <w:szCs w:val="18"/>
              </w:rPr>
            </w:pPr>
            <w:r>
              <w:rPr>
                <w:rFonts w:hint="eastAsia" w:ascii="smartSimSun" w:hAnsi="smartSimSun" w:eastAsia="smartSimSun" w:cs="Times New Roman"/>
                <w:color w:val="000000"/>
                <w:sz w:val="18"/>
                <w:szCs w:val="18"/>
              </w:rPr>
              <w:t>605</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道路交通标线</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kern w:val="0"/>
                <w:sz w:val="21"/>
                <w:szCs w:val="21"/>
              </w:rPr>
            </w:pPr>
          </w:p>
        </w:tc>
        <w:tc>
          <w:tcPr>
            <w:tcW w:w="25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Times New Roman"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605-1</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热熔型涂料路面标线</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ﾃ凝偲古･" w:hAnsi="Times New Roman" w:eastAsia="ﾃ凝偲古･" w:cs="ﾃ凝偲古･"/>
                <w:kern w:val="0"/>
                <w:sz w:val="18"/>
                <w:szCs w:val="18"/>
              </w:rPr>
            </w:pPr>
          </w:p>
        </w:tc>
        <w:tc>
          <w:tcPr>
            <w:tcW w:w="25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605-1-2</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反光型</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m2</w:t>
            </w:r>
          </w:p>
        </w:tc>
        <w:tc>
          <w:tcPr>
            <w:tcW w:w="3499" w:type="dxa"/>
            <w:vMerge w:val="restart"/>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ﾃ凝偲古･" w:hAnsi="Times New Roman" w:eastAsia="ﾃ凝偲古･" w:cs="ﾃ凝偲古･"/>
                <w:kern w:val="0"/>
                <w:sz w:val="18"/>
                <w:szCs w:val="18"/>
              </w:rPr>
            </w:pPr>
            <w:r>
              <w:rPr>
                <w:rFonts w:hint="default" w:ascii="宋体" w:hAnsi="宋体" w:eastAsia="宋体" w:cs="宋体"/>
                <w:spacing w:val="6"/>
                <w:sz w:val="18"/>
                <w:szCs w:val="18"/>
              </w:rPr>
              <w:t>依据图纸所示位置和断面</w:t>
            </w:r>
            <w:r>
              <w:rPr>
                <w:rFonts w:hint="default" w:ascii="宋体" w:hAnsi="宋体" w:eastAsia="宋体" w:cs="宋体"/>
                <w:spacing w:val="7"/>
                <w:sz w:val="18"/>
                <w:szCs w:val="18"/>
              </w:rPr>
              <w:t xml:space="preserve">尺寸，分不同类型，按标 线面积以平方米为单位计 </w:t>
            </w:r>
            <w:r>
              <w:rPr>
                <w:rFonts w:hint="default" w:ascii="宋体" w:hAnsi="宋体" w:eastAsia="宋体" w:cs="宋体"/>
                <w:sz w:val="18"/>
                <w:szCs w:val="18"/>
              </w:rPr>
              <w:t>量</w:t>
            </w:r>
          </w:p>
        </w:tc>
        <w:tc>
          <w:tcPr>
            <w:tcW w:w="2599" w:type="dxa"/>
            <w:vMerge w:val="restart"/>
            <w:noWrap w:val="0"/>
            <w:vAlign w:val="center"/>
          </w:tcPr>
          <w:p>
            <w:pPr>
              <w:keepNext w:val="0"/>
              <w:keepLines w:val="0"/>
              <w:widowControl w:val="0"/>
              <w:suppressLineNumbers w:val="0"/>
              <w:autoSpaceDE w:val="0"/>
              <w:autoSpaceDN w:val="0"/>
              <w:adjustRightInd w:val="0"/>
              <w:spacing w:before="7" w:beforeAutospacing="0" w:after="0" w:afterAutospacing="0"/>
              <w:ind w:left="210" w:right="0"/>
              <w:jc w:val="both"/>
              <w:rPr>
                <w:rFonts w:hint="eastAsia"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1.路面清扫 </w:t>
            </w:r>
            <w:r>
              <w:rPr>
                <w:rFonts w:hint="default" w:ascii="宋体" w:hAnsi="宋体" w:eastAsia="宋体" w:cs="宋体"/>
                <w:spacing w:val="6"/>
                <w:kern w:val="0"/>
                <w:sz w:val="18"/>
                <w:szCs w:val="18"/>
                <w:lang w:val="en-US" w:eastAsia="zh-CN" w:bidi="ar-SA"/>
              </w:rPr>
              <w:t>2.刮涂底油，涂料加热溶</w:t>
            </w:r>
            <w:r>
              <w:rPr>
                <w:rFonts w:hint="default" w:ascii="宋体" w:hAnsi="宋体" w:eastAsia="宋体" w:cs="宋体"/>
                <w:spacing w:val="-8"/>
                <w:kern w:val="0"/>
                <w:sz w:val="18"/>
                <w:szCs w:val="18"/>
                <w:lang w:val="en-US" w:eastAsia="zh-CN" w:bidi="ar-SA"/>
              </w:rPr>
              <w:t>解，喷（刮）标线，撒布玻</w:t>
            </w:r>
            <w:r>
              <w:rPr>
                <w:rFonts w:hint="default" w:ascii="宋体" w:hAnsi="宋体" w:eastAsia="宋体" w:cs="宋体"/>
                <w:spacing w:val="-9"/>
                <w:kern w:val="0"/>
                <w:sz w:val="18"/>
                <w:szCs w:val="18"/>
                <w:lang w:val="en-US" w:eastAsia="zh-CN" w:bidi="ar-SA"/>
              </w:rPr>
              <w:t>璃珠（反光标线），初期养</w:t>
            </w:r>
            <w:r>
              <w:rPr>
                <w:rFonts w:hint="default" w:ascii="宋体" w:hAnsi="宋体" w:eastAsia="宋体" w:cs="宋体"/>
                <w:kern w:val="0"/>
                <w:sz w:val="18"/>
                <w:szCs w:val="18"/>
                <w:lang w:val="en-US" w:eastAsia="zh-CN" w:bidi="ar-SA"/>
              </w:rPr>
              <w:t>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605-1-3</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震颤标线</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m2</w:t>
            </w:r>
          </w:p>
        </w:tc>
        <w:tc>
          <w:tcPr>
            <w:tcW w:w="3499"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ﾃ凝偲古･" w:hAnsi="Times New Roman" w:eastAsia="ﾃ凝偲古･" w:cs="ﾃ凝偲古･"/>
                <w:kern w:val="0"/>
                <w:sz w:val="18"/>
                <w:szCs w:val="18"/>
              </w:rPr>
            </w:pPr>
          </w:p>
        </w:tc>
        <w:tc>
          <w:tcPr>
            <w:tcW w:w="2599"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605-2</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溶剂型涂料路面标线</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ﾃ凝偲古･" w:hAnsi="Times New Roman" w:eastAsia="ﾃ凝偲古･" w:cs="ﾃ凝偲古･"/>
                <w:kern w:val="0"/>
                <w:sz w:val="18"/>
                <w:szCs w:val="18"/>
              </w:rPr>
            </w:pPr>
          </w:p>
        </w:tc>
        <w:tc>
          <w:tcPr>
            <w:tcW w:w="25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605-2-2</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彩色防滑标线</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m2</w:t>
            </w:r>
          </w:p>
        </w:tc>
        <w:tc>
          <w:tcPr>
            <w:tcW w:w="3499" w:type="dxa"/>
            <w:noWrap w:val="0"/>
            <w:vAlign w:val="center"/>
          </w:tcPr>
          <w:p>
            <w:pPr>
              <w:keepNext w:val="0"/>
              <w:keepLines w:val="0"/>
              <w:widowControl w:val="0"/>
              <w:suppressLineNumbers w:val="0"/>
              <w:autoSpaceDE w:val="0"/>
              <w:autoSpaceDN w:val="0"/>
              <w:adjustRightInd w:val="0"/>
              <w:spacing w:before="7" w:beforeAutospacing="0" w:after="0" w:afterAutospacing="0" w:line="318" w:lineRule="auto"/>
              <w:ind w:left="0" w:right="200"/>
              <w:jc w:val="left"/>
              <w:rPr>
                <w:rFonts w:hint="eastAsia" w:ascii="宋体" w:hAnsi="宋体" w:eastAsia="宋体" w:cs="宋体"/>
                <w:kern w:val="0"/>
                <w:sz w:val="18"/>
                <w:szCs w:val="18"/>
                <w:lang w:val="en-US" w:eastAsia="zh-CN" w:bidi="ar-SA"/>
              </w:rPr>
            </w:pPr>
            <w:r>
              <w:rPr>
                <w:rFonts w:hint="default" w:ascii="宋体" w:hAnsi="宋体" w:eastAsia="宋体" w:cs="宋体"/>
                <w:spacing w:val="7"/>
                <w:kern w:val="0"/>
                <w:sz w:val="18"/>
                <w:szCs w:val="18"/>
                <w:lang w:val="en-US" w:eastAsia="zh-CN" w:bidi="ar-SA"/>
              </w:rPr>
              <w:t>依据图纸所示位置和断面 尺寸</w:t>
            </w:r>
            <w:r>
              <w:rPr>
                <w:rFonts w:hint="eastAsia" w:ascii="宋体" w:hAnsi="宋体" w:eastAsia="宋体" w:cs="宋体"/>
                <w:spacing w:val="7"/>
                <w:kern w:val="0"/>
                <w:sz w:val="18"/>
                <w:szCs w:val="18"/>
                <w:lang w:val="en-US" w:eastAsia="zh-CN" w:bidi="ar-SA"/>
              </w:rPr>
              <w:t>，</w:t>
            </w:r>
            <w:r>
              <w:rPr>
                <w:rFonts w:hint="default" w:ascii="宋体" w:hAnsi="宋体" w:eastAsia="宋体" w:cs="宋体"/>
                <w:spacing w:val="7"/>
                <w:kern w:val="0"/>
                <w:sz w:val="18"/>
                <w:szCs w:val="18"/>
                <w:lang w:val="en-US" w:eastAsia="zh-CN" w:bidi="ar-SA"/>
              </w:rPr>
              <w:t>分不同类型，按标线面积以平方米为单位计</w:t>
            </w:r>
            <w:r>
              <w:rPr>
                <w:rFonts w:hint="default" w:ascii="宋体" w:hAnsi="宋体" w:eastAsia="宋体" w:cs="宋体"/>
                <w:kern w:val="0"/>
                <w:sz w:val="18"/>
                <w:szCs w:val="18"/>
                <w:lang w:val="en-US" w:eastAsia="zh-CN" w:bidi="ar-SA"/>
              </w:rPr>
              <w:t>量</w:t>
            </w:r>
          </w:p>
        </w:tc>
        <w:tc>
          <w:tcPr>
            <w:tcW w:w="2599" w:type="dxa"/>
            <w:noWrap w:val="0"/>
            <w:vAlign w:val="center"/>
          </w:tcPr>
          <w:p>
            <w:pPr>
              <w:keepNext w:val="0"/>
              <w:keepLines w:val="0"/>
              <w:widowControl w:val="0"/>
              <w:suppressLineNumbers w:val="0"/>
              <w:autoSpaceDE w:val="0"/>
              <w:autoSpaceDN w:val="0"/>
              <w:adjustRightInd w:val="0"/>
              <w:spacing w:before="7" w:beforeAutospacing="0" w:after="0" w:afterAutospacing="0"/>
              <w:ind w:left="3" w:right="0"/>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1.路面清扫 </w:t>
            </w:r>
          </w:p>
          <w:p>
            <w:pPr>
              <w:keepNext w:val="0"/>
              <w:keepLines w:val="0"/>
              <w:widowControl w:val="0"/>
              <w:suppressLineNumbers w:val="0"/>
              <w:autoSpaceDE w:val="0"/>
              <w:autoSpaceDN w:val="0"/>
              <w:adjustRightInd w:val="0"/>
              <w:spacing w:before="76" w:beforeAutospacing="0" w:after="0" w:afterAutospacing="0"/>
              <w:ind w:left="3" w:right="0"/>
              <w:jc w:val="left"/>
              <w:rPr>
                <w:rFonts w:hint="eastAsia" w:ascii="宋体" w:hAnsi="宋体" w:eastAsia="宋体" w:cs="宋体"/>
                <w:kern w:val="0"/>
                <w:sz w:val="18"/>
                <w:szCs w:val="18"/>
                <w:lang w:val="en-US" w:eastAsia="zh-CN" w:bidi="ar-SA"/>
              </w:rPr>
            </w:pPr>
            <w:r>
              <w:rPr>
                <w:rFonts w:hint="default" w:ascii="宋体" w:hAnsi="宋体" w:eastAsia="宋体" w:cs="宋体"/>
                <w:spacing w:val="-8"/>
                <w:kern w:val="0"/>
                <w:sz w:val="18"/>
                <w:szCs w:val="18"/>
                <w:lang w:val="en-US" w:eastAsia="zh-CN" w:bidi="ar-SA"/>
              </w:rPr>
              <w:t>2.涂料拌和溶解，喷（刮）</w:t>
            </w:r>
            <w:r>
              <w:rPr>
                <w:rFonts w:hint="default" w:ascii="宋体" w:hAnsi="宋体" w:eastAsia="宋体" w:cs="宋体"/>
                <w:spacing w:val="-10"/>
                <w:kern w:val="0"/>
                <w:sz w:val="18"/>
                <w:szCs w:val="18"/>
                <w:lang w:val="en-US" w:eastAsia="zh-CN" w:bidi="ar-SA"/>
              </w:rPr>
              <w:t>标线，撒布玻璃珠（反光标</w:t>
            </w:r>
            <w:r>
              <w:rPr>
                <w:rFonts w:hint="default" w:ascii="宋体" w:hAnsi="宋体" w:eastAsia="宋体" w:cs="宋体"/>
                <w:spacing w:val="-6"/>
                <w:kern w:val="0"/>
                <w:sz w:val="18"/>
                <w:szCs w:val="18"/>
                <w:lang w:val="en-US" w:eastAsia="zh-CN" w:bidi="ar-SA"/>
              </w:rPr>
              <w:t>线），初期养护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605-6</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突起路标</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ﾃ凝偲古･" w:hAnsi="Times New Roman" w:eastAsia="ﾃ凝偲古･" w:cs="ﾃ凝偲古･"/>
                <w:kern w:val="0"/>
                <w:sz w:val="18"/>
                <w:szCs w:val="18"/>
              </w:rPr>
            </w:pPr>
          </w:p>
        </w:tc>
        <w:tc>
          <w:tcPr>
            <w:tcW w:w="25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605-6-2</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双面突起路标</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个</w:t>
            </w:r>
          </w:p>
        </w:tc>
        <w:tc>
          <w:tcPr>
            <w:tcW w:w="3499" w:type="dxa"/>
            <w:noWrap w:val="0"/>
            <w:vAlign w:val="center"/>
          </w:tcPr>
          <w:p>
            <w:pPr>
              <w:keepNext w:val="0"/>
              <w:keepLines w:val="0"/>
              <w:widowControl w:val="0"/>
              <w:suppressLineNumbers w:val="0"/>
              <w:autoSpaceDE w:val="0"/>
              <w:autoSpaceDN w:val="0"/>
              <w:adjustRightInd w:val="0"/>
              <w:spacing w:before="9" w:beforeAutospacing="0" w:after="0" w:afterAutospacing="0"/>
              <w:ind w:left="207" w:right="0"/>
              <w:jc w:val="left"/>
              <w:rPr>
                <w:rFonts w:hint="eastAsia" w:ascii="宋体" w:hAnsi="宋体" w:eastAsia="宋体" w:cs="宋体"/>
                <w:kern w:val="0"/>
                <w:sz w:val="18"/>
                <w:szCs w:val="18"/>
                <w:lang w:val="en-US" w:eastAsia="zh-CN" w:bidi="ar-SA"/>
              </w:rPr>
            </w:pPr>
            <w:r>
              <w:rPr>
                <w:rFonts w:hint="default" w:ascii="宋体" w:hAnsi="宋体" w:eastAsia="宋体" w:cs="宋体"/>
                <w:spacing w:val="7"/>
                <w:kern w:val="0"/>
                <w:sz w:val="18"/>
                <w:szCs w:val="18"/>
                <w:lang w:val="en-US" w:eastAsia="zh-CN" w:bidi="ar-SA"/>
              </w:rPr>
              <w:t>依据图纸所示位置，分不同类型，按突起路标数量</w:t>
            </w:r>
            <w:r>
              <w:rPr>
                <w:rFonts w:hint="default" w:ascii="宋体" w:hAnsi="宋体" w:eastAsia="宋体" w:cs="宋体"/>
                <w:kern w:val="0"/>
                <w:sz w:val="18"/>
                <w:szCs w:val="18"/>
                <w:lang w:val="en-US" w:eastAsia="zh-CN" w:bidi="ar-SA"/>
              </w:rPr>
              <w:t>以个为单位计量</w:t>
            </w:r>
          </w:p>
        </w:tc>
        <w:tc>
          <w:tcPr>
            <w:tcW w:w="2599" w:type="dxa"/>
            <w:noWrap w:val="0"/>
            <w:vAlign w:val="center"/>
          </w:tcPr>
          <w:p>
            <w:pPr>
              <w:keepNext w:val="0"/>
              <w:keepLines w:val="0"/>
              <w:widowControl w:val="0"/>
              <w:suppressLineNumbers w:val="0"/>
              <w:autoSpaceDE w:val="0"/>
              <w:autoSpaceDN w:val="0"/>
              <w:adjustRightInd w:val="0"/>
              <w:spacing w:before="9" w:beforeAutospacing="0" w:after="0" w:afterAutospacing="0"/>
              <w:ind w:left="0" w:right="0"/>
              <w:jc w:val="left"/>
              <w:rPr>
                <w:rFonts w:hint="eastAsia"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1.路面清扫 </w:t>
            </w:r>
            <w:r>
              <w:rPr>
                <w:rFonts w:hint="default" w:ascii="宋体" w:hAnsi="宋体" w:eastAsia="宋体" w:cs="宋体"/>
                <w:spacing w:val="6"/>
                <w:kern w:val="0"/>
                <w:sz w:val="18"/>
                <w:szCs w:val="18"/>
                <w:lang w:val="en-US" w:eastAsia="zh-CN" w:bidi="ar-SA"/>
              </w:rPr>
              <w:t>2.底胶调和，粘贴突起路</w:t>
            </w:r>
            <w:r>
              <w:rPr>
                <w:rFonts w:hint="default" w:ascii="宋体" w:hAnsi="宋体" w:eastAsia="宋体" w:cs="宋体"/>
                <w:kern w:val="0"/>
                <w:sz w:val="18"/>
                <w:szCs w:val="18"/>
                <w:lang w:val="en-US" w:eastAsia="zh-CN" w:bidi="ar-SA"/>
              </w:rPr>
              <w:t>标，初期养护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605-7</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视线诱导设施</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ﾃ凝偲古･" w:hAnsi="Times New Roman" w:eastAsia="ﾃ凝偲古･" w:cs="ﾃ凝偲古･"/>
                <w:kern w:val="0"/>
                <w:sz w:val="18"/>
                <w:szCs w:val="18"/>
              </w:rPr>
            </w:pPr>
          </w:p>
        </w:tc>
        <w:tc>
          <w:tcPr>
            <w:tcW w:w="25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605-7-2</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附着式轮廓标</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个</w:t>
            </w:r>
          </w:p>
        </w:tc>
        <w:tc>
          <w:tcPr>
            <w:tcW w:w="3499" w:type="dxa"/>
            <w:noWrap w:val="0"/>
            <w:vAlign w:val="center"/>
          </w:tcPr>
          <w:p>
            <w:pPr>
              <w:keepNext w:val="0"/>
              <w:keepLines w:val="0"/>
              <w:widowControl w:val="0"/>
              <w:suppressLineNumbers w:val="0"/>
              <w:autoSpaceDE w:val="0"/>
              <w:autoSpaceDN w:val="0"/>
              <w:adjustRightInd w:val="0"/>
              <w:spacing w:before="0" w:beforeAutospacing="0" w:after="0" w:afterAutospacing="0"/>
              <w:ind w:left="207" w:right="0"/>
              <w:jc w:val="left"/>
              <w:rPr>
                <w:rFonts w:hint="eastAsia" w:ascii="宋体" w:hAnsi="宋体" w:eastAsia="宋体" w:cs="宋体"/>
                <w:kern w:val="0"/>
                <w:sz w:val="18"/>
                <w:szCs w:val="18"/>
                <w:lang w:val="en-US" w:eastAsia="zh-CN" w:bidi="ar-SA"/>
              </w:rPr>
            </w:pPr>
            <w:r>
              <w:rPr>
                <w:rFonts w:hint="default" w:ascii="宋体" w:hAnsi="宋体" w:eastAsia="宋体" w:cs="宋体"/>
                <w:spacing w:val="-9"/>
                <w:kern w:val="0"/>
                <w:sz w:val="18"/>
                <w:szCs w:val="18"/>
                <w:lang w:val="en-US" w:eastAsia="zh-CN" w:bidi="ar-SA"/>
              </w:rPr>
              <w:t>依据图纸所示位置，分不同</w:t>
            </w:r>
            <w:r>
              <w:rPr>
                <w:rFonts w:hint="default" w:ascii="宋体" w:hAnsi="宋体" w:eastAsia="宋体" w:cs="宋体"/>
                <w:spacing w:val="-13"/>
                <w:kern w:val="0"/>
                <w:sz w:val="18"/>
                <w:szCs w:val="18"/>
                <w:lang w:val="en-US" w:eastAsia="zh-CN" w:bidi="ar-SA"/>
              </w:rPr>
              <w:t>类型，以个为单位计量</w:t>
            </w:r>
          </w:p>
        </w:tc>
        <w:tc>
          <w:tcPr>
            <w:tcW w:w="2599" w:type="dxa"/>
            <w:noWrap w:val="0"/>
            <w:vAlign w:val="center"/>
          </w:tcPr>
          <w:p>
            <w:pPr>
              <w:keepNext w:val="0"/>
              <w:keepLines w:val="0"/>
              <w:widowControl w:val="0"/>
              <w:suppressLineNumbers w:val="0"/>
              <w:autoSpaceDE w:val="0"/>
              <w:autoSpaceDN w:val="0"/>
              <w:adjustRightInd w:val="0"/>
              <w:spacing w:before="131" w:beforeAutospacing="0" w:after="0" w:afterAutospacing="0"/>
              <w:ind w:left="3" w:right="0"/>
              <w:jc w:val="left"/>
              <w:rPr>
                <w:rFonts w:hint="eastAsia" w:ascii="宋体" w:hAnsi="宋体" w:eastAsia="宋体" w:cs="宋体"/>
                <w:kern w:val="0"/>
                <w:sz w:val="18"/>
                <w:szCs w:val="18"/>
                <w:lang w:val="en-US" w:eastAsia="zh-CN" w:bidi="ar-SA"/>
              </w:rPr>
            </w:pPr>
            <w:r>
              <w:rPr>
                <w:rFonts w:hint="default" w:ascii="宋体" w:hAnsi="宋体" w:eastAsia="宋体" w:cs="宋体"/>
                <w:spacing w:val="-1"/>
                <w:kern w:val="0"/>
                <w:sz w:val="18"/>
                <w:szCs w:val="18"/>
                <w:lang w:val="en-US" w:eastAsia="zh-CN" w:bidi="ar-SA"/>
              </w:rPr>
              <w:t>1.基础施工及连接件设置</w:t>
            </w:r>
            <w:r>
              <w:rPr>
                <w:rFonts w:hint="default" w:ascii="宋体" w:hAnsi="宋体" w:eastAsia="宋体" w:cs="宋体"/>
                <w:spacing w:val="1"/>
                <w:kern w:val="0"/>
                <w:sz w:val="18"/>
                <w:szCs w:val="18"/>
                <w:lang w:val="en-US" w:eastAsia="zh-CN" w:bidi="ar-SA"/>
              </w:rPr>
              <w:t xml:space="preserve">2. </w:t>
            </w:r>
            <w:r>
              <w:rPr>
                <w:rFonts w:hint="default" w:ascii="宋体" w:hAnsi="宋体" w:eastAsia="宋体" w:cs="宋体"/>
                <w:spacing w:val="-1"/>
                <w:kern w:val="0"/>
                <w:sz w:val="18"/>
                <w:szCs w:val="18"/>
                <w:lang w:val="en-US" w:eastAsia="zh-CN" w:bidi="ar-SA"/>
              </w:rPr>
              <w:t>制作安装</w:t>
            </w:r>
            <w:r>
              <w:rPr>
                <w:rFonts w:hint="default" w:ascii="宋体" w:hAnsi="宋体" w:eastAsia="宋体" w:cs="宋体"/>
                <w:kern w:val="0"/>
                <w:sz w:val="18"/>
                <w:szCs w:val="18"/>
                <w:lang w:val="en-US" w:eastAsia="zh-CN" w:bidi="ar-SA"/>
              </w:rPr>
              <w:t>3.发光型轮廓标调试 4.反光膜设置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605-7-9</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道口标柱</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ﾃ凝偲古･" w:hAnsi="Times New Roman" w:eastAsia="ﾃ凝偲古･" w:cs="ﾃ凝偲古･"/>
                <w:kern w:val="0"/>
                <w:sz w:val="18"/>
                <w:szCs w:val="18"/>
              </w:rPr>
            </w:pPr>
          </w:p>
        </w:tc>
        <w:tc>
          <w:tcPr>
            <w:tcW w:w="25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605-7-9-1</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柔性道口柱</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根</w:t>
            </w:r>
          </w:p>
        </w:tc>
        <w:tc>
          <w:tcPr>
            <w:tcW w:w="3499" w:type="dxa"/>
            <w:vMerge w:val="restart"/>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ﾃ凝偲古･" w:hAnsi="Times New Roman" w:eastAsia="ﾃ凝偲古･" w:cs="ﾃ凝偲古･"/>
                <w:kern w:val="0"/>
                <w:sz w:val="18"/>
                <w:szCs w:val="18"/>
              </w:rPr>
            </w:pPr>
            <w:r>
              <w:rPr>
                <w:rFonts w:hint="default" w:ascii="宋体" w:hAnsi="宋体" w:eastAsia="宋体" w:cs="宋体"/>
                <w:spacing w:val="-9"/>
                <w:sz w:val="18"/>
                <w:szCs w:val="18"/>
              </w:rPr>
              <w:t>依据图纸所示位置，分不同</w:t>
            </w:r>
            <w:r>
              <w:rPr>
                <w:rFonts w:hint="default" w:ascii="宋体" w:hAnsi="宋体" w:eastAsia="宋体" w:cs="宋体"/>
                <w:spacing w:val="-13"/>
                <w:sz w:val="18"/>
                <w:szCs w:val="18"/>
              </w:rPr>
              <w:t>类型，以个为单位计量</w:t>
            </w:r>
          </w:p>
        </w:tc>
        <w:tc>
          <w:tcPr>
            <w:tcW w:w="2599" w:type="dxa"/>
            <w:vMerge w:val="restart"/>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kern w:val="0"/>
                <w:sz w:val="21"/>
                <w:szCs w:val="21"/>
              </w:rPr>
            </w:pPr>
            <w:r>
              <w:rPr>
                <w:rFonts w:hint="default" w:ascii="宋体" w:hAnsi="宋体" w:eastAsia="宋体" w:cs="宋体"/>
                <w:spacing w:val="-1"/>
                <w:sz w:val="18"/>
                <w:szCs w:val="18"/>
              </w:rPr>
              <w:t>1.基础施工及连接件设置</w:t>
            </w:r>
            <w:r>
              <w:rPr>
                <w:rFonts w:hint="default" w:ascii="宋体" w:hAnsi="宋体" w:eastAsia="宋体" w:cs="宋体"/>
                <w:spacing w:val="1"/>
                <w:sz w:val="18"/>
                <w:szCs w:val="18"/>
              </w:rPr>
              <w:t xml:space="preserve">2. </w:t>
            </w:r>
            <w:r>
              <w:rPr>
                <w:rFonts w:hint="default" w:ascii="宋体" w:hAnsi="宋体" w:eastAsia="宋体" w:cs="宋体"/>
                <w:spacing w:val="-1"/>
                <w:sz w:val="18"/>
                <w:szCs w:val="18"/>
              </w:rPr>
              <w:t>制作安装</w:t>
            </w:r>
            <w:r>
              <w:rPr>
                <w:rFonts w:hint="default" w:ascii="宋体" w:hAnsi="宋体" w:eastAsia="宋体" w:cs="宋体"/>
                <w:sz w:val="18"/>
                <w:szCs w:val="18"/>
              </w:rPr>
              <w:t>3.发光型轮廓标调试 4.反光膜设置</w:t>
            </w:r>
            <w:r>
              <w:rPr>
                <w:rFonts w:hint="eastAsia" w:ascii="宋体" w:hAnsi="宋体" w:eastAsia="宋体" w:cs="宋体"/>
                <w:sz w:val="18"/>
                <w:szCs w:val="18"/>
              </w:rPr>
              <w:t>5.原道口柱拆除，</w:t>
            </w:r>
            <w:r>
              <w:rPr>
                <w:rFonts w:hint="default" w:ascii="宋体" w:hAnsi="宋体" w:eastAsia="宋体" w:cs="宋体"/>
                <w:sz w:val="18"/>
                <w:szCs w:val="18"/>
              </w:rPr>
              <w:t>清理现场</w:t>
            </w:r>
            <w:r>
              <w:rPr>
                <w:rFonts w:hint="eastAsia" w:ascii="宋体" w:hAnsi="宋体" w:eastAsia="宋体" w:cs="宋体"/>
                <w:sz w:val="18"/>
                <w:szCs w:val="18"/>
              </w:rPr>
              <w:t>，集中堆放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605-7-9-2</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钢质道口柱</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根</w:t>
            </w:r>
          </w:p>
        </w:tc>
        <w:tc>
          <w:tcPr>
            <w:tcW w:w="3499"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ﾃ凝偲古･" w:hAnsi="Times New Roman" w:eastAsia="ﾃ凝偲古･" w:cs="ﾃ凝偲古･"/>
                <w:kern w:val="0"/>
                <w:sz w:val="18"/>
                <w:szCs w:val="18"/>
              </w:rPr>
            </w:pPr>
          </w:p>
        </w:tc>
        <w:tc>
          <w:tcPr>
            <w:tcW w:w="2599"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605-7-9-3</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钢质道口柱拆除</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根</w:t>
            </w:r>
          </w:p>
        </w:tc>
        <w:tc>
          <w:tcPr>
            <w:tcW w:w="3499"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ﾃ凝偲古･" w:hAnsi="Times New Roman" w:eastAsia="ﾃ凝偲古･" w:cs="ﾃ凝偲古･"/>
                <w:kern w:val="0"/>
                <w:sz w:val="18"/>
                <w:szCs w:val="18"/>
              </w:rPr>
            </w:pPr>
          </w:p>
        </w:tc>
        <w:tc>
          <w:tcPr>
            <w:tcW w:w="2599"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605-10</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减速带</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ﾃ凝偲古･" w:hAnsi="Times New Roman" w:eastAsia="ﾃ凝偲古･" w:cs="ﾃ凝偲古･"/>
                <w:kern w:val="0"/>
                <w:sz w:val="18"/>
                <w:szCs w:val="18"/>
              </w:rPr>
            </w:pPr>
          </w:p>
        </w:tc>
        <w:tc>
          <w:tcPr>
            <w:tcW w:w="25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605-10-1</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橡胶减速带</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m</w:t>
            </w:r>
          </w:p>
        </w:tc>
        <w:tc>
          <w:tcPr>
            <w:tcW w:w="3499" w:type="dxa"/>
            <w:vMerge w:val="restart"/>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ﾃ凝偲古･" w:hAnsi="Times New Roman" w:eastAsia="ﾃ凝偲古･" w:cs="ﾃ凝偲古･"/>
                <w:kern w:val="0"/>
                <w:sz w:val="18"/>
                <w:szCs w:val="18"/>
              </w:rPr>
            </w:pPr>
            <w:r>
              <w:rPr>
                <w:rFonts w:hint="default" w:ascii="宋体" w:hAnsi="宋体" w:eastAsia="宋体" w:cs="宋体"/>
                <w:spacing w:val="7"/>
                <w:sz w:val="18"/>
                <w:szCs w:val="18"/>
              </w:rPr>
              <w:t xml:space="preserve">依据图纸所示位置，按减 </w:t>
            </w:r>
            <w:r>
              <w:rPr>
                <w:rFonts w:hint="default" w:ascii="宋体" w:hAnsi="宋体" w:eastAsia="宋体" w:cs="宋体"/>
                <w:sz w:val="18"/>
                <w:szCs w:val="18"/>
              </w:rPr>
              <w:t>速带长度以米为单位计量</w:t>
            </w:r>
          </w:p>
        </w:tc>
        <w:tc>
          <w:tcPr>
            <w:tcW w:w="2599" w:type="dxa"/>
            <w:vMerge w:val="restart"/>
            <w:noWrap w:val="0"/>
            <w:vAlign w:val="center"/>
          </w:tcPr>
          <w:p>
            <w:pPr>
              <w:keepNext w:val="0"/>
              <w:keepLines w:val="0"/>
              <w:widowControl w:val="0"/>
              <w:suppressLineNumbers w:val="0"/>
              <w:autoSpaceDE w:val="0"/>
              <w:autoSpaceDN w:val="0"/>
              <w:adjustRightInd w:val="0"/>
              <w:spacing w:before="7" w:beforeAutospacing="0" w:after="0" w:afterAutospacing="0"/>
              <w:ind w:left="210" w:right="0"/>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1.钻孔及锚杆安设 </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sz w:val="18"/>
                <w:szCs w:val="18"/>
              </w:rPr>
            </w:pPr>
            <w:r>
              <w:rPr>
                <w:rFonts w:hint="default" w:ascii="宋体" w:hAnsi="宋体" w:eastAsia="宋体" w:cs="宋体"/>
                <w:sz w:val="18"/>
                <w:szCs w:val="18"/>
              </w:rPr>
              <w:t>2.橡胶减速带安装</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kern w:val="0"/>
                <w:sz w:val="21"/>
                <w:szCs w:val="21"/>
              </w:rPr>
            </w:pPr>
            <w:r>
              <w:rPr>
                <w:rFonts w:hint="eastAsia" w:ascii="宋体" w:hAnsi="宋体" w:eastAsia="宋体" w:cs="宋体"/>
                <w:sz w:val="18"/>
                <w:szCs w:val="18"/>
              </w:rPr>
              <w:t>3. 原</w:t>
            </w:r>
            <w:r>
              <w:rPr>
                <w:rFonts w:hint="eastAsia" w:ascii="smartSimSun" w:hAnsi="smartSimSun" w:eastAsia="smartSimSun" w:cs="Times New Roman"/>
                <w:sz w:val="18"/>
                <w:szCs w:val="18"/>
              </w:rPr>
              <w:t>减速带</w:t>
            </w:r>
            <w:r>
              <w:rPr>
                <w:rFonts w:hint="eastAsia" w:ascii="宋体" w:hAnsi="宋体" w:eastAsia="宋体" w:cs="宋体"/>
                <w:sz w:val="18"/>
                <w:szCs w:val="18"/>
              </w:rPr>
              <w:t>拆除，</w:t>
            </w:r>
            <w:r>
              <w:rPr>
                <w:rFonts w:hint="default" w:ascii="宋体" w:hAnsi="宋体" w:eastAsia="宋体" w:cs="宋体"/>
                <w:sz w:val="18"/>
                <w:szCs w:val="18"/>
              </w:rPr>
              <w:t>清理现场</w:t>
            </w:r>
            <w:r>
              <w:rPr>
                <w:rFonts w:hint="eastAsia" w:ascii="宋体" w:hAnsi="宋体" w:eastAsia="宋体" w:cs="宋体"/>
                <w:sz w:val="18"/>
                <w:szCs w:val="18"/>
              </w:rPr>
              <w:t>，</w:t>
            </w:r>
            <w:r>
              <w:rPr>
                <w:rFonts w:hint="default" w:ascii="宋体" w:hAnsi="宋体" w:eastAsia="宋体" w:cs="宋体"/>
                <w:sz w:val="18"/>
                <w:szCs w:val="18"/>
              </w:rPr>
              <w:t>弃方处理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605-10-2</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拆除破损橡胶减速带</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m</w:t>
            </w:r>
          </w:p>
        </w:tc>
        <w:tc>
          <w:tcPr>
            <w:tcW w:w="3499"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ﾃ凝偲古･" w:hAnsi="Times New Roman" w:eastAsia="ﾃ凝偲古･" w:cs="ﾃ凝偲古･"/>
                <w:kern w:val="0"/>
                <w:sz w:val="18"/>
                <w:szCs w:val="18"/>
              </w:rPr>
            </w:pPr>
          </w:p>
        </w:tc>
        <w:tc>
          <w:tcPr>
            <w:tcW w:w="2599"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605-12</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水磨除原有路面标线</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m2</w:t>
            </w: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ﾃ凝偲古･" w:hAnsi="Times New Roman" w:eastAsia="ﾃ凝偲古･" w:cs="ﾃ凝偲古･"/>
                <w:kern w:val="0"/>
                <w:sz w:val="18"/>
                <w:szCs w:val="18"/>
              </w:rPr>
            </w:pPr>
            <w:r>
              <w:rPr>
                <w:rFonts w:hint="default" w:ascii="宋体" w:hAnsi="宋体" w:eastAsia="宋体" w:cs="宋体"/>
                <w:spacing w:val="7"/>
                <w:sz w:val="18"/>
                <w:szCs w:val="18"/>
              </w:rPr>
              <w:t xml:space="preserve">依据图纸所示，按铲除的 </w:t>
            </w:r>
            <w:r>
              <w:rPr>
                <w:rFonts w:hint="default" w:ascii="宋体" w:hAnsi="宋体" w:eastAsia="宋体" w:cs="宋体"/>
                <w:spacing w:val="6"/>
                <w:sz w:val="18"/>
                <w:szCs w:val="18"/>
              </w:rPr>
              <w:t>原有路面标线面积以平方</w:t>
            </w:r>
            <w:r>
              <w:rPr>
                <w:rFonts w:hint="default" w:ascii="宋体" w:hAnsi="宋体" w:eastAsia="宋体" w:cs="宋体"/>
                <w:sz w:val="18"/>
                <w:szCs w:val="18"/>
              </w:rPr>
              <w:t>米为单位计量</w:t>
            </w:r>
          </w:p>
        </w:tc>
        <w:tc>
          <w:tcPr>
            <w:tcW w:w="2599" w:type="dxa"/>
            <w:noWrap w:val="0"/>
            <w:vAlign w:val="center"/>
          </w:tcPr>
          <w:p>
            <w:pPr>
              <w:keepNext w:val="0"/>
              <w:keepLines w:val="0"/>
              <w:widowControl w:val="0"/>
              <w:suppressLineNumbers w:val="0"/>
              <w:autoSpaceDE w:val="0"/>
              <w:autoSpaceDN w:val="0"/>
              <w:adjustRightInd w:val="0"/>
              <w:spacing w:before="112" w:beforeAutospacing="0" w:after="0" w:afterAutospacing="0"/>
              <w:ind w:left="155" w:right="0"/>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1.铲除原有标线 </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kern w:val="0"/>
                <w:sz w:val="21"/>
                <w:szCs w:val="21"/>
              </w:rPr>
            </w:pPr>
            <w:r>
              <w:rPr>
                <w:rFonts w:hint="default" w:ascii="宋体" w:hAnsi="宋体" w:eastAsia="宋体" w:cs="宋体"/>
                <w:sz w:val="18"/>
                <w:szCs w:val="18"/>
              </w:rPr>
              <w:t>2.清理现场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608</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收费设施及地下管道</w:t>
            </w:r>
          </w:p>
        </w:tc>
        <w:tc>
          <w:tcPr>
            <w:tcW w:w="844"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spacing w:val="7"/>
                <w:sz w:val="18"/>
                <w:szCs w:val="18"/>
              </w:rPr>
            </w:pPr>
          </w:p>
        </w:tc>
        <w:tc>
          <w:tcPr>
            <w:tcW w:w="2599" w:type="dxa"/>
            <w:noWrap w:val="0"/>
            <w:vAlign w:val="center"/>
          </w:tcPr>
          <w:p>
            <w:pPr>
              <w:keepNext w:val="0"/>
              <w:keepLines w:val="0"/>
              <w:widowControl w:val="0"/>
              <w:suppressLineNumbers w:val="0"/>
              <w:autoSpaceDE w:val="0"/>
              <w:autoSpaceDN w:val="0"/>
              <w:adjustRightInd w:val="0"/>
              <w:spacing w:before="112" w:beforeAutospacing="0" w:after="0" w:afterAutospacing="0"/>
              <w:ind w:left="155" w:right="0"/>
              <w:jc w:val="left"/>
              <w:rPr>
                <w:rFonts w:hint="default" w:ascii="宋体" w:hAnsi="宋体" w:eastAsia="宋体" w:cs="宋体"/>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608-2</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公交站移位</w:t>
            </w:r>
          </w:p>
        </w:tc>
        <w:tc>
          <w:tcPr>
            <w:tcW w:w="844"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个</w:t>
            </w: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spacing w:val="7"/>
                <w:sz w:val="18"/>
                <w:szCs w:val="18"/>
              </w:rPr>
            </w:pPr>
            <w:r>
              <w:rPr>
                <w:rFonts w:hint="default" w:ascii="宋体" w:hAnsi="宋体" w:eastAsia="宋体" w:cs="宋体"/>
                <w:spacing w:val="7"/>
                <w:sz w:val="18"/>
                <w:szCs w:val="18"/>
              </w:rPr>
              <w:t>依据设计图纸所示位置和 尺寸，分不同类型，按图示材料材质制作安装收费</w:t>
            </w:r>
            <w:r>
              <w:rPr>
                <w:rFonts w:hint="default" w:ascii="宋体" w:hAnsi="宋体" w:eastAsia="宋体" w:cs="宋体"/>
                <w:sz w:val="18"/>
                <w:szCs w:val="18"/>
              </w:rPr>
              <w:t>亭数量，以个为单位计量</w:t>
            </w:r>
          </w:p>
        </w:tc>
        <w:tc>
          <w:tcPr>
            <w:tcW w:w="2599" w:type="dxa"/>
            <w:noWrap w:val="0"/>
            <w:vAlign w:val="center"/>
          </w:tcPr>
          <w:p>
            <w:pPr>
              <w:keepNext w:val="0"/>
              <w:keepLines w:val="0"/>
              <w:widowControl w:val="0"/>
              <w:suppressLineNumbers w:val="0"/>
              <w:autoSpaceDE w:val="0"/>
              <w:autoSpaceDN w:val="0"/>
              <w:adjustRightInd w:val="0"/>
              <w:spacing w:before="112" w:beforeAutospacing="0" w:after="0" w:afterAutospacing="0"/>
              <w:ind w:left="155" w:right="0"/>
              <w:jc w:val="left"/>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1.原位置公交站拆除移至新位置2.原位置地面拆除新建人行道3.新位置新建基础及面层4.清理现场</w:t>
            </w:r>
          </w:p>
        </w:tc>
      </w:tr>
    </w:tbl>
    <w:p>
      <w:pPr>
        <w:wordWrap w:val="0"/>
        <w:spacing w:line="340" w:lineRule="exact"/>
        <w:ind w:firstLine="420"/>
        <w:textAlignment w:val="baseline"/>
        <w:rPr>
          <w:rFonts w:hint="eastAsia" w:ascii="仿宋" w:hAnsi="仿宋" w:eastAsia="仿宋" w:cs="Times New Roman"/>
          <w:b/>
          <w:sz w:val="28"/>
          <w:szCs w:val="28"/>
        </w:rPr>
      </w:pPr>
      <w:r>
        <w:rPr>
          <w:rFonts w:hint="eastAsia" w:ascii="仿宋" w:hAnsi="仿宋" w:eastAsia="仿宋" w:cs="Times New Roman"/>
          <w:b/>
          <w:sz w:val="28"/>
          <w:szCs w:val="28"/>
        </w:rPr>
        <w:t>第700章 绿化及环境保护工程</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3"/>
        <w:gridCol w:w="1616"/>
        <w:gridCol w:w="821"/>
        <w:gridCol w:w="3318"/>
        <w:gridCol w:w="2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清单子目编码</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清单子目名称</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单位</w:t>
            </w:r>
          </w:p>
        </w:tc>
        <w:tc>
          <w:tcPr>
            <w:tcW w:w="3499"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工程量计量</w:t>
            </w:r>
          </w:p>
        </w:tc>
        <w:tc>
          <w:tcPr>
            <w:tcW w:w="25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rPr>
            </w:pPr>
            <w:r>
              <w:rPr>
                <w:rFonts w:hint="eastAsia" w:ascii="宋体" w:hAnsi="Times New Roman" w:eastAsia="宋体" w:cs="宋体"/>
                <w:kern w:val="0"/>
                <w:sz w:val="21"/>
                <w:szCs w:val="21"/>
              </w:rPr>
              <w:t>工程内容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color w:val="000000"/>
                <w:sz w:val="18"/>
                <w:szCs w:val="18"/>
              </w:rPr>
            </w:pPr>
            <w:r>
              <w:rPr>
                <w:rFonts w:hint="eastAsia" w:ascii="smartSimSun" w:hAnsi="smartSimSun" w:eastAsia="smartSimSun" w:cs="Times New Roman"/>
                <w:color w:val="000000"/>
                <w:sz w:val="18"/>
                <w:szCs w:val="18"/>
              </w:rPr>
              <w:t>703</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撒播草种和铺植草皮</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c>
          <w:tcPr>
            <w:tcW w:w="25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color w:val="000000"/>
                <w:sz w:val="18"/>
                <w:szCs w:val="18"/>
              </w:rPr>
            </w:pPr>
            <w:r>
              <w:rPr>
                <w:rFonts w:hint="eastAsia" w:ascii="smartSimSun" w:hAnsi="smartSimSun" w:eastAsia="smartSimSun" w:cs="Times New Roman"/>
                <w:color w:val="000000"/>
                <w:sz w:val="18"/>
                <w:szCs w:val="18"/>
              </w:rPr>
              <w:t>703-4</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铺植草皮 马尼拉</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m2</w:t>
            </w:r>
          </w:p>
        </w:tc>
        <w:tc>
          <w:tcPr>
            <w:tcW w:w="34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r>
              <w:rPr>
                <w:rFonts w:hint="default" w:ascii="宋体" w:hAnsi="宋体" w:eastAsia="宋体" w:cs="宋体"/>
                <w:spacing w:val="-1"/>
                <w:sz w:val="18"/>
                <w:szCs w:val="18"/>
              </w:rPr>
              <w:t>1.依据图纸所示位置，按种植的面积计算，以平方米为单位计量，按合同单价计算</w:t>
            </w:r>
            <w:r>
              <w:rPr>
                <w:rFonts w:hint="default" w:ascii="宋体" w:hAnsi="宋体" w:eastAsia="宋体" w:cs="宋体"/>
                <w:sz w:val="18"/>
                <w:szCs w:val="18"/>
              </w:rPr>
              <w:t>合价后计量至合价的60％，余下的</w:t>
            </w:r>
            <w:r>
              <w:rPr>
                <w:rFonts w:hint="default" w:ascii="宋体" w:hAnsi="宋体" w:eastAsia="宋体" w:cs="宋体"/>
                <w:spacing w:val="1"/>
                <w:sz w:val="18"/>
                <w:szCs w:val="18"/>
              </w:rPr>
              <w:t>40</w:t>
            </w:r>
            <w:r>
              <w:rPr>
                <w:rFonts w:hint="default" w:ascii="宋体" w:hAnsi="宋体" w:eastAsia="宋体" w:cs="宋体"/>
                <w:sz w:val="18"/>
                <w:szCs w:val="18"/>
              </w:rPr>
              <w:t>％</w:t>
            </w:r>
            <w:r>
              <w:rPr>
                <w:rFonts w:hint="default" w:ascii="宋体" w:hAnsi="宋体" w:eastAsia="宋体" w:cs="宋体"/>
                <w:spacing w:val="-51"/>
                <w:sz w:val="18"/>
                <w:szCs w:val="18"/>
              </w:rPr>
              <w:t>，</w:t>
            </w:r>
            <w:r>
              <w:rPr>
                <w:rFonts w:hint="default" w:ascii="宋体" w:hAnsi="宋体" w:eastAsia="宋体" w:cs="宋体"/>
                <w:sz w:val="18"/>
                <w:szCs w:val="18"/>
              </w:rPr>
              <w:t>待达到合同规 定成活率后计量         2.</w:t>
            </w:r>
            <w:r>
              <w:rPr>
                <w:rFonts w:hint="default" w:ascii="宋体" w:hAnsi="宋体" w:eastAsia="宋体" w:cs="宋体"/>
                <w:spacing w:val="14"/>
                <w:sz w:val="18"/>
                <w:szCs w:val="18"/>
              </w:rPr>
              <w:t>扣除结构工程和密栽灌</w:t>
            </w:r>
            <w:r>
              <w:rPr>
                <w:rFonts w:hint="default" w:ascii="宋体" w:hAnsi="宋体" w:eastAsia="宋体" w:cs="宋体"/>
                <w:spacing w:val="-1"/>
                <w:sz w:val="18"/>
                <w:szCs w:val="18"/>
              </w:rPr>
              <w:t>木所占面积，不扣除散栽苗</w:t>
            </w:r>
            <w:r>
              <w:rPr>
                <w:rFonts w:hint="default" w:ascii="宋体" w:hAnsi="宋体" w:eastAsia="宋体" w:cs="宋体"/>
                <w:sz w:val="18"/>
                <w:szCs w:val="18"/>
              </w:rPr>
              <w:t>木所占面积</w:t>
            </w:r>
          </w:p>
        </w:tc>
        <w:tc>
          <w:tcPr>
            <w:tcW w:w="2599" w:type="dxa"/>
            <w:noWrap w:val="0"/>
            <w:vAlign w:val="center"/>
          </w:tcPr>
          <w:p>
            <w:pPr>
              <w:keepNext w:val="0"/>
              <w:keepLines w:val="0"/>
              <w:widowControl w:val="0"/>
              <w:suppressLineNumbers w:val="0"/>
              <w:autoSpaceDE w:val="0"/>
              <w:autoSpaceDN w:val="0"/>
              <w:adjustRightInd w:val="0"/>
              <w:spacing w:before="0" w:beforeAutospacing="0" w:after="0" w:afterAutospacing="0"/>
              <w:ind w:left="212" w:right="0"/>
              <w:jc w:val="left"/>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1.场地清理，耙细 </w:t>
            </w:r>
          </w:p>
          <w:p>
            <w:pPr>
              <w:keepNext w:val="0"/>
              <w:keepLines w:val="0"/>
              <w:widowControl w:val="0"/>
              <w:suppressLineNumbers w:val="0"/>
              <w:autoSpaceDE w:val="0"/>
              <w:autoSpaceDN w:val="0"/>
              <w:adjustRightInd w:val="0"/>
              <w:spacing w:before="77" w:beforeAutospacing="0" w:after="0" w:afterAutospacing="0"/>
              <w:ind w:left="212" w:right="0"/>
              <w:jc w:val="left"/>
              <w:rPr>
                <w:rFonts w:hint="default" w:ascii="宋体" w:hAnsi="宋体" w:eastAsia="宋体" w:cs="宋体"/>
                <w:kern w:val="0"/>
                <w:sz w:val="18"/>
                <w:szCs w:val="18"/>
                <w:lang w:val="en-US" w:eastAsia="zh-CN" w:bidi="ar-SA"/>
              </w:rPr>
            </w:pPr>
            <w:r>
              <w:rPr>
                <w:rFonts w:hint="default" w:ascii="宋体" w:hAnsi="宋体" w:eastAsia="宋体" w:cs="宋体"/>
                <w:spacing w:val="-1"/>
                <w:kern w:val="0"/>
                <w:sz w:val="18"/>
                <w:szCs w:val="18"/>
                <w:lang w:val="en-US" w:eastAsia="zh-CN" w:bidi="ar-SA"/>
              </w:rPr>
              <w:t>2.铺植草皮</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r>
              <w:rPr>
                <w:rFonts w:hint="default" w:ascii="宋体" w:hAnsi="宋体" w:eastAsia="宋体" w:cs="宋体"/>
                <w:spacing w:val="-1"/>
                <w:sz w:val="18"/>
                <w:szCs w:val="18"/>
              </w:rPr>
              <w:t>3.浇水、施肥、除虫、除杂</w:t>
            </w:r>
            <w:r>
              <w:rPr>
                <w:rFonts w:hint="default" w:ascii="宋体" w:hAnsi="宋体" w:eastAsia="宋体" w:cs="宋体"/>
                <w:sz w:val="18"/>
                <w:szCs w:val="18"/>
              </w:rPr>
              <w:t>草、修剪、补种 4.清除垃圾、杂物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color w:val="000000"/>
                <w:sz w:val="18"/>
                <w:szCs w:val="18"/>
              </w:rPr>
            </w:pPr>
            <w:r>
              <w:rPr>
                <w:rFonts w:hint="eastAsia" w:ascii="smartSimSun" w:hAnsi="smartSimSun" w:eastAsia="smartSimSun" w:cs="Times New Roman"/>
                <w:color w:val="000000"/>
                <w:sz w:val="18"/>
                <w:szCs w:val="18"/>
              </w:rPr>
              <w:t>704</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种植乔木、灌木和攀缘植物</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c>
          <w:tcPr>
            <w:tcW w:w="25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color w:val="000000"/>
                <w:sz w:val="18"/>
                <w:szCs w:val="18"/>
              </w:rPr>
            </w:pPr>
            <w:r>
              <w:rPr>
                <w:rFonts w:hint="eastAsia" w:ascii="smartSimSun" w:hAnsi="smartSimSun" w:eastAsia="smartSimSun" w:cs="Times New Roman"/>
                <w:color w:val="000000"/>
                <w:sz w:val="18"/>
                <w:szCs w:val="18"/>
              </w:rPr>
              <w:t>704-3</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人工片植灌木 移植红叶石楠 36株/m2 含挖种</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m2</w:t>
            </w:r>
          </w:p>
        </w:tc>
        <w:tc>
          <w:tcPr>
            <w:tcW w:w="34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r>
              <w:rPr>
                <w:rFonts w:hint="default" w:ascii="宋体" w:hAnsi="宋体" w:eastAsia="宋体" w:cs="宋体"/>
                <w:spacing w:val="-1"/>
                <w:sz w:val="18"/>
                <w:szCs w:val="18"/>
              </w:rPr>
              <w:t>依据图纸所示位置，按片植</w:t>
            </w:r>
            <w:r>
              <w:rPr>
                <w:rFonts w:hint="default" w:ascii="宋体" w:hAnsi="宋体" w:eastAsia="宋体" w:cs="宋体"/>
                <w:spacing w:val="15"/>
                <w:sz w:val="18"/>
                <w:szCs w:val="18"/>
              </w:rPr>
              <w:t>的不同规格的各类灌木数</w:t>
            </w:r>
            <w:r>
              <w:rPr>
                <w:rFonts w:hint="default" w:ascii="宋体" w:hAnsi="宋体" w:eastAsia="宋体" w:cs="宋体"/>
                <w:spacing w:val="-1"/>
                <w:sz w:val="18"/>
                <w:szCs w:val="18"/>
              </w:rPr>
              <w:t>量计算，以平方米为单位计量，按合同单价计算合价后</w:t>
            </w:r>
            <w:r>
              <w:rPr>
                <w:rFonts w:hint="default" w:ascii="宋体" w:hAnsi="宋体" w:eastAsia="宋体" w:cs="宋体"/>
                <w:sz w:val="18"/>
                <w:szCs w:val="18"/>
              </w:rPr>
              <w:t>计量至合价的</w:t>
            </w:r>
            <w:r>
              <w:rPr>
                <w:rFonts w:hint="default" w:ascii="宋体" w:hAnsi="宋体" w:eastAsia="宋体" w:cs="宋体"/>
                <w:spacing w:val="1"/>
                <w:sz w:val="18"/>
                <w:szCs w:val="18"/>
              </w:rPr>
              <w:t>60</w:t>
            </w:r>
            <w:r>
              <w:rPr>
                <w:rFonts w:hint="default" w:ascii="宋体" w:hAnsi="宋体" w:eastAsia="宋体" w:cs="宋体"/>
                <w:sz w:val="18"/>
                <w:szCs w:val="18"/>
              </w:rPr>
              <w:t>％</w:t>
            </w:r>
            <w:r>
              <w:rPr>
                <w:rFonts w:hint="default" w:ascii="宋体" w:hAnsi="宋体" w:eastAsia="宋体" w:cs="宋体"/>
                <w:spacing w:val="-51"/>
                <w:sz w:val="18"/>
                <w:szCs w:val="18"/>
              </w:rPr>
              <w:t>，</w:t>
            </w:r>
            <w:r>
              <w:rPr>
                <w:rFonts w:hint="default" w:ascii="宋体" w:hAnsi="宋体" w:eastAsia="宋体" w:cs="宋体"/>
                <w:sz w:val="18"/>
                <w:szCs w:val="18"/>
              </w:rPr>
              <w:t xml:space="preserve">余下的 </w:t>
            </w:r>
            <w:r>
              <w:rPr>
                <w:rFonts w:hint="default" w:ascii="宋体" w:hAnsi="宋体" w:eastAsia="宋体" w:cs="宋体"/>
                <w:spacing w:val="-1"/>
                <w:sz w:val="18"/>
                <w:szCs w:val="18"/>
              </w:rPr>
              <w:t>40％，待达到合同规定成活</w:t>
            </w:r>
            <w:r>
              <w:rPr>
                <w:rFonts w:hint="default" w:ascii="宋体" w:hAnsi="宋体" w:eastAsia="宋体" w:cs="宋体"/>
                <w:sz w:val="18"/>
                <w:szCs w:val="18"/>
              </w:rPr>
              <w:t>率后计量</w:t>
            </w:r>
          </w:p>
        </w:tc>
        <w:tc>
          <w:tcPr>
            <w:tcW w:w="2599" w:type="dxa"/>
            <w:noWrap w:val="0"/>
            <w:vAlign w:val="center"/>
          </w:tcPr>
          <w:p>
            <w:pPr>
              <w:keepNext w:val="0"/>
              <w:keepLines w:val="0"/>
              <w:widowControl w:val="0"/>
              <w:suppressLineNumbers w:val="0"/>
              <w:autoSpaceDE w:val="0"/>
              <w:autoSpaceDN w:val="0"/>
              <w:adjustRightInd w:val="0"/>
              <w:spacing w:before="7" w:beforeAutospacing="0" w:after="0" w:afterAutospacing="0"/>
              <w:ind w:left="214" w:right="0"/>
              <w:jc w:val="left"/>
              <w:rPr>
                <w:rFonts w:hint="eastAsia"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 xml:space="preserve">1.开挖种植穴（槽） 2.换填种植土 </w:t>
            </w:r>
            <w:r>
              <w:rPr>
                <w:rFonts w:hint="default" w:ascii="宋体" w:hAnsi="宋体" w:eastAsia="宋体" w:cs="宋体"/>
                <w:spacing w:val="-1"/>
                <w:kern w:val="0"/>
                <w:sz w:val="18"/>
                <w:szCs w:val="18"/>
                <w:lang w:val="en-US" w:eastAsia="zh-CN" w:bidi="ar-SA"/>
              </w:rPr>
              <w:t>3.苗木栽植</w:t>
            </w:r>
            <w:r>
              <w:rPr>
                <w:rFonts w:hint="default" w:ascii="宋体" w:hAnsi="宋体" w:eastAsia="宋体" w:cs="宋体"/>
                <w:spacing w:val="1"/>
                <w:kern w:val="0"/>
                <w:sz w:val="18"/>
                <w:szCs w:val="18"/>
                <w:lang w:val="en-US" w:eastAsia="zh-CN" w:bidi="ar-SA"/>
              </w:rPr>
              <w:t>4.</w:t>
            </w:r>
            <w:r>
              <w:rPr>
                <w:rFonts w:hint="default" w:ascii="宋体" w:hAnsi="宋体" w:eastAsia="宋体" w:cs="宋体"/>
                <w:kern w:val="0"/>
                <w:sz w:val="18"/>
                <w:szCs w:val="18"/>
                <w:lang w:val="en-US" w:eastAsia="zh-CN" w:bidi="ar-SA"/>
              </w:rPr>
              <w:t>支撑</w:t>
            </w:r>
            <w:r>
              <w:rPr>
                <w:rFonts w:hint="default" w:ascii="宋体" w:hAnsi="宋体" w:eastAsia="宋体" w:cs="宋体"/>
                <w:spacing w:val="-29"/>
                <w:kern w:val="0"/>
                <w:sz w:val="18"/>
                <w:szCs w:val="18"/>
                <w:lang w:val="en-US" w:eastAsia="zh-CN" w:bidi="ar-SA"/>
              </w:rPr>
              <w:t>、</w:t>
            </w:r>
            <w:r>
              <w:rPr>
                <w:rFonts w:hint="default" w:ascii="宋体" w:hAnsi="宋体" w:eastAsia="宋体" w:cs="宋体"/>
                <w:kern w:val="0"/>
                <w:sz w:val="18"/>
                <w:szCs w:val="18"/>
                <w:lang w:val="en-US" w:eastAsia="zh-CN" w:bidi="ar-SA"/>
              </w:rPr>
              <w:t>浇水</w:t>
            </w:r>
            <w:r>
              <w:rPr>
                <w:rFonts w:hint="default" w:ascii="宋体" w:hAnsi="宋体" w:eastAsia="宋体" w:cs="宋体"/>
                <w:spacing w:val="-29"/>
                <w:kern w:val="0"/>
                <w:sz w:val="18"/>
                <w:szCs w:val="18"/>
                <w:lang w:val="en-US" w:eastAsia="zh-CN" w:bidi="ar-SA"/>
              </w:rPr>
              <w:t>、</w:t>
            </w:r>
            <w:r>
              <w:rPr>
                <w:rFonts w:hint="default" w:ascii="宋体" w:hAnsi="宋体" w:eastAsia="宋体" w:cs="宋体"/>
                <w:kern w:val="0"/>
                <w:sz w:val="18"/>
                <w:szCs w:val="18"/>
                <w:lang w:val="en-US" w:eastAsia="zh-CN" w:bidi="ar-SA"/>
              </w:rPr>
              <w:t>施肥</w:t>
            </w:r>
            <w:r>
              <w:rPr>
                <w:rFonts w:hint="default" w:ascii="宋体" w:hAnsi="宋体" w:eastAsia="宋体" w:cs="宋体"/>
                <w:spacing w:val="-29"/>
                <w:kern w:val="0"/>
                <w:sz w:val="18"/>
                <w:szCs w:val="18"/>
                <w:lang w:val="en-US" w:eastAsia="zh-CN" w:bidi="ar-SA"/>
              </w:rPr>
              <w:t>、</w:t>
            </w:r>
            <w:r>
              <w:rPr>
                <w:rFonts w:hint="default" w:ascii="宋体" w:hAnsi="宋体" w:eastAsia="宋体" w:cs="宋体"/>
                <w:kern w:val="0"/>
                <w:sz w:val="18"/>
                <w:szCs w:val="18"/>
                <w:lang w:val="en-US" w:eastAsia="zh-CN" w:bidi="ar-SA"/>
              </w:rPr>
              <w:t xml:space="preserve">除虫、 除杂草、修剪、补种 </w:t>
            </w:r>
            <w:r>
              <w:rPr>
                <w:rFonts w:hint="default" w:ascii="宋体" w:hAnsi="宋体" w:eastAsia="宋体" w:cs="宋体"/>
                <w:spacing w:val="-1"/>
                <w:kern w:val="0"/>
                <w:sz w:val="18"/>
                <w:szCs w:val="18"/>
                <w:lang w:val="en-US" w:eastAsia="zh-CN" w:bidi="ar-SA"/>
              </w:rPr>
              <w:t>5.场地清理，废弃物装卸运</w:t>
            </w:r>
            <w:r>
              <w:rPr>
                <w:rFonts w:hint="default" w:ascii="宋体" w:hAnsi="宋体" w:eastAsia="宋体" w:cs="宋体"/>
                <w:kern w:val="0"/>
                <w:sz w:val="18"/>
                <w:szCs w:val="18"/>
                <w:lang w:val="en-US" w:eastAsia="zh-CN" w:bidi="ar-SA"/>
              </w:rPr>
              <w:t>输</w:t>
            </w:r>
            <w:r>
              <w:rPr>
                <w:rFonts w:hint="eastAsia" w:ascii="宋体" w:hAnsi="宋体" w:eastAsia="宋体" w:cs="宋体"/>
                <w:kern w:val="0"/>
                <w:sz w:val="18"/>
                <w:szCs w:val="18"/>
                <w:lang w:val="en-US" w:eastAsia="zh-CN" w:bidi="ar-SA"/>
              </w:rPr>
              <w:t>6.起挖灌木，运输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color w:val="000000"/>
                <w:sz w:val="18"/>
                <w:szCs w:val="18"/>
              </w:rPr>
            </w:pPr>
            <w:r>
              <w:rPr>
                <w:rFonts w:hint="eastAsia" w:ascii="smartSimSun" w:hAnsi="smartSimSun" w:eastAsia="smartSimSun" w:cs="Times New Roman"/>
                <w:color w:val="000000"/>
                <w:sz w:val="18"/>
                <w:szCs w:val="18"/>
              </w:rPr>
              <w:t>705</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植物养护和管理</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c>
          <w:tcPr>
            <w:tcW w:w="25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color w:val="000000"/>
                <w:sz w:val="18"/>
                <w:szCs w:val="18"/>
              </w:rPr>
            </w:pPr>
            <w:r>
              <w:rPr>
                <w:rFonts w:hint="eastAsia" w:ascii="smartSimSun" w:hAnsi="smartSimSun" w:eastAsia="smartSimSun" w:cs="Times New Roman"/>
                <w:color w:val="000000"/>
                <w:sz w:val="18"/>
                <w:szCs w:val="18"/>
              </w:rPr>
              <w:t>705-1</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铺植草皮 马尼拉 养护期1年</w:t>
            </w:r>
          </w:p>
        </w:tc>
        <w:tc>
          <w:tcPr>
            <w:tcW w:w="844" w:type="dxa"/>
            <w:noWrap w:val="0"/>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 w:val="21"/>
              </w:rPr>
            </w:pPr>
            <w:r>
              <w:rPr>
                <w:rFonts w:hint="eastAsia" w:ascii="Times New Roman" w:hAnsi="Times New Roman" w:eastAsia="宋体" w:cs="Times New Roman"/>
                <w:color w:val="000000"/>
                <w:sz w:val="20"/>
                <w:szCs w:val="20"/>
              </w:rPr>
              <w:t>m2</w:t>
            </w:r>
          </w:p>
        </w:tc>
        <w:tc>
          <w:tcPr>
            <w:tcW w:w="3499" w:type="dxa"/>
            <w:vMerge w:val="restar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r>
              <w:rPr>
                <w:rFonts w:hint="default" w:ascii="宋体" w:hAnsi="宋体" w:eastAsia="宋体" w:cs="宋体"/>
                <w:sz w:val="18"/>
                <w:szCs w:val="18"/>
              </w:rPr>
              <w:t xml:space="preserve">本节包括从绿化植物开始种植到工程缺陷责任期结束的养护和管理。本节工作含入绿化植物种植的相关子目中 </w:t>
            </w:r>
            <w:r>
              <w:rPr>
                <w:rFonts w:hint="default" w:ascii="宋体" w:hAnsi="宋体" w:eastAsia="宋体" w:cs="宋体"/>
                <w:spacing w:val="-1"/>
                <w:sz w:val="18"/>
                <w:szCs w:val="18"/>
              </w:rPr>
              <w:t>均不单独计量。</w:t>
            </w:r>
          </w:p>
        </w:tc>
        <w:tc>
          <w:tcPr>
            <w:tcW w:w="2599" w:type="dxa"/>
            <w:vMerge w:val="restar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r>
              <w:rPr>
                <w:rFonts w:hint="default" w:ascii="宋体" w:hAnsi="宋体" w:eastAsia="宋体" w:cs="宋体"/>
                <w:sz w:val="18"/>
                <w:szCs w:val="18"/>
              </w:rPr>
              <w:t xml:space="preserve">本节包括从绿化植物开始种植到工程缺陷责任期结束的养护和管理。本节工作含入绿化植物种植的相关子目中 </w:t>
            </w:r>
            <w:r>
              <w:rPr>
                <w:rFonts w:hint="default" w:ascii="宋体" w:hAnsi="宋体" w:eastAsia="宋体" w:cs="宋体"/>
                <w:spacing w:val="-1"/>
                <w:sz w:val="18"/>
                <w:szCs w:val="18"/>
              </w:rPr>
              <w:t>均不单独计量。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color w:val="000000"/>
                <w:sz w:val="18"/>
                <w:szCs w:val="18"/>
              </w:rPr>
            </w:pPr>
            <w:r>
              <w:rPr>
                <w:rFonts w:hint="eastAsia" w:ascii="smartSimSun" w:hAnsi="smartSimSun" w:eastAsia="smartSimSun" w:cs="Times New Roman"/>
                <w:color w:val="000000"/>
                <w:sz w:val="18"/>
                <w:szCs w:val="18"/>
              </w:rPr>
              <w:t>705-2</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人工片植灌木 养护期1年</w:t>
            </w:r>
          </w:p>
        </w:tc>
        <w:tc>
          <w:tcPr>
            <w:tcW w:w="844" w:type="dxa"/>
            <w:noWrap w:val="0"/>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 w:val="21"/>
              </w:rPr>
            </w:pPr>
            <w:r>
              <w:rPr>
                <w:rFonts w:hint="eastAsia" w:ascii="Times New Roman" w:hAnsi="Times New Roman" w:eastAsia="宋体" w:cs="Times New Roman"/>
                <w:color w:val="000000"/>
                <w:sz w:val="20"/>
                <w:szCs w:val="20"/>
              </w:rPr>
              <w:t>m2</w:t>
            </w:r>
          </w:p>
        </w:tc>
        <w:tc>
          <w:tcPr>
            <w:tcW w:w="3499"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c>
          <w:tcPr>
            <w:tcW w:w="2599"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color w:val="000000"/>
                <w:sz w:val="18"/>
                <w:szCs w:val="18"/>
              </w:rPr>
            </w:pPr>
            <w:r>
              <w:rPr>
                <w:rFonts w:hint="eastAsia" w:ascii="smartSimSun" w:hAnsi="smartSimSun" w:eastAsia="smartSimSun" w:cs="Times New Roman"/>
                <w:color w:val="000000"/>
                <w:sz w:val="18"/>
                <w:szCs w:val="18"/>
              </w:rPr>
              <w:t>705-3</w:t>
            </w:r>
          </w:p>
        </w:tc>
        <w:tc>
          <w:tcPr>
            <w:tcW w:w="1685" w:type="dxa"/>
            <w:noWrap w:val="0"/>
            <w:vAlign w:val="center"/>
          </w:tcPr>
          <w:p>
            <w:pPr>
              <w:keepNext w:val="0"/>
              <w:keepLines w:val="0"/>
              <w:suppressLineNumbers w:val="0"/>
              <w:spacing w:before="0" w:beforeAutospacing="0" w:after="0" w:afterAutospacing="0"/>
              <w:ind w:left="0" w:right="0"/>
              <w:jc w:val="center"/>
              <w:rPr>
                <w:rFonts w:hint="eastAsia" w:ascii="smartSimSun" w:hAnsi="smartSimSun" w:eastAsia="smartSimSun" w:cs="Times New Roman"/>
                <w:sz w:val="18"/>
                <w:szCs w:val="18"/>
              </w:rPr>
            </w:pPr>
            <w:r>
              <w:rPr>
                <w:rFonts w:hint="eastAsia" w:ascii="smartSimSun" w:hAnsi="smartSimSun" w:eastAsia="smartSimSun" w:cs="Times New Roman"/>
                <w:sz w:val="18"/>
                <w:szCs w:val="18"/>
              </w:rPr>
              <w:t>绿化修剪</w:t>
            </w:r>
          </w:p>
        </w:tc>
        <w:tc>
          <w:tcPr>
            <w:tcW w:w="844" w:type="dxa"/>
            <w:noWrap w:val="0"/>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 w:val="21"/>
              </w:rPr>
            </w:pPr>
            <w:r>
              <w:rPr>
                <w:rFonts w:hint="eastAsia" w:ascii="Times New Roman" w:hAnsi="Times New Roman" w:eastAsia="宋体" w:cs="Times New Roman"/>
                <w:color w:val="000000"/>
                <w:sz w:val="20"/>
                <w:szCs w:val="20"/>
              </w:rPr>
              <w:t>m2</w:t>
            </w:r>
          </w:p>
        </w:tc>
        <w:tc>
          <w:tcPr>
            <w:tcW w:w="3499"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c>
          <w:tcPr>
            <w:tcW w:w="2599"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r>
    </w:tbl>
    <w:p>
      <w:pPr>
        <w:wordWrap w:val="0"/>
        <w:spacing w:line="340" w:lineRule="exact"/>
        <w:ind w:firstLine="420"/>
        <w:textAlignment w:val="baseline"/>
        <w:rPr>
          <w:rFonts w:hint="eastAsia" w:ascii="仿宋" w:hAnsi="仿宋" w:eastAsia="仿宋" w:cs="Times New Roman"/>
          <w:b/>
          <w:sz w:val="28"/>
          <w:szCs w:val="28"/>
        </w:rPr>
      </w:pPr>
    </w:p>
    <w:p>
      <w:pPr>
        <w:wordWrap w:val="0"/>
        <w:spacing w:line="340" w:lineRule="exact"/>
        <w:ind w:firstLine="420"/>
        <w:textAlignment w:val="baseline"/>
        <w:rPr>
          <w:rFonts w:ascii="Times New Roman" w:hAnsi="Times New Roman" w:eastAsia="宋体" w:cs="Times New Roman"/>
          <w:sz w:val="21"/>
        </w:rPr>
      </w:pPr>
      <w:r>
        <w:rPr>
          <w:rFonts w:hint="eastAsia" w:ascii="仿宋" w:hAnsi="仿宋" w:eastAsia="仿宋" w:cs="Times New Roman"/>
          <w:b/>
          <w:sz w:val="28"/>
          <w:szCs w:val="28"/>
        </w:rPr>
        <w:t>第800章 管理养护设施</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5"/>
        <w:gridCol w:w="1627"/>
        <w:gridCol w:w="815"/>
        <w:gridCol w:w="3300"/>
        <w:gridCol w:w="2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清单子目编码</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清单子目名称</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单位</w:t>
            </w:r>
          </w:p>
        </w:tc>
        <w:tc>
          <w:tcPr>
            <w:tcW w:w="3499" w:type="dxa"/>
            <w:noWrap w:val="0"/>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
                <w:kern w:val="0"/>
                <w:sz w:val="21"/>
                <w:szCs w:val="21"/>
              </w:rPr>
            </w:pPr>
            <w:r>
              <w:rPr>
                <w:rFonts w:hint="eastAsia" w:ascii="宋体" w:hAnsi="Times New Roman" w:eastAsia="宋体" w:cs="宋体"/>
                <w:kern w:val="0"/>
                <w:sz w:val="21"/>
                <w:szCs w:val="21"/>
              </w:rPr>
              <w:t>工程量计量</w:t>
            </w:r>
          </w:p>
        </w:tc>
        <w:tc>
          <w:tcPr>
            <w:tcW w:w="25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rPr>
            </w:pPr>
            <w:r>
              <w:rPr>
                <w:rFonts w:hint="eastAsia" w:ascii="宋体" w:hAnsi="Times New Roman" w:eastAsia="宋体" w:cs="宋体"/>
                <w:kern w:val="0"/>
                <w:sz w:val="21"/>
                <w:szCs w:val="21"/>
              </w:rPr>
              <w:t>工程内容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color w:val="000000"/>
                <w:sz w:val="18"/>
                <w:szCs w:val="18"/>
              </w:rPr>
            </w:pPr>
            <w:r>
              <w:rPr>
                <w:rFonts w:hint="eastAsia" w:ascii="smartSimSun" w:hAnsi="smartSimSun" w:eastAsia="smartSimSun" w:cs="Times New Roman"/>
                <w:color w:val="000000"/>
                <w:sz w:val="18"/>
                <w:szCs w:val="18"/>
              </w:rPr>
              <w:t>807</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供配电照明系统</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c>
          <w:tcPr>
            <w:tcW w:w="25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807-8</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路灯</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c>
          <w:tcPr>
            <w:tcW w:w="25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807-8-1</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道路杆灯</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SimSun-Identity-H" w:hAnsi="Times New Roman" w:eastAsia="SimSun-Identity-H" w:cs="SimSun-Identity-H"/>
                <w:kern w:val="0"/>
                <w:sz w:val="18"/>
                <w:szCs w:val="18"/>
              </w:rPr>
            </w:pPr>
          </w:p>
        </w:tc>
        <w:tc>
          <w:tcPr>
            <w:tcW w:w="25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Times New Roman"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807-8-1-1</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eastAsia" w:ascii="smartSimSun" w:hAnsi="smartSimSun" w:eastAsia="smartSimSun" w:cs="Times New Roman"/>
                <w:sz w:val="18"/>
                <w:szCs w:val="18"/>
              </w:rPr>
              <w:t>12m杆路灯(含灯杆反光膜,管线)</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套</w:t>
            </w:r>
          </w:p>
        </w:tc>
        <w:tc>
          <w:tcPr>
            <w:tcW w:w="3499"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SimSun-Identity-H" w:hAnsi="Times New Roman" w:eastAsia="SimSun-Identity-H" w:cs="SimSun-Identity-H"/>
                <w:kern w:val="0"/>
                <w:sz w:val="18"/>
                <w:szCs w:val="18"/>
              </w:rPr>
            </w:pPr>
            <w:r>
              <w:rPr>
                <w:rFonts w:hint="default" w:ascii="宋体" w:hAnsi="宋体" w:eastAsia="宋体" w:cs="宋体"/>
                <w:spacing w:val="7"/>
                <w:sz w:val="18"/>
                <w:szCs w:val="18"/>
              </w:rPr>
              <w:t xml:space="preserve">依据图示位置及规格，以 </w:t>
            </w:r>
            <w:r>
              <w:rPr>
                <w:rFonts w:hint="default" w:ascii="宋体" w:hAnsi="宋体" w:eastAsia="宋体" w:cs="宋体"/>
                <w:sz w:val="18"/>
                <w:szCs w:val="18"/>
              </w:rPr>
              <w:t>套为单位计量</w:t>
            </w:r>
          </w:p>
        </w:tc>
        <w:tc>
          <w:tcPr>
            <w:tcW w:w="2599" w:type="dxa"/>
            <w:noWrap w:val="0"/>
            <w:vAlign w:val="center"/>
          </w:tcPr>
          <w:p>
            <w:pPr>
              <w:keepNext w:val="0"/>
              <w:keepLines w:val="0"/>
              <w:widowControl w:val="0"/>
              <w:suppressLineNumbers w:val="0"/>
              <w:autoSpaceDE w:val="0"/>
              <w:autoSpaceDN w:val="0"/>
              <w:adjustRightInd w:val="0"/>
              <w:spacing w:before="7" w:beforeAutospacing="0" w:after="0" w:afterAutospacing="0" w:line="318" w:lineRule="auto"/>
              <w:ind w:left="210" w:right="186"/>
              <w:jc w:val="left"/>
              <w:rPr>
                <w:rFonts w:hint="default" w:ascii="宋体" w:hAnsi="宋体" w:eastAsia="宋体" w:cs="宋体"/>
                <w:kern w:val="0"/>
                <w:sz w:val="18"/>
                <w:szCs w:val="18"/>
                <w:lang w:val="en-US" w:eastAsia="zh-CN" w:bidi="ar-SA"/>
              </w:rPr>
            </w:pPr>
            <w:r>
              <w:rPr>
                <w:rFonts w:hint="default" w:ascii="宋体" w:hAnsi="宋体" w:eastAsia="宋体" w:cs="宋体"/>
                <w:spacing w:val="6"/>
                <w:kern w:val="0"/>
                <w:sz w:val="18"/>
                <w:szCs w:val="18"/>
                <w:lang w:val="en-US" w:eastAsia="zh-CN" w:bidi="ar-SA"/>
              </w:rPr>
              <w:t>1.灯杆基础开挖、浇筑、</w:t>
            </w:r>
            <w:r>
              <w:rPr>
                <w:rFonts w:hint="default" w:ascii="宋体" w:hAnsi="宋体" w:eastAsia="宋体" w:cs="宋体"/>
                <w:kern w:val="0"/>
                <w:sz w:val="18"/>
                <w:szCs w:val="18"/>
                <w:lang w:val="en-US" w:eastAsia="zh-CN" w:bidi="ar-SA"/>
              </w:rPr>
              <w:t xml:space="preserve">预埋件 2.灯杆安装 3.灯架及灯具安装、调试 4.附属材料 5.管内穿线 </w:t>
            </w:r>
            <w:r>
              <w:rPr>
                <w:rFonts w:hint="default" w:ascii="宋体" w:hAnsi="宋体" w:eastAsia="宋体" w:cs="宋体"/>
                <w:spacing w:val="-1"/>
                <w:kern w:val="0"/>
                <w:sz w:val="18"/>
                <w:szCs w:val="18"/>
                <w:lang w:val="en-US" w:eastAsia="zh-CN" w:bidi="ar-SA"/>
              </w:rPr>
              <w:t>6.接地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807-8-1-2</w:t>
            </w:r>
          </w:p>
        </w:tc>
        <w:tc>
          <w:tcPr>
            <w:tcW w:w="168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r>
              <w:rPr>
                <w:rFonts w:hint="eastAsia" w:ascii="smartSimSun" w:hAnsi="smartSimSun" w:eastAsia="smartSimSun" w:cs="Times New Roman"/>
                <w:sz w:val="18"/>
                <w:szCs w:val="18"/>
              </w:rPr>
              <w:t>200WLED路灯灯泡更换</w:t>
            </w:r>
          </w:p>
        </w:tc>
        <w:tc>
          <w:tcPr>
            <w:tcW w:w="844" w:type="dxa"/>
            <w:noWrap w:val="0"/>
            <w:vAlign w:val="center"/>
          </w:tcPr>
          <w:p>
            <w:pPr>
              <w:keepNext w:val="0"/>
              <w:keepLines w:val="0"/>
              <w:suppressLineNumbers w:val="0"/>
              <w:spacing w:before="0" w:beforeAutospacing="0" w:after="0" w:afterAutospacing="0"/>
              <w:ind w:left="0" w:right="0"/>
              <w:jc w:val="center"/>
              <w:rPr>
                <w:rFonts w:hint="default" w:ascii="smartSimSun" w:hAnsi="smartSimSun" w:eastAsia="smartSimSun" w:cs="Times New Roman"/>
                <w:sz w:val="18"/>
                <w:szCs w:val="18"/>
              </w:rPr>
            </w:pPr>
            <w:r>
              <w:rPr>
                <w:rFonts w:hint="eastAsia" w:ascii="smartSimSun" w:hAnsi="smartSimSun" w:eastAsia="smartSimSun" w:cs="Times New Roman"/>
                <w:sz w:val="18"/>
                <w:szCs w:val="18"/>
              </w:rPr>
              <w:t>套</w:t>
            </w:r>
          </w:p>
        </w:tc>
        <w:tc>
          <w:tcPr>
            <w:tcW w:w="3499"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rPr>
            </w:pPr>
            <w:r>
              <w:rPr>
                <w:rFonts w:hint="default" w:ascii="宋体" w:hAnsi="宋体" w:eastAsia="宋体" w:cs="宋体"/>
                <w:spacing w:val="7"/>
                <w:sz w:val="18"/>
                <w:szCs w:val="18"/>
              </w:rPr>
              <w:t xml:space="preserve">依据图示位置及规格，以 </w:t>
            </w:r>
            <w:r>
              <w:rPr>
                <w:rFonts w:hint="default" w:ascii="宋体" w:hAnsi="宋体" w:eastAsia="宋体" w:cs="宋体"/>
                <w:sz w:val="18"/>
                <w:szCs w:val="18"/>
              </w:rPr>
              <w:t>套为单位计量</w:t>
            </w:r>
          </w:p>
        </w:tc>
        <w:tc>
          <w:tcPr>
            <w:tcW w:w="259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1.原灯头拆除，检查线路，更换损坏物件，</w:t>
            </w:r>
            <w:r>
              <w:rPr>
                <w:rFonts w:hint="default" w:ascii="宋体" w:hAnsi="宋体" w:eastAsia="宋体" w:cs="宋体"/>
                <w:sz w:val="18"/>
                <w:szCs w:val="18"/>
              </w:rPr>
              <w:t>灯具安装、调试</w:t>
            </w:r>
          </w:p>
        </w:tc>
      </w:tr>
    </w:tbl>
    <w:p>
      <w:pPr>
        <w:snapToGrid w:val="0"/>
        <w:spacing w:line="320" w:lineRule="exact"/>
        <w:ind w:firstLine="396"/>
        <w:rPr>
          <w:rFonts w:hint="eastAsia" w:ascii="Times New Roman" w:hAnsi="Times New Roman" w:eastAsia="宋体" w:cs="Times New Roman"/>
          <w:sz w:val="21"/>
        </w:rPr>
      </w:pPr>
    </w:p>
    <w:p>
      <w:pPr>
        <w:rPr>
          <w:rFonts w:hint="eastAsia"/>
          <w:b/>
          <w:color w:val="auto"/>
          <w:sz w:val="32"/>
          <w:szCs w:val="32"/>
          <w:highlight w:val="none"/>
        </w:rPr>
      </w:pPr>
    </w:p>
    <w:p>
      <w:pPr>
        <w:rPr>
          <w:rFonts w:hint="eastAsia"/>
          <w:b/>
          <w:color w:val="auto"/>
          <w:sz w:val="32"/>
          <w:szCs w:val="32"/>
          <w:highlight w:val="none"/>
        </w:rPr>
      </w:pPr>
      <w:r>
        <w:rPr>
          <w:rFonts w:hint="eastAsia"/>
          <w:b/>
          <w:color w:val="auto"/>
          <w:sz w:val="32"/>
          <w:szCs w:val="32"/>
          <w:highlight w:val="none"/>
        </w:rPr>
        <w:br w:type="page"/>
      </w:r>
    </w:p>
    <w:p>
      <w:pPr>
        <w:widowControl/>
        <w:snapToGrid w:val="0"/>
        <w:spacing w:line="400" w:lineRule="exact"/>
        <w:jc w:val="center"/>
        <w:rPr>
          <w:rFonts w:hint="eastAsia" w:ascii="宋体"/>
          <w:color w:val="auto"/>
          <w:sz w:val="32"/>
          <w:szCs w:val="32"/>
          <w:highlight w:val="none"/>
        </w:rPr>
      </w:pPr>
      <w:r>
        <w:rPr>
          <w:rFonts w:hint="eastAsia"/>
          <w:b/>
          <w:color w:val="auto"/>
          <w:sz w:val="32"/>
          <w:szCs w:val="32"/>
          <w:highlight w:val="none"/>
        </w:rPr>
        <w:t xml:space="preserve">第三部分 </w:t>
      </w:r>
      <w:bookmarkEnd w:id="28"/>
      <w:bookmarkStart w:id="74" w:name="_Toc257923936"/>
      <w:r>
        <w:rPr>
          <w:rFonts w:hint="eastAsia"/>
          <w:b/>
          <w:color w:val="auto"/>
          <w:sz w:val="32"/>
          <w:szCs w:val="32"/>
          <w:highlight w:val="none"/>
        </w:rPr>
        <w:t>磋商须知</w:t>
      </w:r>
    </w:p>
    <w:p>
      <w:pPr>
        <w:adjustRightInd w:val="0"/>
        <w:snapToGrid w:val="0"/>
        <w:jc w:val="center"/>
        <w:outlineLvl w:val="0"/>
        <w:rPr>
          <w:rFonts w:hint="eastAsia"/>
          <w:b/>
          <w:color w:val="auto"/>
          <w:sz w:val="32"/>
          <w:szCs w:val="32"/>
          <w:highlight w:val="none"/>
        </w:rPr>
      </w:pPr>
      <w:bookmarkStart w:id="75" w:name="_Toc302983094"/>
      <w:bookmarkStart w:id="76" w:name="_Toc306901445"/>
      <w:bookmarkStart w:id="77" w:name="_Toc283973075"/>
      <w:r>
        <w:rPr>
          <w:rFonts w:hint="eastAsia"/>
          <w:b/>
          <w:color w:val="auto"/>
          <w:sz w:val="32"/>
          <w:szCs w:val="32"/>
          <w:highlight w:val="none"/>
        </w:rPr>
        <w:t xml:space="preserve"> 前附表</w:t>
      </w:r>
      <w:bookmarkEnd w:id="74"/>
      <w:bookmarkEnd w:id="75"/>
      <w:bookmarkEnd w:id="76"/>
      <w:bookmarkEnd w:id="77"/>
    </w:p>
    <w:tbl>
      <w:tblPr>
        <w:tblStyle w:val="24"/>
        <w:tblW w:w="966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19"/>
        <w:gridCol w:w="690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738"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2019"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firstLine="210" w:firstLineChars="100"/>
              <w:jc w:val="center"/>
              <w:textAlignment w:val="auto"/>
              <w:rPr>
                <w:rFonts w:hint="eastAsia" w:ascii="宋体" w:hAnsi="宋体"/>
                <w:b/>
                <w:color w:val="auto"/>
                <w:sz w:val="21"/>
                <w:szCs w:val="21"/>
                <w:highlight w:val="none"/>
              </w:rPr>
            </w:pPr>
            <w:r>
              <w:rPr>
                <w:rFonts w:hint="eastAsia" w:ascii="宋体" w:hAnsi="宋体"/>
                <w:b/>
                <w:color w:val="auto"/>
                <w:sz w:val="21"/>
                <w:szCs w:val="21"/>
                <w:highlight w:val="none"/>
              </w:rPr>
              <w:t>项   目</w:t>
            </w:r>
          </w:p>
        </w:tc>
        <w:tc>
          <w:tcPr>
            <w:tcW w:w="6906"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b/>
                <w:color w:val="auto"/>
                <w:sz w:val="21"/>
                <w:szCs w:val="21"/>
                <w:highlight w:val="none"/>
              </w:rPr>
            </w:pPr>
            <w:r>
              <w:rPr>
                <w:rFonts w:hint="eastAsia" w:ascii="宋体" w:hAnsi="宋体"/>
                <w:b/>
                <w:color w:val="auto"/>
                <w:sz w:val="21"/>
                <w:szCs w:val="21"/>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color w:val="auto"/>
                <w:sz w:val="24"/>
                <w:highlight w:val="none"/>
              </w:rPr>
            </w:pPr>
            <w:r>
              <w:rPr>
                <w:rFonts w:hint="eastAsia" w:ascii="宋体" w:hAnsi="宋体"/>
                <w:color w:val="auto"/>
                <w:sz w:val="24"/>
                <w:highlight w:val="none"/>
              </w:rPr>
              <w:t>1</w:t>
            </w:r>
          </w:p>
        </w:tc>
        <w:tc>
          <w:tcPr>
            <w:tcW w:w="2019"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bCs/>
                <w:color w:val="auto"/>
                <w:sz w:val="21"/>
                <w:szCs w:val="21"/>
                <w:highlight w:val="none"/>
              </w:rPr>
            </w:pPr>
            <w:r>
              <w:rPr>
                <w:rFonts w:hint="eastAsia" w:ascii="宋体" w:hAnsi="宋体"/>
                <w:bCs/>
                <w:color w:val="auto"/>
                <w:sz w:val="21"/>
                <w:szCs w:val="21"/>
                <w:highlight w:val="none"/>
              </w:rPr>
              <w:t>项目名称</w:t>
            </w:r>
          </w:p>
        </w:tc>
        <w:tc>
          <w:tcPr>
            <w:tcW w:w="6906"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4" w:leftChars="-1" w:right="0" w:firstLine="2" w:firstLineChars="1"/>
              <w:textAlignment w:val="auto"/>
              <w:rPr>
                <w:rFonts w:hint="eastAsia"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2024年省级挂牌治理道路交通事故多发点段（S322临石线K71+600永安路口）整治工程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color w:val="auto"/>
                <w:sz w:val="24"/>
                <w:highlight w:val="none"/>
              </w:rPr>
            </w:pPr>
            <w:r>
              <w:rPr>
                <w:rFonts w:hint="eastAsia" w:ascii="宋体" w:hAnsi="宋体"/>
                <w:color w:val="auto"/>
                <w:sz w:val="24"/>
                <w:highlight w:val="none"/>
              </w:rPr>
              <w:t>2</w:t>
            </w:r>
          </w:p>
        </w:tc>
        <w:tc>
          <w:tcPr>
            <w:tcW w:w="2019"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bCs/>
                <w:color w:val="auto"/>
                <w:sz w:val="21"/>
                <w:szCs w:val="21"/>
                <w:highlight w:val="none"/>
              </w:rPr>
            </w:pPr>
            <w:r>
              <w:rPr>
                <w:rFonts w:hint="eastAsia" w:ascii="宋体" w:hAnsi="宋体"/>
                <w:bCs/>
                <w:color w:val="auto"/>
                <w:sz w:val="21"/>
                <w:szCs w:val="21"/>
                <w:highlight w:val="none"/>
                <w:lang w:eastAsia="zh-CN"/>
              </w:rPr>
              <w:t>采购</w:t>
            </w:r>
            <w:r>
              <w:rPr>
                <w:rFonts w:hint="eastAsia" w:ascii="宋体" w:hAnsi="宋体"/>
                <w:bCs/>
                <w:color w:val="auto"/>
                <w:sz w:val="21"/>
                <w:szCs w:val="21"/>
                <w:highlight w:val="none"/>
              </w:rPr>
              <w:t>内容</w:t>
            </w:r>
          </w:p>
        </w:tc>
        <w:tc>
          <w:tcPr>
            <w:tcW w:w="6906"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4" w:leftChars="-1" w:right="0" w:firstLine="2" w:firstLineChars="1"/>
              <w:textAlignment w:val="auto"/>
              <w:rPr>
                <w:rFonts w:hint="eastAsia" w:ascii="宋体" w:hAnsi="宋体"/>
                <w:bCs/>
                <w:color w:val="auto"/>
                <w:sz w:val="21"/>
                <w:szCs w:val="21"/>
                <w:highlight w:val="none"/>
              </w:rPr>
            </w:pPr>
            <w:r>
              <w:rPr>
                <w:rFonts w:hint="eastAsia" w:ascii="宋体" w:hAnsi="宋体"/>
                <w:bCs/>
                <w:color w:val="auto"/>
                <w:sz w:val="21"/>
                <w:szCs w:val="21"/>
                <w:highlight w:val="none"/>
              </w:rPr>
              <w:t>详见</w:t>
            </w:r>
            <w:r>
              <w:rPr>
                <w:rFonts w:hint="eastAsia" w:ascii="宋体" w:hAnsi="宋体" w:eastAsia="宋体"/>
                <w:bCs/>
                <w:color w:val="auto"/>
                <w:sz w:val="21"/>
                <w:szCs w:val="21"/>
                <w:highlight w:val="none"/>
                <w:lang w:val="en-US" w:eastAsia="zh-CN"/>
              </w:rPr>
              <w:t>本采购文件</w:t>
            </w:r>
            <w:r>
              <w:rPr>
                <w:rFonts w:hint="eastAsia" w:ascii="宋体" w:hAnsi="宋体"/>
                <w:bCs/>
                <w:color w:val="auto"/>
                <w:sz w:val="21"/>
                <w:szCs w:val="21"/>
                <w:highlight w:val="none"/>
              </w:rPr>
              <w:t>“第二部分采购需求”内容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color w:val="auto"/>
                <w:sz w:val="24"/>
                <w:highlight w:val="none"/>
              </w:rPr>
            </w:pPr>
            <w:r>
              <w:rPr>
                <w:rFonts w:hint="eastAsia" w:ascii="宋体" w:hAnsi="宋体"/>
                <w:color w:val="auto"/>
                <w:sz w:val="24"/>
                <w:highlight w:val="none"/>
              </w:rPr>
              <w:t>3</w:t>
            </w:r>
          </w:p>
        </w:tc>
        <w:tc>
          <w:tcPr>
            <w:tcW w:w="2019"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bCs/>
                <w:color w:val="auto"/>
                <w:sz w:val="21"/>
                <w:szCs w:val="21"/>
                <w:highlight w:val="none"/>
              </w:rPr>
            </w:pPr>
            <w:r>
              <w:rPr>
                <w:rFonts w:hint="eastAsia" w:ascii="宋体" w:hAnsi="宋体"/>
                <w:bCs/>
                <w:color w:val="auto"/>
                <w:sz w:val="21"/>
                <w:szCs w:val="21"/>
                <w:highlight w:val="none"/>
                <w:lang w:eastAsia="zh-CN"/>
              </w:rPr>
              <w:t>采购</w:t>
            </w:r>
            <w:r>
              <w:rPr>
                <w:rFonts w:hint="eastAsia" w:ascii="宋体" w:hAnsi="宋体"/>
                <w:bCs/>
                <w:color w:val="auto"/>
                <w:sz w:val="21"/>
                <w:szCs w:val="21"/>
                <w:highlight w:val="none"/>
              </w:rPr>
              <w:t>方式</w:t>
            </w:r>
          </w:p>
        </w:tc>
        <w:tc>
          <w:tcPr>
            <w:tcW w:w="6906"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eastAsia" w:ascii="宋体" w:hAnsi="宋体" w:eastAsia="宋体"/>
                <w:bCs/>
                <w:color w:val="auto"/>
                <w:sz w:val="21"/>
                <w:szCs w:val="21"/>
                <w:highlight w:val="none"/>
                <w:lang w:eastAsia="zh-CN"/>
              </w:rPr>
            </w:pPr>
            <w:r>
              <w:rPr>
                <w:rFonts w:hint="eastAsia" w:ascii="宋体" w:hAnsi="宋体"/>
                <w:bCs/>
                <w:color w:val="auto"/>
                <w:sz w:val="21"/>
                <w:szCs w:val="21"/>
                <w:highlight w:val="none"/>
                <w:lang w:eastAsia="zh-CN"/>
              </w:rPr>
              <w:t>竞争性磋商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738"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color w:val="auto"/>
                <w:sz w:val="24"/>
                <w:highlight w:val="none"/>
              </w:rPr>
            </w:pPr>
            <w:r>
              <w:rPr>
                <w:rFonts w:hint="eastAsia" w:ascii="宋体" w:hAnsi="宋体"/>
                <w:color w:val="auto"/>
                <w:sz w:val="24"/>
                <w:highlight w:val="none"/>
              </w:rPr>
              <w:t>4</w:t>
            </w:r>
          </w:p>
        </w:tc>
        <w:tc>
          <w:tcPr>
            <w:tcW w:w="2019"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bCs/>
                <w:color w:val="auto"/>
                <w:sz w:val="21"/>
                <w:szCs w:val="21"/>
                <w:highlight w:val="none"/>
              </w:rPr>
            </w:pPr>
            <w:r>
              <w:rPr>
                <w:rFonts w:hint="eastAsia" w:ascii="宋体" w:hAnsi="宋体"/>
                <w:bCs/>
                <w:color w:val="auto"/>
                <w:sz w:val="21"/>
                <w:szCs w:val="21"/>
                <w:highlight w:val="none"/>
              </w:rPr>
              <w:t>服务期限</w:t>
            </w:r>
          </w:p>
        </w:tc>
        <w:tc>
          <w:tcPr>
            <w:tcW w:w="6906"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4" w:leftChars="-1" w:right="0" w:firstLine="2" w:firstLineChars="1"/>
              <w:textAlignment w:val="auto"/>
              <w:rPr>
                <w:rFonts w:hint="eastAsia" w:ascii="宋体" w:hAnsi="宋体" w:eastAsia="宋体"/>
                <w:bCs/>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不超过60日历天 </w:t>
            </w:r>
            <w:r>
              <w:rPr>
                <w:rFonts w:hint="eastAsia" w:ascii="宋体" w:hAnsi="宋体" w:eastAsia="宋体" w:cs="宋体"/>
                <w:color w:val="auto"/>
                <w:sz w:val="21"/>
                <w:szCs w:val="21"/>
                <w:highlight w:val="none"/>
              </w:rPr>
              <w:t>（具体开工日期由</w:t>
            </w:r>
            <w:r>
              <w:rPr>
                <w:rFonts w:hint="eastAsia" w:ascii="宋体" w:hAnsi="宋体" w:eastAsia="宋体" w:cs="宋体"/>
                <w:color w:val="auto"/>
                <w:sz w:val="21"/>
                <w:szCs w:val="21"/>
                <w:highlight w:val="none"/>
                <w:lang w:eastAsia="zh-CN"/>
              </w:rPr>
              <w:t>发包人</w:t>
            </w:r>
            <w:r>
              <w:rPr>
                <w:rFonts w:hint="eastAsia" w:ascii="宋体" w:hAnsi="宋体" w:eastAsia="宋体" w:cs="宋体"/>
                <w:color w:val="auto"/>
                <w:sz w:val="21"/>
                <w:szCs w:val="21"/>
                <w:highlight w:val="none"/>
              </w:rPr>
              <w:t>确定）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38"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5</w:t>
            </w:r>
          </w:p>
        </w:tc>
        <w:tc>
          <w:tcPr>
            <w:tcW w:w="2019"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bCs/>
                <w:color w:val="auto"/>
                <w:sz w:val="21"/>
                <w:szCs w:val="21"/>
                <w:highlight w:val="none"/>
              </w:rPr>
            </w:pPr>
            <w:r>
              <w:rPr>
                <w:rFonts w:hint="eastAsia" w:ascii="宋体" w:hAnsi="宋体"/>
                <w:bCs/>
                <w:color w:val="auto"/>
                <w:sz w:val="21"/>
                <w:szCs w:val="21"/>
                <w:highlight w:val="none"/>
              </w:rPr>
              <w:t>评标办法</w:t>
            </w:r>
          </w:p>
        </w:tc>
        <w:tc>
          <w:tcPr>
            <w:tcW w:w="6906"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color w:val="auto"/>
                <w:sz w:val="21"/>
                <w:szCs w:val="21"/>
                <w:highlight w:val="none"/>
              </w:rPr>
            </w:pPr>
            <w:r>
              <w:rPr>
                <w:rFonts w:hint="eastAsia" w:ascii="宋体" w:hAnsi="宋体" w:cs="Arial"/>
                <w:bCs/>
                <w:color w:val="auto"/>
                <w:kern w:val="0"/>
                <w:sz w:val="21"/>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738"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p>
        </w:tc>
        <w:tc>
          <w:tcPr>
            <w:tcW w:w="2019"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bCs/>
                <w:color w:val="auto"/>
                <w:sz w:val="21"/>
                <w:szCs w:val="21"/>
                <w:highlight w:val="none"/>
              </w:rPr>
            </w:pPr>
            <w:r>
              <w:rPr>
                <w:rFonts w:hint="eastAsia" w:ascii="宋体" w:hAnsi="宋体"/>
                <w:bCs/>
                <w:color w:val="auto"/>
                <w:sz w:val="21"/>
                <w:szCs w:val="21"/>
                <w:highlight w:val="none"/>
              </w:rPr>
              <w:t>磋商响应文件有效期</w:t>
            </w:r>
          </w:p>
        </w:tc>
        <w:tc>
          <w:tcPr>
            <w:tcW w:w="6906" w:type="dxa"/>
            <w:noWrap w:val="0"/>
            <w:vAlign w:val="center"/>
          </w:tcPr>
          <w:p>
            <w:pPr>
              <w:pStyle w:val="20"/>
              <w:keepNext w:val="0"/>
              <w:keepLines w:val="0"/>
              <w:pageBreakBefore w:val="0"/>
              <w:suppressLineNumbers w:val="0"/>
              <w:kinsoku/>
              <w:wordWrap/>
              <w:overflowPunct/>
              <w:topLinePunct w:val="0"/>
              <w:bidi w:val="0"/>
              <w:snapToGrid w:val="0"/>
              <w:spacing w:line="300" w:lineRule="exact"/>
              <w:ind w:left="0" w:right="0"/>
              <w:textAlignment w:val="auto"/>
              <w:rPr>
                <w:bCs/>
                <w:color w:val="auto"/>
                <w:sz w:val="21"/>
                <w:szCs w:val="21"/>
                <w:highlight w:val="none"/>
              </w:rPr>
            </w:pPr>
            <w:r>
              <w:rPr>
                <w:rFonts w:hint="eastAsia"/>
                <w:bCs/>
                <w:color w:val="auto"/>
                <w:sz w:val="21"/>
                <w:szCs w:val="21"/>
                <w:highlight w:val="none"/>
              </w:rPr>
              <w:t>磋商响应有效期为90天，磋商响应有效期从提交磋商响应文件的截止之日起算。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w:t>
            </w:r>
          </w:p>
        </w:tc>
        <w:tc>
          <w:tcPr>
            <w:tcW w:w="2019"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bCs/>
                <w:color w:val="auto"/>
                <w:sz w:val="21"/>
                <w:szCs w:val="21"/>
                <w:highlight w:val="none"/>
              </w:rPr>
            </w:pPr>
            <w:r>
              <w:rPr>
                <w:rFonts w:hint="eastAsia" w:ascii="宋体" w:hAnsi="宋体"/>
                <w:bCs/>
                <w:color w:val="auto"/>
                <w:sz w:val="21"/>
                <w:szCs w:val="21"/>
                <w:highlight w:val="none"/>
              </w:rPr>
              <w:t>履约保证金</w:t>
            </w:r>
          </w:p>
        </w:tc>
        <w:tc>
          <w:tcPr>
            <w:tcW w:w="6906"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本项目履约保证金为合同</w:t>
            </w:r>
            <w:r>
              <w:rPr>
                <w:rFonts w:hint="eastAsia" w:ascii="宋体" w:hAnsi="宋体" w:eastAsia="宋体"/>
                <w:color w:val="auto"/>
                <w:sz w:val="21"/>
                <w:szCs w:val="21"/>
                <w:highlight w:val="none"/>
                <w:lang w:val="en-US" w:eastAsia="zh-CN"/>
              </w:rPr>
              <w:t>价</w:t>
            </w:r>
            <w:r>
              <w:rPr>
                <w:rFonts w:hint="eastAsia" w:ascii="宋体" w:hAnsi="宋体"/>
                <w:color w:val="auto"/>
                <w:sz w:val="21"/>
                <w:szCs w:val="21"/>
                <w:highlight w:val="none"/>
              </w:rPr>
              <w:t>的</w:t>
            </w:r>
            <w:r>
              <w:rPr>
                <w:rFonts w:hint="eastAsia" w:ascii="宋体" w:hAnsi="宋体" w:eastAsia="宋体"/>
                <w:color w:val="auto"/>
                <w:sz w:val="21"/>
                <w:szCs w:val="21"/>
                <w:highlight w:val="none"/>
                <w:lang w:val="en-US" w:eastAsia="zh-CN"/>
              </w:rPr>
              <w:t>1</w:t>
            </w:r>
            <w:r>
              <w:rPr>
                <w:rFonts w:hint="eastAsia" w:ascii="宋体" w:hAnsi="宋体"/>
                <w:color w:val="auto"/>
                <w:sz w:val="21"/>
                <w:szCs w:val="21"/>
                <w:highlight w:val="none"/>
              </w:rPr>
              <w:t>%</w:t>
            </w:r>
            <w:r>
              <w:rPr>
                <w:rFonts w:hint="eastAsia" w:ascii="宋体" w:hAnsi="宋体"/>
                <w:color w:val="auto"/>
                <w:sz w:val="21"/>
                <w:szCs w:val="21"/>
                <w:highlight w:val="none"/>
                <w:lang w:eastAsia="zh-CN"/>
              </w:rPr>
              <w:t>。</w:t>
            </w:r>
          </w:p>
          <w:p>
            <w:pPr>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鼓励供应商开展政采贷、履约保函等政府采购金融服务，供应商以银行、保险公司、融资担保公司出具保函形式提交履约保证金的，采购单位不得拒收</w:t>
            </w:r>
            <w:r>
              <w:rPr>
                <w:rFonts w:hint="eastAsia" w:ascii="宋体" w:hAnsi="宋体" w:eastAsia="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71" w:hRule="atLeast"/>
        </w:trPr>
        <w:tc>
          <w:tcPr>
            <w:tcW w:w="738"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8</w:t>
            </w:r>
          </w:p>
        </w:tc>
        <w:tc>
          <w:tcPr>
            <w:tcW w:w="2019"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eastAsia="宋体"/>
                <w:color w:val="auto"/>
                <w:kern w:val="2"/>
                <w:sz w:val="21"/>
                <w:szCs w:val="21"/>
                <w:highlight w:val="none"/>
                <w:lang w:val="en-US" w:eastAsia="zh-CN" w:bidi="ar-SA"/>
              </w:rPr>
            </w:pP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文件</w:t>
            </w:r>
            <w:r>
              <w:rPr>
                <w:rFonts w:hint="eastAsia" w:ascii="宋体" w:hAnsi="宋体"/>
                <w:color w:val="auto"/>
                <w:sz w:val="21"/>
                <w:szCs w:val="21"/>
                <w:highlight w:val="none"/>
                <w:lang w:eastAsia="zh-CN"/>
              </w:rPr>
              <w:t>要求</w:t>
            </w:r>
          </w:p>
        </w:tc>
        <w:tc>
          <w:tcPr>
            <w:tcW w:w="6906"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eastAsia"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 xml:space="preserve">（1）“电子加密响应文件”：在线上传递交一份。 </w:t>
            </w:r>
          </w:p>
          <w:p>
            <w:pPr>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eastAsia" w:ascii="宋体" w:hAnsi="宋体" w:cs="Times New Roman"/>
                <w:color w:val="auto"/>
                <w:kern w:val="2"/>
                <w:sz w:val="21"/>
                <w:szCs w:val="21"/>
                <w:highlight w:val="none"/>
                <w:lang w:val="en-US" w:eastAsia="zh-CN" w:bidi="ar-SA"/>
              </w:rPr>
            </w:pPr>
            <w:r>
              <w:rPr>
                <w:rFonts w:hint="eastAsia" w:ascii="宋体" w:hAnsi="宋体" w:cs="Times New Roman"/>
                <w:color w:val="auto"/>
                <w:sz w:val="21"/>
                <w:szCs w:val="21"/>
                <w:highlight w:val="none"/>
                <w:lang w:val="en-US" w:eastAsia="zh-CN"/>
              </w:rPr>
              <w:t>（2）</w:t>
            </w:r>
            <w:r>
              <w:rPr>
                <w:rFonts w:hint="eastAsia" w:ascii="宋体" w:hAnsi="宋体" w:cs="Times New Roman"/>
                <w:b/>
                <w:bCs/>
                <w:color w:val="auto"/>
                <w:sz w:val="21"/>
                <w:szCs w:val="21"/>
                <w:highlight w:val="none"/>
                <w:lang w:val="en-US" w:eastAsia="zh-CN"/>
              </w:rPr>
              <w:t>“备份响应文件”（如有）：</w:t>
            </w:r>
            <w:r>
              <w:rPr>
                <w:rFonts w:hint="eastAsia" w:ascii="宋体" w:hAnsi="宋体" w:eastAsia="Calibri" w:cs="Times New Roman"/>
                <w:color w:val="auto"/>
                <w:kern w:val="2"/>
                <w:sz w:val="21"/>
                <w:szCs w:val="21"/>
                <w:highlight w:val="none"/>
                <w:lang w:val="en-US" w:eastAsia="zh-CN" w:bidi="ar-SA"/>
              </w:rPr>
              <w:t>政采云平台上最后生成的具备电子签章的备份响应文件，文件名后缀为备份</w:t>
            </w:r>
            <w:r>
              <w:rPr>
                <w:rFonts w:hint="eastAsia" w:ascii="宋体" w:hAnsi="宋体" w:cs="Times New Roman"/>
                <w:color w:val="auto"/>
                <w:kern w:val="2"/>
                <w:sz w:val="21"/>
                <w:szCs w:val="21"/>
                <w:highlight w:val="none"/>
                <w:lang w:val="en-US" w:eastAsia="zh-CN" w:bidi="ar-SA"/>
              </w:rPr>
              <w:t>标书</w:t>
            </w:r>
            <w:r>
              <w:rPr>
                <w:rFonts w:hint="eastAsia" w:ascii="宋体" w:hAnsi="宋体" w:eastAsia="Calibri" w:cs="Times New Roman"/>
                <w:color w:val="auto"/>
                <w:kern w:val="2"/>
                <w:sz w:val="21"/>
                <w:szCs w:val="21"/>
                <w:highlight w:val="none"/>
                <w:lang w:val="en-US" w:eastAsia="zh-CN" w:bidi="ar-SA"/>
              </w:rPr>
              <w:t>四字的首字母）</w:t>
            </w:r>
            <w:r>
              <w:rPr>
                <w:rFonts w:hint="eastAsia" w:ascii="宋体" w:hAnsi="宋体" w:cs="Times New Roman"/>
                <w:color w:val="auto"/>
                <w:kern w:val="2"/>
                <w:sz w:val="21"/>
                <w:szCs w:val="21"/>
                <w:highlight w:val="none"/>
                <w:lang w:val="en-US" w:eastAsia="zh-CN" w:bidi="ar-SA"/>
              </w:rPr>
              <w:t>。</w:t>
            </w:r>
            <w:r>
              <w:rPr>
                <w:rFonts w:hint="eastAsia" w:eastAsia="宋体" w:cs="宋体"/>
                <w:color w:val="auto"/>
                <w:sz w:val="21"/>
                <w:szCs w:val="21"/>
                <w:highlight w:val="none"/>
                <w:u w:val="none"/>
                <w:lang w:eastAsia="zh-CN"/>
              </w:rPr>
              <w:t>供应商</w:t>
            </w:r>
            <w:r>
              <w:rPr>
                <w:rFonts w:hint="eastAsia" w:ascii="宋体" w:hAnsi="宋体" w:eastAsia="宋体" w:cs="宋体"/>
                <w:color w:val="auto"/>
                <w:sz w:val="21"/>
                <w:szCs w:val="21"/>
                <w:highlight w:val="none"/>
                <w:u w:val="none"/>
                <w:lang w:eastAsia="zh-CN"/>
              </w:rPr>
              <w:t>自行确定是否提交；若提交请</w:t>
            </w:r>
            <w:r>
              <w:rPr>
                <w:rFonts w:hint="eastAsia" w:eastAsia="宋体" w:cs="宋体"/>
                <w:b w:val="0"/>
                <w:bCs w:val="0"/>
                <w:color w:val="auto"/>
                <w:sz w:val="21"/>
                <w:szCs w:val="21"/>
                <w:highlight w:val="none"/>
                <w:u w:val="none"/>
                <w:lang w:eastAsia="zh-CN"/>
              </w:rPr>
              <w:t>在</w:t>
            </w:r>
            <w:r>
              <w:rPr>
                <w:rFonts w:hint="eastAsia" w:eastAsia="宋体" w:cs="宋体"/>
                <w:b w:val="0"/>
                <w:bCs w:val="0"/>
                <w:color w:val="auto"/>
                <w:sz w:val="21"/>
                <w:szCs w:val="21"/>
                <w:highlight w:val="none"/>
                <w:lang w:val="en-US" w:eastAsia="zh-CN"/>
              </w:rPr>
              <w:t>提交磋商响应文件</w:t>
            </w:r>
            <w:r>
              <w:rPr>
                <w:rFonts w:hint="eastAsia" w:ascii="宋体" w:hAnsi="宋体" w:eastAsia="宋体" w:cs="宋体"/>
                <w:b w:val="0"/>
                <w:bCs w:val="0"/>
                <w:color w:val="auto"/>
                <w:sz w:val="21"/>
                <w:szCs w:val="21"/>
                <w:highlight w:val="none"/>
                <w:lang w:val="en-US" w:eastAsia="zh-CN"/>
              </w:rPr>
              <w:t>截止时间</w:t>
            </w:r>
            <w:r>
              <w:rPr>
                <w:rFonts w:hint="eastAsia" w:eastAsia="宋体" w:cs="宋体"/>
                <w:b w:val="0"/>
                <w:bCs w:val="0"/>
                <w:color w:val="auto"/>
                <w:sz w:val="21"/>
                <w:szCs w:val="21"/>
                <w:highlight w:val="none"/>
                <w:lang w:val="en-US" w:eastAsia="zh-CN"/>
              </w:rPr>
              <w:t>前</w:t>
            </w:r>
            <w:r>
              <w:rPr>
                <w:rFonts w:hint="eastAsia" w:ascii="宋体" w:hAnsi="宋体" w:eastAsia="宋体" w:cs="宋体"/>
                <w:color w:val="auto"/>
                <w:sz w:val="21"/>
                <w:szCs w:val="21"/>
                <w:highlight w:val="none"/>
                <w:u w:val="none"/>
                <w:lang w:eastAsia="zh-CN"/>
              </w:rPr>
              <w:t>将备份响应文件打包压缩加密（未加密造成泄密的由投标人自行承担）后以电子邮件的形式发送至</w:t>
            </w:r>
            <w:r>
              <w:rPr>
                <w:rFonts w:hint="eastAsia" w:eastAsia="宋体" w:cs="宋体"/>
                <w:color w:val="auto"/>
                <w:sz w:val="21"/>
                <w:szCs w:val="21"/>
                <w:highlight w:val="none"/>
                <w:u w:val="none"/>
                <w:lang w:val="en-US" w:eastAsia="zh-CN"/>
              </w:rPr>
              <w:t>3050868501@qq.com</w:t>
            </w:r>
            <w:r>
              <w:rPr>
                <w:rFonts w:hint="eastAsia" w:eastAsia="宋体" w:cs="宋体"/>
                <w:color w:val="auto"/>
                <w:sz w:val="21"/>
                <w:szCs w:val="21"/>
                <w:highlight w:val="none"/>
                <w:u w:val="none"/>
                <w:lang w:eastAsia="zh-CN"/>
              </w:rPr>
              <w:t>，逾期</w:t>
            </w:r>
            <w:r>
              <w:rPr>
                <w:rFonts w:hint="eastAsia" w:ascii="宋体" w:hAnsi="宋体" w:eastAsia="宋体" w:cs="宋体"/>
                <w:color w:val="auto"/>
                <w:sz w:val="21"/>
                <w:szCs w:val="21"/>
                <w:highlight w:val="none"/>
                <w:u w:val="none"/>
                <w:lang w:eastAsia="zh-CN"/>
              </w:rPr>
              <w:t>发送</w:t>
            </w:r>
            <w:r>
              <w:rPr>
                <w:rFonts w:hint="eastAsia" w:eastAsia="宋体" w:cs="宋体"/>
                <w:color w:val="auto"/>
                <w:sz w:val="21"/>
                <w:szCs w:val="21"/>
                <w:highlight w:val="none"/>
                <w:u w:val="none"/>
                <w:lang w:eastAsia="zh-CN"/>
              </w:rPr>
              <w:t>的</w:t>
            </w:r>
            <w:r>
              <w:rPr>
                <w:rFonts w:hint="eastAsia" w:ascii="Arial" w:hAnsi="Arial" w:cs="Arial"/>
                <w:color w:val="auto"/>
                <w:kern w:val="0"/>
                <w:sz w:val="21"/>
                <w:szCs w:val="21"/>
                <w:highlight w:val="none"/>
                <w:u w:val="none"/>
              </w:rPr>
              <w:t>将被</w:t>
            </w:r>
            <w:r>
              <w:rPr>
                <w:rFonts w:hint="eastAsia" w:ascii="Arial" w:hAnsi="Arial" w:eastAsia="宋体" w:cs="Arial"/>
                <w:color w:val="auto"/>
                <w:kern w:val="0"/>
                <w:sz w:val="21"/>
                <w:szCs w:val="21"/>
                <w:highlight w:val="none"/>
                <w:u w:val="none"/>
                <w:lang w:eastAsia="zh-CN"/>
              </w:rPr>
              <w:t>视为未提交。</w:t>
            </w:r>
          </w:p>
          <w:p>
            <w:pPr>
              <w:keepNext w:val="0"/>
              <w:keepLines w:val="0"/>
              <w:pageBreakBefore w:val="0"/>
              <w:suppressLineNumbers w:val="0"/>
              <w:kinsoku/>
              <w:wordWrap/>
              <w:overflowPunct/>
              <w:topLinePunct w:val="0"/>
              <w:bidi w:val="0"/>
              <w:spacing w:before="0" w:beforeAutospacing="0" w:after="0" w:afterAutospacing="0" w:line="300" w:lineRule="exact"/>
              <w:ind w:left="0" w:right="0" w:firstLine="420" w:firstLineChars="200"/>
              <w:textAlignment w:val="auto"/>
              <w:rPr>
                <w:rFonts w:hint="default"/>
                <w:i w:val="0"/>
                <w:iCs w:val="0"/>
                <w:color w:val="auto"/>
                <w:sz w:val="21"/>
                <w:szCs w:val="21"/>
                <w:highlight w:val="none"/>
                <w:u w:val="single"/>
                <w:lang w:val="en-US" w:eastAsia="zh-CN"/>
              </w:rPr>
            </w:pPr>
            <w:r>
              <w:rPr>
                <w:rFonts w:hint="eastAsia" w:ascii="宋体" w:hAnsi="宋体" w:eastAsia="Calibri" w:cs="Times New Roman"/>
                <w:color w:val="auto"/>
                <w:kern w:val="2"/>
                <w:sz w:val="21"/>
                <w:szCs w:val="21"/>
                <w:highlight w:val="none"/>
                <w:lang w:val="en-US" w:eastAsia="zh-CN" w:bidi="ar-SA"/>
              </w:rPr>
              <w:t>备份响应文件在“</w:t>
            </w:r>
            <w:r>
              <w:rPr>
                <w:rFonts w:hint="eastAsia" w:ascii="宋体" w:hAnsi="宋体" w:cs="Times New Roman"/>
                <w:color w:val="auto"/>
                <w:kern w:val="2"/>
                <w:sz w:val="21"/>
                <w:szCs w:val="21"/>
                <w:highlight w:val="none"/>
                <w:lang w:val="en-US" w:eastAsia="zh-CN" w:bidi="ar-SA"/>
              </w:rPr>
              <w:t>电子加密响应文件</w:t>
            </w:r>
            <w:r>
              <w:rPr>
                <w:rFonts w:hint="eastAsia" w:ascii="宋体" w:hAnsi="宋体" w:eastAsia="Calibri" w:cs="Times New Roman"/>
                <w:color w:val="auto"/>
                <w:kern w:val="2"/>
                <w:sz w:val="21"/>
                <w:szCs w:val="21"/>
                <w:highlight w:val="none"/>
                <w:lang w:val="en-US" w:eastAsia="zh-CN" w:bidi="ar-SA"/>
              </w:rPr>
              <w:t>”在线解密失败后启用，否则不予以启用；供应商确认“</w:t>
            </w:r>
            <w:r>
              <w:rPr>
                <w:rFonts w:hint="eastAsia" w:ascii="宋体" w:hAnsi="宋体" w:cs="Times New Roman"/>
                <w:color w:val="auto"/>
                <w:kern w:val="2"/>
                <w:sz w:val="21"/>
                <w:szCs w:val="21"/>
                <w:highlight w:val="none"/>
                <w:lang w:val="en-US" w:eastAsia="zh-CN" w:bidi="ar-SA"/>
              </w:rPr>
              <w:t>电子加密响应文件</w:t>
            </w:r>
            <w:r>
              <w:rPr>
                <w:rFonts w:hint="eastAsia" w:ascii="宋体" w:hAnsi="宋体" w:eastAsia="Calibri" w:cs="Times New Roman"/>
                <w:color w:val="auto"/>
                <w:kern w:val="2"/>
                <w:sz w:val="21"/>
                <w:szCs w:val="21"/>
                <w:highlight w:val="none"/>
                <w:lang w:val="en-US" w:eastAsia="zh-CN" w:bidi="ar-SA"/>
              </w:rPr>
              <w:t>”在线解密失败后，将打包压缩加密的备份响应文件的解密密码在解密规定的时间（</w:t>
            </w:r>
            <w:r>
              <w:rPr>
                <w:rFonts w:hint="eastAsia" w:ascii="宋体" w:hAnsi="宋体" w:cs="Times New Roman"/>
                <w:color w:val="auto"/>
                <w:kern w:val="2"/>
                <w:sz w:val="21"/>
                <w:szCs w:val="21"/>
                <w:highlight w:val="none"/>
                <w:lang w:val="en-US" w:eastAsia="zh-CN" w:bidi="ar-SA"/>
              </w:rPr>
              <w:t>发出解密通知后</w:t>
            </w:r>
            <w:r>
              <w:rPr>
                <w:rFonts w:hint="eastAsia" w:ascii="宋体" w:hAnsi="宋体" w:eastAsia="Calibri" w:cs="Times New Roman"/>
                <w:color w:val="auto"/>
                <w:kern w:val="2"/>
                <w:sz w:val="21"/>
                <w:szCs w:val="21"/>
                <w:highlight w:val="none"/>
                <w:lang w:val="en-US" w:eastAsia="zh-CN" w:bidi="ar-SA"/>
              </w:rPr>
              <w:t>60分钟内）发送至上述邮箱内，未在规定时间内发送造成的投标无效或失败由</w:t>
            </w:r>
            <w:r>
              <w:rPr>
                <w:rFonts w:hint="eastAsia" w:ascii="宋体" w:hAnsi="宋体" w:cs="Times New Roman"/>
                <w:color w:val="auto"/>
                <w:kern w:val="2"/>
                <w:sz w:val="21"/>
                <w:szCs w:val="21"/>
                <w:highlight w:val="none"/>
                <w:lang w:val="en-US" w:eastAsia="zh-CN" w:bidi="ar-SA"/>
              </w:rPr>
              <w:t>供应商</w:t>
            </w:r>
            <w:r>
              <w:rPr>
                <w:rFonts w:hint="eastAsia" w:ascii="宋体" w:hAnsi="宋体" w:eastAsia="Calibri" w:cs="Times New Roman"/>
                <w:color w:val="auto"/>
                <w:kern w:val="2"/>
                <w:sz w:val="21"/>
                <w:szCs w:val="21"/>
                <w:highlight w:val="none"/>
                <w:lang w:val="en-US" w:eastAsia="zh-CN" w:bidi="ar-SA"/>
              </w:rPr>
              <w:t>人自行承担。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trPr>
        <w:tc>
          <w:tcPr>
            <w:tcW w:w="738"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9</w:t>
            </w:r>
          </w:p>
        </w:tc>
        <w:tc>
          <w:tcPr>
            <w:tcW w:w="2019"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color w:val="auto"/>
                <w:sz w:val="21"/>
                <w:szCs w:val="21"/>
                <w:highlight w:val="none"/>
                <w:lang w:val="en-US" w:eastAsia="zh-CN"/>
              </w:rPr>
            </w:pPr>
            <w:r>
              <w:rPr>
                <w:rFonts w:hint="eastAsia" w:ascii="宋体" w:hAnsi="宋体"/>
                <w:bCs/>
                <w:color w:val="auto"/>
                <w:sz w:val="21"/>
                <w:szCs w:val="21"/>
                <w:highlight w:val="none"/>
                <w:lang w:eastAsia="zh-CN"/>
              </w:rPr>
              <w:t>响应</w:t>
            </w:r>
            <w:r>
              <w:rPr>
                <w:rFonts w:hint="eastAsia" w:ascii="宋体" w:hAnsi="宋体"/>
                <w:bCs/>
                <w:color w:val="auto"/>
                <w:sz w:val="21"/>
                <w:szCs w:val="21"/>
                <w:highlight w:val="none"/>
              </w:rPr>
              <w:t>文件</w:t>
            </w:r>
            <w:r>
              <w:rPr>
                <w:rFonts w:hint="eastAsia" w:ascii="宋体" w:hAnsi="宋体"/>
                <w:bCs/>
                <w:color w:val="auto"/>
                <w:sz w:val="21"/>
                <w:szCs w:val="21"/>
                <w:highlight w:val="none"/>
                <w:lang w:eastAsia="zh-CN"/>
              </w:rPr>
              <w:t>磋商</w:t>
            </w:r>
            <w:r>
              <w:rPr>
                <w:rFonts w:hint="eastAsia" w:ascii="宋体" w:hAnsi="宋体"/>
                <w:bCs/>
                <w:color w:val="auto"/>
                <w:sz w:val="21"/>
                <w:szCs w:val="21"/>
                <w:highlight w:val="none"/>
              </w:rPr>
              <w:t>截止时间</w:t>
            </w:r>
          </w:p>
        </w:tc>
        <w:tc>
          <w:tcPr>
            <w:tcW w:w="6906"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eastAsia"/>
                <w:color w:val="auto"/>
                <w:highlight w:val="none"/>
                <w:lang w:val="en-US" w:eastAsia="zh-CN"/>
              </w:rPr>
            </w:pPr>
            <w:r>
              <w:rPr>
                <w:rFonts w:hint="eastAsia" w:ascii="宋体" w:hAnsi="宋体" w:eastAsia="宋体" w:cs="宋体"/>
                <w:b w:val="0"/>
                <w:bCs w:val="0"/>
                <w:color w:val="auto"/>
                <w:sz w:val="21"/>
                <w:szCs w:val="21"/>
                <w:highlight w:val="none"/>
                <w:lang w:eastAsia="zh-CN"/>
              </w:rPr>
              <w:t>供应商应当在</w:t>
            </w:r>
            <w:r>
              <w:rPr>
                <w:rFonts w:hint="eastAsia" w:ascii="宋体" w:hAnsi="宋体" w:eastAsia="宋体" w:cs="宋体"/>
                <w:b/>
                <w:bCs/>
                <w:color w:val="auto"/>
                <w:sz w:val="21"/>
                <w:szCs w:val="21"/>
                <w:highlight w:val="none"/>
                <w:lang w:eastAsia="zh-CN"/>
              </w:rPr>
              <w:t>磋商截止时间</w:t>
            </w:r>
            <w:r>
              <w:rPr>
                <w:rFonts w:hint="eastAsia" w:ascii="宋体" w:hAnsi="宋体" w:eastAsia="宋体" w:cs="宋体"/>
                <w:b/>
                <w:bCs/>
                <w:color w:val="auto"/>
                <w:sz w:val="21"/>
                <w:szCs w:val="21"/>
                <w:highlight w:val="none"/>
                <w:lang w:val="en-US" w:eastAsia="zh-CN"/>
              </w:rPr>
              <w:t>： 2024年05月11日09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rPr>
              <w:t>（北京时间）</w:t>
            </w:r>
            <w:r>
              <w:rPr>
                <w:rFonts w:hint="eastAsia" w:ascii="宋体" w:hAnsi="宋体" w:eastAsia="宋体" w:cs="宋体"/>
                <w:b/>
                <w:bCs/>
                <w:color w:val="auto"/>
                <w:sz w:val="21"/>
                <w:szCs w:val="21"/>
                <w:highlight w:val="none"/>
                <w:lang w:eastAsia="zh-CN"/>
              </w:rPr>
              <w:t>前</w:t>
            </w:r>
            <w:r>
              <w:rPr>
                <w:rFonts w:hint="eastAsia" w:ascii="宋体" w:hAnsi="宋体" w:eastAsia="宋体" w:cs="宋体"/>
                <w:color w:val="auto"/>
                <w:sz w:val="21"/>
                <w:szCs w:val="21"/>
                <w:highlight w:val="none"/>
                <w:lang w:eastAsia="zh-CN"/>
              </w:rPr>
              <w:t>完成</w:t>
            </w:r>
            <w:r>
              <w:rPr>
                <w:rFonts w:hint="eastAsia" w:ascii="宋体" w:hAnsi="宋体" w:cs="Times New Roman"/>
                <w:color w:val="auto"/>
                <w:sz w:val="21"/>
                <w:szCs w:val="21"/>
                <w:highlight w:val="none"/>
                <w:lang w:val="en-US" w:eastAsia="zh-CN"/>
              </w:rPr>
              <w:t>电子加密响应文件</w:t>
            </w:r>
            <w:r>
              <w:rPr>
                <w:rFonts w:hint="eastAsia" w:ascii="宋体" w:hAnsi="宋体" w:eastAsia="宋体" w:cs="宋体"/>
                <w:color w:val="auto"/>
                <w:sz w:val="21"/>
                <w:szCs w:val="21"/>
                <w:highlight w:val="none"/>
                <w:lang w:eastAsia="zh-CN"/>
              </w:rPr>
              <w:t>的传输提交，磋商截止时间前可以补充、修改或者撤回</w:t>
            </w:r>
            <w:r>
              <w:rPr>
                <w:rFonts w:hint="eastAsia" w:ascii="宋体" w:hAnsi="宋体" w:cs="Times New Roman"/>
                <w:color w:val="auto"/>
                <w:sz w:val="21"/>
                <w:szCs w:val="21"/>
                <w:highlight w:val="none"/>
                <w:lang w:val="en-US" w:eastAsia="zh-CN"/>
              </w:rPr>
              <w:t>电子加密响应文件</w:t>
            </w:r>
            <w:r>
              <w:rPr>
                <w:rFonts w:hint="eastAsia" w:ascii="宋体" w:hAnsi="宋体" w:eastAsia="宋体" w:cs="宋体"/>
                <w:color w:val="auto"/>
                <w:sz w:val="21"/>
                <w:szCs w:val="21"/>
                <w:highlight w:val="none"/>
                <w:lang w:eastAsia="zh-CN"/>
              </w:rPr>
              <w:t>。补充或者修改</w:t>
            </w:r>
            <w:r>
              <w:rPr>
                <w:rFonts w:hint="eastAsia" w:ascii="宋体" w:hAnsi="宋体" w:cs="Times New Roman"/>
                <w:color w:val="auto"/>
                <w:sz w:val="21"/>
                <w:szCs w:val="21"/>
                <w:highlight w:val="none"/>
                <w:lang w:val="en-US" w:eastAsia="zh-CN"/>
              </w:rPr>
              <w:t>电子加密响应文件</w:t>
            </w:r>
            <w:r>
              <w:rPr>
                <w:rFonts w:hint="eastAsia" w:ascii="宋体" w:hAnsi="宋体" w:eastAsia="宋体" w:cs="宋体"/>
                <w:color w:val="auto"/>
                <w:sz w:val="21"/>
                <w:szCs w:val="21"/>
                <w:highlight w:val="none"/>
                <w:lang w:eastAsia="zh-CN"/>
              </w:rPr>
              <w:t>的，应当先行撤回原文件，补充、修改后重新传输提交。磋商截止时间前未完成传输的，视为撤回</w:t>
            </w:r>
            <w:r>
              <w:rPr>
                <w:rFonts w:hint="eastAsia" w:ascii="宋体" w:hAnsi="宋体" w:cs="Times New Roman"/>
                <w:color w:val="auto"/>
                <w:sz w:val="21"/>
                <w:szCs w:val="21"/>
                <w:highlight w:val="none"/>
                <w:lang w:val="en-US" w:eastAsia="zh-CN"/>
              </w:rPr>
              <w:t>电子加密响应文件</w:t>
            </w:r>
            <w:r>
              <w:rPr>
                <w:rFonts w:hint="eastAsia" w:ascii="宋体" w:hAnsi="宋体" w:eastAsia="宋体" w:cs="宋体"/>
                <w:color w:val="auto"/>
                <w:sz w:val="21"/>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2019" w:type="dxa"/>
            <w:noWrap w:val="0"/>
            <w:vAlign w:val="center"/>
          </w:tcPr>
          <w:p>
            <w:pPr>
              <w:keepNext w:val="0"/>
              <w:keepLines w:val="0"/>
              <w:pageBreakBefore w:val="0"/>
              <w:suppressLineNumbers w:val="0"/>
              <w:kinsoku/>
              <w:wordWrap/>
              <w:overflowPunct/>
              <w:topLinePunct w:val="0"/>
              <w:bidi w:val="0"/>
              <w:snapToGrid w:val="0"/>
              <w:spacing w:before="0" w:beforeAutospacing="0" w:after="0" w:afterAutospacing="0" w:line="300" w:lineRule="exact"/>
              <w:ind w:left="0" w:right="0"/>
              <w:jc w:val="center"/>
              <w:textAlignment w:val="auto"/>
              <w:rPr>
                <w:rFonts w:hint="eastAsia" w:ascii="宋体" w:hAnsi="宋体"/>
                <w:bCs/>
                <w:color w:val="auto"/>
                <w:sz w:val="21"/>
                <w:szCs w:val="21"/>
                <w:highlight w:val="none"/>
              </w:rPr>
            </w:pPr>
            <w:r>
              <w:rPr>
                <w:rFonts w:hint="eastAsia" w:ascii="宋体" w:hAnsi="宋体"/>
                <w:bCs/>
                <w:color w:val="auto"/>
                <w:sz w:val="21"/>
                <w:szCs w:val="21"/>
                <w:highlight w:val="none"/>
              </w:rPr>
              <w:t>开标时间及地点</w:t>
            </w:r>
          </w:p>
        </w:tc>
        <w:tc>
          <w:tcPr>
            <w:tcW w:w="6906" w:type="dxa"/>
            <w:noWrap w:val="0"/>
            <w:vAlign w:val="center"/>
          </w:tcPr>
          <w:p>
            <w:pPr>
              <w:keepNext w:val="0"/>
              <w:keepLines w:val="0"/>
              <w:widowControl/>
              <w:suppressLineNumbers w:val="0"/>
              <w:spacing w:before="0" w:beforeAutospacing="0" w:after="0" w:afterAutospacing="0"/>
              <w:ind w:left="0" w:right="0"/>
              <w:jc w:val="left"/>
              <w:rPr>
                <w:rFonts w:hint="default"/>
                <w:color w:val="auto"/>
                <w:highlight w:val="none"/>
                <w:lang w:val="en-US"/>
              </w:rPr>
            </w:pPr>
            <w:r>
              <w:rPr>
                <w:rFonts w:hint="eastAsia" w:ascii="宋体" w:hAnsi="宋体" w:eastAsia="宋体" w:cs="宋体"/>
                <w:b/>
                <w:color w:val="auto"/>
                <w:kern w:val="0"/>
                <w:sz w:val="21"/>
                <w:szCs w:val="21"/>
                <w:highlight w:val="none"/>
                <w:lang w:val="en-US" w:eastAsia="zh-CN" w:bidi="ar"/>
              </w:rPr>
              <w:t>同磋商截止时间与地点。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11</w:t>
            </w:r>
          </w:p>
        </w:tc>
        <w:tc>
          <w:tcPr>
            <w:tcW w:w="2019" w:type="dxa"/>
            <w:noWrap w:val="0"/>
            <w:vAlign w:val="center"/>
          </w:tcPr>
          <w:p>
            <w:pPr>
              <w:keepNext w:val="0"/>
              <w:keepLines w:val="0"/>
              <w:pageBreakBefore w:val="0"/>
              <w:suppressLineNumbers w:val="0"/>
              <w:kinsoku/>
              <w:wordWrap/>
              <w:overflowPunct/>
              <w:topLinePunct w:val="0"/>
              <w:bidi w:val="0"/>
              <w:snapToGrid w:val="0"/>
              <w:spacing w:before="0" w:beforeAutospacing="0" w:after="0" w:afterAutospacing="0" w:line="300" w:lineRule="exact"/>
              <w:ind w:left="0" w:right="0"/>
              <w:jc w:val="center"/>
              <w:textAlignment w:val="auto"/>
              <w:rPr>
                <w:rFonts w:hint="eastAsia" w:ascii="宋体" w:hAnsi="宋体"/>
                <w:bCs/>
                <w:color w:val="auto"/>
                <w:sz w:val="21"/>
                <w:szCs w:val="21"/>
                <w:highlight w:val="none"/>
              </w:rPr>
            </w:pPr>
            <w:r>
              <w:rPr>
                <w:rFonts w:hint="eastAsia" w:ascii="宋体" w:hAnsi="宋体"/>
                <w:color w:val="auto"/>
                <w:sz w:val="21"/>
                <w:szCs w:val="21"/>
                <w:highlight w:val="none"/>
                <w:lang w:val="en-US" w:eastAsia="zh-CN"/>
              </w:rPr>
              <w:t>电子加密</w:t>
            </w:r>
            <w:r>
              <w:rPr>
                <w:rFonts w:hint="eastAsia" w:ascii="宋体" w:hAnsi="宋体"/>
                <w:color w:val="auto"/>
                <w:sz w:val="21"/>
                <w:highlight w:val="none"/>
                <w:lang w:eastAsia="zh-CN"/>
              </w:rPr>
              <w:t>响应</w:t>
            </w:r>
            <w:r>
              <w:rPr>
                <w:rFonts w:hint="eastAsia" w:ascii="宋体" w:hAnsi="宋体"/>
                <w:color w:val="auto"/>
                <w:sz w:val="21"/>
                <w:highlight w:val="none"/>
              </w:rPr>
              <w:t>文件</w:t>
            </w:r>
            <w:r>
              <w:rPr>
                <w:rFonts w:hint="eastAsia" w:ascii="宋体" w:hAnsi="宋体"/>
                <w:color w:val="auto"/>
                <w:sz w:val="21"/>
                <w:szCs w:val="21"/>
                <w:highlight w:val="none"/>
                <w:lang w:val="en-US" w:eastAsia="zh-CN"/>
              </w:rPr>
              <w:t>的解密和异常情况处理</w:t>
            </w:r>
          </w:p>
        </w:tc>
        <w:tc>
          <w:tcPr>
            <w:tcW w:w="6906" w:type="dxa"/>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（1）开标后，采购组织机构将向各投标供应商发出“电子加密响应文件”的解密通知，各投标供应商代表应当在接到解密通知后60分钟内自行完成“电子加密响应文件”的在线解密。 </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通过“政府采购云平台”成功上传递交的“电子加密响应文件”在线解密失败后，投标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（3）若供应商在规定时间内响应文件无法解密，或解密失败且备份文件读取失败（含未提交），则投标无效。</w:t>
            </w:r>
          </w:p>
          <w:p>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（4）投标截止时间前，投标供应商仅递交了“备份响应文件”而未将电子加密响应文件上传至“政府采购云平台”的，投标无效。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bottom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12</w:t>
            </w:r>
          </w:p>
        </w:tc>
        <w:tc>
          <w:tcPr>
            <w:tcW w:w="2019" w:type="dxa"/>
            <w:tcBorders>
              <w:bottom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b/>
                <w:color w:val="auto"/>
                <w:kern w:val="2"/>
                <w:sz w:val="21"/>
                <w:szCs w:val="21"/>
                <w:highlight w:val="none"/>
                <w:lang w:val="zh-CN" w:eastAsia="zh-CN" w:bidi="ar-SA"/>
              </w:rPr>
            </w:pPr>
            <w:r>
              <w:rPr>
                <w:rFonts w:hint="eastAsia" w:ascii="宋体" w:hAnsi="宋体"/>
                <w:bCs/>
                <w:color w:val="auto"/>
                <w:sz w:val="21"/>
                <w:szCs w:val="21"/>
                <w:highlight w:val="none"/>
              </w:rPr>
              <w:t>答疑与澄清</w:t>
            </w:r>
          </w:p>
        </w:tc>
        <w:tc>
          <w:tcPr>
            <w:tcW w:w="6906" w:type="dxa"/>
            <w:tcBorders>
              <w:bottom w:val="single" w:color="auto" w:sz="4" w:space="0"/>
            </w:tcBorders>
            <w:noWrap w:val="0"/>
            <w:vAlign w:val="center"/>
          </w:tcPr>
          <w:p>
            <w:pPr>
              <w:keepNext w:val="0"/>
              <w:keepLines w:val="0"/>
              <w:suppressLineNumbers w:val="0"/>
              <w:spacing w:before="0" w:beforeAutospacing="0" w:after="0" w:afterAutospacing="0"/>
              <w:ind w:left="0" w:right="0"/>
              <w:rPr>
                <w:rFonts w:hint="eastAsia"/>
                <w:color w:val="auto"/>
                <w:highlight w:val="none"/>
                <w:lang w:val="zh-CN" w:eastAsia="zh-CN"/>
              </w:rPr>
            </w:pPr>
            <w:r>
              <w:rPr>
                <w:rFonts w:hint="default"/>
                <w:color w:val="auto"/>
                <w:sz w:val="21"/>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default" w:ascii="宋体" w:eastAsia="宋体"/>
                <w:color w:val="auto"/>
                <w:sz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738" w:type="dxa"/>
            <w:tcBorders>
              <w:bottom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13</w:t>
            </w:r>
          </w:p>
        </w:tc>
        <w:tc>
          <w:tcPr>
            <w:tcW w:w="2019" w:type="dxa"/>
            <w:tcBorders>
              <w:bottom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color w:val="auto"/>
                <w:kern w:val="2"/>
                <w:sz w:val="21"/>
                <w:szCs w:val="21"/>
                <w:highlight w:val="none"/>
                <w:lang w:val="zh-CN" w:eastAsia="zh-CN" w:bidi="ar-SA"/>
              </w:rPr>
            </w:pPr>
            <w:r>
              <w:rPr>
                <w:rFonts w:hint="eastAsia" w:ascii="宋体" w:hAnsi="宋体"/>
                <w:color w:val="auto"/>
                <w:sz w:val="21"/>
                <w:szCs w:val="21"/>
                <w:highlight w:val="none"/>
                <w:lang w:val="zh-CN"/>
              </w:rPr>
              <w:t>实质性条款</w:t>
            </w:r>
          </w:p>
        </w:tc>
        <w:tc>
          <w:tcPr>
            <w:tcW w:w="6906" w:type="dxa"/>
            <w:tcBorders>
              <w:bottom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1050" w:leftChars="0" w:right="0" w:hanging="1050" w:firstLineChars="0"/>
              <w:textAlignment w:val="auto"/>
              <w:rPr>
                <w:rFonts w:hint="eastAsia" w:ascii="宋体" w:hAnsi="宋体"/>
                <w:color w:val="auto"/>
                <w:kern w:val="0"/>
                <w:sz w:val="21"/>
                <w:szCs w:val="21"/>
                <w:highlight w:val="none"/>
                <w:lang w:val="zh-CN" w:eastAsia="zh-CN" w:bidi="ar-SA"/>
              </w:rPr>
            </w:pPr>
            <w:r>
              <w:rPr>
                <w:rFonts w:hint="eastAsia" w:ascii="宋体" w:hAnsi="宋体"/>
                <w:color w:val="auto"/>
                <w:kern w:val="0"/>
                <w:sz w:val="21"/>
                <w:szCs w:val="21"/>
                <w:highlight w:val="none"/>
                <w:lang w:val="zh-CN"/>
              </w:rPr>
              <w:t>带</w:t>
            </w:r>
            <w:r>
              <w:rPr>
                <w:rFonts w:hint="eastAsia" w:ascii="宋体" w:hAnsi="宋体"/>
                <w:bCs/>
                <w:color w:val="auto"/>
                <w:sz w:val="21"/>
                <w:szCs w:val="21"/>
                <w:highlight w:val="none"/>
              </w:rPr>
              <w:t>▲是实质性条款，</w:t>
            </w:r>
            <w:r>
              <w:rPr>
                <w:rFonts w:hint="eastAsia" w:ascii="宋体" w:hAnsi="宋体"/>
                <w:bCs/>
                <w:color w:val="auto"/>
                <w:sz w:val="21"/>
                <w:szCs w:val="21"/>
                <w:highlight w:val="none"/>
                <w:lang w:eastAsia="zh-CN"/>
              </w:rPr>
              <w:t>磋商响应</w:t>
            </w:r>
            <w:r>
              <w:rPr>
                <w:rFonts w:hint="eastAsia" w:ascii="宋体" w:hAnsi="宋体"/>
                <w:bCs/>
                <w:color w:val="auto"/>
                <w:sz w:val="21"/>
                <w:szCs w:val="21"/>
                <w:highlight w:val="none"/>
              </w:rPr>
              <w:t>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14</w:t>
            </w:r>
          </w:p>
        </w:tc>
        <w:tc>
          <w:tcPr>
            <w:tcW w:w="2019" w:type="dxa"/>
            <w:tcBorders>
              <w:top w:val="single" w:color="auto" w:sz="4" w:space="0"/>
              <w:bottom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bCs/>
                <w:color w:val="auto"/>
                <w:kern w:val="2"/>
                <w:sz w:val="21"/>
                <w:szCs w:val="21"/>
                <w:highlight w:val="none"/>
                <w:lang w:val="zh-CN" w:eastAsia="zh-CN" w:bidi="ar-SA"/>
              </w:rPr>
            </w:pPr>
            <w:r>
              <w:rPr>
                <w:rFonts w:hint="eastAsia" w:ascii="宋体" w:hAnsi="宋体"/>
                <w:bCs/>
                <w:color w:val="auto"/>
                <w:sz w:val="21"/>
                <w:szCs w:val="21"/>
                <w:highlight w:val="none"/>
              </w:rPr>
              <w:t>▲项目最高限价</w:t>
            </w:r>
          </w:p>
        </w:tc>
        <w:tc>
          <w:tcPr>
            <w:tcW w:w="6906" w:type="dxa"/>
            <w:tcBorders>
              <w:top w:val="single" w:color="auto" w:sz="4" w:space="0"/>
              <w:bottom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textAlignment w:val="auto"/>
              <w:rPr>
                <w:rFonts w:hint="eastAsia" w:ascii="宋体" w:hAnsi="宋体" w:eastAsia="宋体"/>
                <w:bCs/>
                <w:color w:val="auto"/>
                <w:kern w:val="2"/>
                <w:sz w:val="21"/>
                <w:szCs w:val="21"/>
                <w:highlight w:val="none"/>
                <w:lang w:val="zh-CN" w:eastAsia="zh-CN" w:bidi="ar-SA"/>
              </w:rPr>
            </w:pPr>
            <w:r>
              <w:rPr>
                <w:rFonts w:hint="eastAsia" w:ascii="宋体" w:hAnsi="宋体" w:eastAsia="宋体"/>
                <w:bCs/>
                <w:color w:val="auto"/>
                <w:sz w:val="21"/>
                <w:szCs w:val="21"/>
                <w:highlight w:val="none"/>
              </w:rPr>
              <w:t>最高限价为</w:t>
            </w:r>
            <w:r>
              <w:rPr>
                <w:rFonts w:hint="eastAsia" w:ascii="宋体" w:hAnsi="宋体" w:eastAsia="宋体"/>
                <w:bCs/>
                <w:color w:val="auto"/>
                <w:sz w:val="21"/>
                <w:szCs w:val="21"/>
                <w:highlight w:val="none"/>
                <w:u w:val="single"/>
                <w:lang w:val="en-US" w:eastAsia="zh-CN"/>
              </w:rPr>
              <w:t xml:space="preserve"> 819086 </w:t>
            </w:r>
            <w:r>
              <w:rPr>
                <w:rFonts w:hint="eastAsia" w:ascii="宋体" w:hAnsi="宋体" w:eastAsia="宋体"/>
                <w:b/>
                <w:color w:val="auto"/>
                <w:sz w:val="21"/>
                <w:szCs w:val="21"/>
                <w:highlight w:val="none"/>
                <w:lang w:val="zh-CN"/>
              </w:rPr>
              <w:t>元</w:t>
            </w:r>
            <w:r>
              <w:rPr>
                <w:rFonts w:hint="eastAsia" w:ascii="宋体" w:hAnsi="宋体" w:eastAsia="宋体"/>
                <w:bCs/>
                <w:color w:val="auto"/>
                <w:sz w:val="21"/>
                <w:szCs w:val="21"/>
                <w:highlight w:val="none"/>
              </w:rPr>
              <w:t>。如</w:t>
            </w:r>
            <w:r>
              <w:rPr>
                <w:rFonts w:hint="eastAsia" w:ascii="宋体" w:hAnsi="宋体" w:eastAsia="宋体"/>
                <w:bCs/>
                <w:color w:val="auto"/>
                <w:sz w:val="21"/>
                <w:szCs w:val="21"/>
                <w:highlight w:val="none"/>
                <w:lang w:eastAsia="zh-CN"/>
              </w:rPr>
              <w:t>供应商</w:t>
            </w:r>
            <w:r>
              <w:rPr>
                <w:rFonts w:hint="eastAsia" w:ascii="宋体" w:hAnsi="宋体" w:eastAsia="宋体"/>
                <w:bCs/>
                <w:color w:val="auto"/>
                <w:sz w:val="21"/>
                <w:szCs w:val="21"/>
                <w:highlight w:val="none"/>
              </w:rPr>
              <w:t>的</w:t>
            </w:r>
            <w:r>
              <w:rPr>
                <w:rFonts w:hint="eastAsia" w:ascii="宋体" w:hAnsi="宋体" w:eastAsia="宋体"/>
                <w:bCs/>
                <w:color w:val="auto"/>
                <w:sz w:val="21"/>
                <w:szCs w:val="21"/>
                <w:highlight w:val="none"/>
                <w:lang w:eastAsia="zh-CN"/>
              </w:rPr>
              <w:t>磋商</w:t>
            </w:r>
            <w:r>
              <w:rPr>
                <w:rFonts w:hint="eastAsia" w:ascii="宋体" w:hAnsi="宋体" w:eastAsia="宋体"/>
                <w:bCs/>
                <w:color w:val="auto"/>
                <w:sz w:val="21"/>
                <w:szCs w:val="21"/>
                <w:highlight w:val="none"/>
              </w:rPr>
              <w:t>报价超过最高限价，其</w:t>
            </w:r>
            <w:r>
              <w:rPr>
                <w:rFonts w:hint="eastAsia" w:ascii="宋体" w:hAnsi="宋体" w:eastAsia="宋体"/>
                <w:bCs/>
                <w:color w:val="auto"/>
                <w:sz w:val="21"/>
                <w:szCs w:val="21"/>
                <w:highlight w:val="none"/>
                <w:lang w:eastAsia="zh-CN"/>
              </w:rPr>
              <w:t>磋商响应</w:t>
            </w:r>
            <w:r>
              <w:rPr>
                <w:rFonts w:hint="eastAsia" w:ascii="宋体" w:hAnsi="宋体" w:eastAsia="宋体"/>
                <w:bCs/>
                <w:color w:val="auto"/>
                <w:sz w:val="21"/>
                <w:szCs w:val="21"/>
                <w:highlight w:val="none"/>
              </w:rPr>
              <w:t xml:space="preserve">文件作无效标处理。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15</w:t>
            </w:r>
          </w:p>
        </w:tc>
        <w:tc>
          <w:tcPr>
            <w:tcW w:w="2019" w:type="dxa"/>
            <w:tcBorders>
              <w:top w:val="single" w:color="auto" w:sz="4" w:space="0"/>
              <w:bottom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bCs/>
                <w:color w:val="auto"/>
                <w:sz w:val="21"/>
                <w:szCs w:val="21"/>
                <w:highlight w:val="none"/>
              </w:rPr>
            </w:pPr>
            <w:r>
              <w:rPr>
                <w:rFonts w:hint="eastAsia" w:ascii="宋体" w:hAnsi="宋体" w:eastAsia="宋体" w:cs="宋体"/>
                <w:color w:val="auto"/>
                <w:kern w:val="0"/>
                <w:sz w:val="21"/>
                <w:szCs w:val="21"/>
                <w:highlight w:val="none"/>
                <w:lang w:eastAsia="zh-CN"/>
              </w:rPr>
              <w:t>政采贷相关说明</w:t>
            </w:r>
          </w:p>
        </w:tc>
        <w:tc>
          <w:tcPr>
            <w:tcW w:w="6906"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为优化政府采购营商环境，缓解供应商资金难题，政采云平台已推广“政采贷”服务，中标供应商如有融资需求，可使用以下银行的政采贷服务：</w:t>
            </w:r>
          </w:p>
          <w:tbl>
            <w:tblPr>
              <w:tblStyle w:val="24"/>
              <w:tblpPr w:leftFromText="180" w:rightFromText="180" w:vertAnchor="text" w:horzAnchor="page" w:tblpX="45" w:tblpY="263"/>
              <w:tblOverlap w:val="never"/>
              <w:tblW w:w="6578" w:type="dxa"/>
              <w:tblInd w:w="0" w:type="dxa"/>
              <w:tblLayout w:type="fixed"/>
              <w:tblCellMar>
                <w:top w:w="0" w:type="dxa"/>
                <w:left w:w="0" w:type="dxa"/>
                <w:bottom w:w="0" w:type="dxa"/>
                <w:right w:w="0" w:type="dxa"/>
              </w:tblCellMar>
            </w:tblPr>
            <w:tblGrid>
              <w:gridCol w:w="2337"/>
              <w:gridCol w:w="1658"/>
              <w:gridCol w:w="2583"/>
            </w:tblGrid>
            <w:tr>
              <w:tblPrEx>
                <w:tblCellMar>
                  <w:top w:w="0" w:type="dxa"/>
                  <w:left w:w="0" w:type="dxa"/>
                  <w:bottom w:w="0" w:type="dxa"/>
                  <w:right w:w="0" w:type="dxa"/>
                </w:tblCellMar>
              </w:tblPrEx>
              <w:trPr>
                <w:trHeight w:val="538"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银行名称</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r>
            <w:tr>
              <w:tblPrEx>
                <w:tblCellMar>
                  <w:top w:w="0" w:type="dxa"/>
                  <w:left w:w="0" w:type="dxa"/>
                  <w:bottom w:w="0" w:type="dxa"/>
                  <w:right w:w="0" w:type="dxa"/>
                </w:tblCellMar>
              </w:tblPrEx>
              <w:trPr>
                <w:trHeight w:val="497"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中国工商银行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王健永</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13967615120</w:t>
                  </w:r>
                </w:p>
              </w:tc>
            </w:tr>
            <w:tr>
              <w:tblPrEx>
                <w:tblCellMar>
                  <w:top w:w="0" w:type="dxa"/>
                  <w:left w:w="0" w:type="dxa"/>
                  <w:bottom w:w="0" w:type="dxa"/>
                  <w:right w:w="0" w:type="dxa"/>
                </w:tblCellMar>
              </w:tblPrEx>
              <w:trPr>
                <w:trHeight w:val="552"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浙江泰隆商业银行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陈超</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17858683697</w:t>
                  </w:r>
                </w:p>
              </w:tc>
            </w:tr>
            <w:tr>
              <w:tblPrEx>
                <w:tblCellMar>
                  <w:top w:w="0" w:type="dxa"/>
                  <w:left w:w="0" w:type="dxa"/>
                  <w:bottom w:w="0" w:type="dxa"/>
                  <w:right w:w="0" w:type="dxa"/>
                </w:tblCellMar>
              </w:tblPrEx>
              <w:trPr>
                <w:trHeight w:val="490"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浙江民泰商业银行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朱祖优</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13858602876</w:t>
                  </w:r>
                </w:p>
              </w:tc>
            </w:tr>
            <w:tr>
              <w:tblPrEx>
                <w:tblCellMar>
                  <w:top w:w="0" w:type="dxa"/>
                  <w:left w:w="0" w:type="dxa"/>
                  <w:bottom w:w="0" w:type="dxa"/>
                  <w:right w:w="0" w:type="dxa"/>
                </w:tblCellMar>
              </w:tblPrEx>
              <w:trPr>
                <w:trHeight w:val="481"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中国建设银行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徐旭霞</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15988932355</w:t>
                  </w:r>
                </w:p>
              </w:tc>
            </w:tr>
            <w:tr>
              <w:tblPrEx>
                <w:tblCellMar>
                  <w:top w:w="0" w:type="dxa"/>
                  <w:left w:w="0" w:type="dxa"/>
                  <w:bottom w:w="0" w:type="dxa"/>
                  <w:right w:w="0" w:type="dxa"/>
                </w:tblCellMar>
              </w:tblPrEx>
              <w:trPr>
                <w:trHeight w:val="459"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中国邮政储蓄银行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赵红芳</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18968556112</w:t>
                  </w:r>
                </w:p>
              </w:tc>
            </w:tr>
            <w:tr>
              <w:tblPrEx>
                <w:tblCellMar>
                  <w:top w:w="0" w:type="dxa"/>
                  <w:left w:w="0" w:type="dxa"/>
                  <w:bottom w:w="0" w:type="dxa"/>
                  <w:right w:w="0" w:type="dxa"/>
                </w:tblCellMar>
              </w:tblPrEx>
              <w:trPr>
                <w:trHeight w:val="500"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农村商业银行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叶斌昇</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13806593583</w:t>
                  </w:r>
                </w:p>
              </w:tc>
            </w:tr>
            <w:tr>
              <w:tblPrEx>
                <w:tblCellMar>
                  <w:top w:w="0" w:type="dxa"/>
                  <w:left w:w="0" w:type="dxa"/>
                  <w:bottom w:w="0" w:type="dxa"/>
                  <w:right w:w="0" w:type="dxa"/>
                </w:tblCellMar>
              </w:tblPrEx>
              <w:trPr>
                <w:trHeight w:val="526"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中国农业银行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娄志伟</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13958514828</w:t>
                  </w:r>
                </w:p>
              </w:tc>
            </w:tr>
            <w:tr>
              <w:tblPrEx>
                <w:tblCellMar>
                  <w:top w:w="0" w:type="dxa"/>
                  <w:left w:w="0" w:type="dxa"/>
                  <w:bottom w:w="0" w:type="dxa"/>
                  <w:right w:w="0" w:type="dxa"/>
                </w:tblCellMar>
              </w:tblPrEx>
              <w:trPr>
                <w:trHeight w:val="526"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朱翔</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13819660917</w:t>
                  </w:r>
                </w:p>
              </w:tc>
            </w:tr>
          </w:tbl>
          <w:tbl>
            <w:tblPr>
              <w:tblStyle w:val="24"/>
              <w:tblpPr w:leftFromText="180" w:rightFromText="180" w:vertAnchor="page" w:horzAnchor="page" w:tblpXSpec="center" w:tblpY="2379"/>
              <w:tblOverlap w:val="never"/>
              <w:tblW w:w="6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340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019" w:type="dxa"/>
                  <w:noWrap w:val="0"/>
                  <w:vAlign w:val="top"/>
                </w:tcPr>
                <w:p>
                  <w:pPr>
                    <w:keepNext w:val="0"/>
                    <w:keepLines w:val="0"/>
                    <w:suppressLineNumbers w:val="0"/>
                    <w:spacing w:before="0" w:beforeAutospacing="0" w:after="0" w:afterAutospacing="0"/>
                    <w:ind w:left="0" w:right="0"/>
                    <w:rPr>
                      <w:rFonts w:hint="eastAsia" w:eastAsia="宋体"/>
                      <w:b/>
                      <w:bCs/>
                      <w:color w:val="auto"/>
                      <w:sz w:val="18"/>
                      <w:szCs w:val="18"/>
                      <w:highlight w:val="none"/>
                    </w:rPr>
                  </w:pPr>
                  <w:r>
                    <w:rPr>
                      <w:rFonts w:hint="eastAsia"/>
                      <w:b/>
                      <w:bCs/>
                      <w:color w:val="auto"/>
                      <w:sz w:val="18"/>
                      <w:szCs w:val="18"/>
                      <w:highlight w:val="none"/>
                    </w:rPr>
                    <w:t>金融机构名称及意愿承担保函（保单）种类</w:t>
                  </w:r>
                </w:p>
              </w:tc>
              <w:tc>
                <w:tcPr>
                  <w:tcW w:w="3401" w:type="dxa"/>
                  <w:noWrap w:val="0"/>
                  <w:vAlign w:val="top"/>
                </w:tcPr>
                <w:p>
                  <w:pPr>
                    <w:keepNext w:val="0"/>
                    <w:keepLines w:val="0"/>
                    <w:suppressLineNumbers w:val="0"/>
                    <w:spacing w:before="0" w:beforeAutospacing="0" w:after="0" w:afterAutospacing="0"/>
                    <w:ind w:left="0" w:right="0"/>
                    <w:jc w:val="center"/>
                    <w:rPr>
                      <w:rFonts w:hint="eastAsia" w:eastAsia="宋体"/>
                      <w:b/>
                      <w:bCs/>
                      <w:color w:val="auto"/>
                      <w:sz w:val="18"/>
                      <w:szCs w:val="18"/>
                      <w:highlight w:val="none"/>
                    </w:rPr>
                  </w:pPr>
                  <w:r>
                    <w:rPr>
                      <w:rFonts w:hint="eastAsia"/>
                      <w:b/>
                      <w:bCs/>
                      <w:color w:val="auto"/>
                      <w:sz w:val="18"/>
                      <w:szCs w:val="18"/>
                      <w:highlight w:val="none"/>
                    </w:rPr>
                    <w:t>保函（保单）收费情况</w:t>
                  </w:r>
                </w:p>
              </w:tc>
              <w:tc>
                <w:tcPr>
                  <w:tcW w:w="1360" w:type="dxa"/>
                  <w:noWrap w:val="0"/>
                  <w:vAlign w:val="top"/>
                </w:tcPr>
                <w:p>
                  <w:pPr>
                    <w:keepNext w:val="0"/>
                    <w:keepLines w:val="0"/>
                    <w:suppressLineNumbers w:val="0"/>
                    <w:spacing w:before="0" w:beforeAutospacing="0" w:after="0" w:afterAutospacing="0"/>
                    <w:ind w:left="0" w:right="0"/>
                    <w:rPr>
                      <w:rFonts w:hint="eastAsia"/>
                      <w:b/>
                      <w:bCs/>
                      <w:color w:val="auto"/>
                      <w:sz w:val="18"/>
                      <w:szCs w:val="18"/>
                      <w:highlight w:val="none"/>
                    </w:rPr>
                  </w:pPr>
                  <w:r>
                    <w:rPr>
                      <w:rFonts w:hint="eastAsia"/>
                      <w:b/>
                      <w:bCs/>
                      <w:color w:val="auto"/>
                      <w:sz w:val="18"/>
                      <w:szCs w:val="18"/>
                      <w:highlight w:val="none"/>
                    </w:rPr>
                    <w:t>联系人及</w:t>
                  </w:r>
                </w:p>
                <w:p>
                  <w:pPr>
                    <w:keepNext w:val="0"/>
                    <w:keepLines w:val="0"/>
                    <w:suppressLineNumbers w:val="0"/>
                    <w:spacing w:before="0" w:beforeAutospacing="0" w:after="0" w:afterAutospacing="0"/>
                    <w:ind w:left="0" w:right="0"/>
                    <w:rPr>
                      <w:rFonts w:hint="eastAsia" w:eastAsia="宋体"/>
                      <w:b/>
                      <w:bCs/>
                      <w:color w:val="auto"/>
                      <w:sz w:val="18"/>
                      <w:szCs w:val="18"/>
                      <w:highlight w:val="none"/>
                    </w:rPr>
                  </w:pPr>
                  <w:r>
                    <w:rPr>
                      <w:rFonts w:hint="eastAsia"/>
                      <w:b/>
                      <w:bCs/>
                      <w:color w:val="auto"/>
                      <w:sz w:val="18"/>
                      <w:szCs w:val="18"/>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20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机构名称：中国工商银行股份有限公司仙居支行</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履约保函： 是</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预付款保函： 是</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p>
              </w:tc>
              <w:tc>
                <w:tcPr>
                  <w:tcW w:w="3401"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对外保函服务</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1.开立及展期费担保费率：</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（1)融资性保函：期限在一年（含）以内，客户按担保额度0.05-0.25%/月计收。最小计费周期为实际月（按实际发生天数，从保函生效之日至失效日计算，30天为1月），期限不足1月的按1个月计收。最低500元／季。</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（2)非融资性保函：期限在一年（含）以内，客户按0.027-0.167%/月计收。最小计费周期为实际月（按实际发生天数，从保函生效之日至失效日计算，30天为1月），期限不足1月的按1个月计收。最低500元／季。</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如企业划型为小微企业的，以上手续费全免。</w:t>
                  </w:r>
                </w:p>
              </w:tc>
              <w:tc>
                <w:tcPr>
                  <w:tcW w:w="1360" w:type="dxa"/>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18"/>
                      <w:szCs w:val="18"/>
                      <w:highlight w:val="none"/>
                    </w:rPr>
                  </w:pPr>
                  <w:r>
                    <w:rPr>
                      <w:rFonts w:hint="eastAsia" w:ascii="宋体" w:hAnsi="宋体" w:eastAsia="宋体" w:cs="宋体"/>
                      <w:color w:val="auto"/>
                      <w:sz w:val="21"/>
                      <w:szCs w:val="21"/>
                      <w:highlight w:val="none"/>
                    </w:rPr>
                    <w:t>王健永</w:t>
                  </w:r>
                  <w:r>
                    <w:rPr>
                      <w:rFonts w:hint="eastAsia" w:ascii="宋体" w:hAnsi="宋体" w:eastAsia="宋体" w:cs="宋体"/>
                      <w:color w:val="auto"/>
                      <w:sz w:val="18"/>
                      <w:szCs w:val="18"/>
                      <w:highlight w:val="none"/>
                    </w:rPr>
                    <w:t>13967615120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19"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机构名称：浙江泰隆商业银行台州仙居支行</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履约保函：是</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预付款保函：是</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备注：我行目前只有线下模式</w:t>
                  </w:r>
                </w:p>
              </w:tc>
              <w:tc>
                <w:tcPr>
                  <w:tcW w:w="3401"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根据保证金比例不同，参照下述费率计收：</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全额保证金，500一年；</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保证金比例50%以下，保函敞口金额的1.25‰/季，最低500元/季；</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保证金比例50%（含）以上，保函敞口金额的1‰/季，最低500元/季。</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涉及保函增额，增额部分参照开立保函收费标准另行收费，延期修改按照300/次的标准另行收费；</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按年收费项目不足一年按一年计收，超过一年三十天按照两年计收（从保函开立之日起390天（含）为一个年度三十天）</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按季收费项目不足一季按一季度计收，超过一季度十天的按两季度计收（从保函开立之日起100天（含）为一个季度十天）</w:t>
                  </w:r>
                </w:p>
              </w:tc>
              <w:tc>
                <w:tcPr>
                  <w:tcW w:w="1360"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r>
                    <w:rPr>
                      <w:rFonts w:hint="eastAsia" w:ascii="宋体" w:hAnsi="宋体" w:eastAsia="宋体" w:cs="宋体"/>
                      <w:color w:val="auto"/>
                      <w:sz w:val="18"/>
                      <w:szCs w:val="18"/>
                      <w:highlight w:val="none"/>
                    </w:rPr>
                    <w:t>银行联系人：陈超17858683697</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具体保函业务办理客户经理：王英15868677616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0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机构名称：仙居农商银行</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履约保函：是</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预付款保函：是</w:t>
                  </w:r>
                </w:p>
              </w:tc>
              <w:tc>
                <w:tcPr>
                  <w:tcW w:w="340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合同（质量）履约按履约保证金年费率万分之五，在出具保函前一次性收取。</w:t>
                  </w:r>
                </w:p>
              </w:tc>
              <w:tc>
                <w:tcPr>
                  <w:tcW w:w="13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李杭13586233529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0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机构名称：仙居中国银行</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履约保函：是</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预付款保函：是</w:t>
                  </w:r>
                </w:p>
              </w:tc>
              <w:tc>
                <w:tcPr>
                  <w:tcW w:w="340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合同（质量）履约按履约保证金年费率1%（1.5%），每单保函最低保险费为500元。</w:t>
                  </w:r>
                </w:p>
              </w:tc>
              <w:tc>
                <w:tcPr>
                  <w:tcW w:w="13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张弥0576-87796908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19"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机构名称：中国人民财产保险股份有限公司仙居支公司</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履约保险：是</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预付款保函：是</w:t>
                  </w:r>
                </w:p>
              </w:tc>
              <w:tc>
                <w:tcPr>
                  <w:tcW w:w="3401"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建设工程合同款支付保证保险，年费率1.2%，每单最低保险费为1000元。</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建设工程预付款保证保险，年费率0.6%，每单最低保险费为1000元。</w:t>
                  </w:r>
                </w:p>
              </w:tc>
              <w:tc>
                <w:tcPr>
                  <w:tcW w:w="1360"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王巧红13968483573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机构名称：中国大地财产保险股份有限公司仙居支公司</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履约保函：是</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预付款保函：否</w:t>
                  </w:r>
                </w:p>
              </w:tc>
              <w:tc>
                <w:tcPr>
                  <w:tcW w:w="340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合同（质量）履约按履约保证金年费率最低0.5%，每单保函最低保险费为1000元。</w:t>
                  </w:r>
                </w:p>
              </w:tc>
              <w:tc>
                <w:tcPr>
                  <w:tcW w:w="13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吴琼17858699170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1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机构名称：天安财产保险股份有限公司台州中心支公司仙居县营销服务部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履约保函：否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预付款保函：是</w:t>
                  </w:r>
                </w:p>
              </w:tc>
              <w:tc>
                <w:tcPr>
                  <w:tcW w:w="3401"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预付款保函：按预付款金额投保，年费率为1%-2%，每单保函最低保险费为500元；保险期限最长不超过5年。</w:t>
                  </w:r>
                </w:p>
              </w:tc>
              <w:tc>
                <w:tcPr>
                  <w:tcW w:w="1360" w:type="dxa"/>
                  <w:noWrap w:val="0"/>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陶正鹏13858613668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0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机构名称：仙居县台融融资担保有限公司</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履约保函：是</w:t>
                  </w:r>
                </w:p>
              </w:tc>
              <w:tc>
                <w:tcPr>
                  <w:tcW w:w="340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合同（质量）履约按履约保证金年费率0.2%，每单保函最低保险费为800元。</w:t>
                  </w:r>
                </w:p>
              </w:tc>
              <w:tc>
                <w:tcPr>
                  <w:tcW w:w="13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郭鹏飞13819645716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0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机构名称：浙江商盈融资担保有限公司</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履约保函：是</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预付款保函：是</w:t>
                  </w:r>
                </w:p>
              </w:tc>
              <w:tc>
                <w:tcPr>
                  <w:tcW w:w="340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合同（质量）履约按履约保证金年费率0.2%，每单保函最低保险费为800元。</w:t>
                  </w:r>
                </w:p>
              </w:tc>
              <w:tc>
                <w:tcPr>
                  <w:tcW w:w="13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冯婳婳13586233988</w:t>
                  </w:r>
                </w:p>
              </w:tc>
            </w:tr>
          </w:tbl>
          <w:p>
            <w:pPr>
              <w:keepNext w:val="0"/>
              <w:keepLines w:val="0"/>
              <w:suppressLineNumbers w:val="0"/>
              <w:autoSpaceDE w:val="0"/>
              <w:autoSpaceDN w:val="0"/>
              <w:adjustRightInd w:val="0"/>
              <w:spacing w:before="0" w:beforeAutospacing="0" w:after="0" w:afterAutospacing="0" w:line="300" w:lineRule="exact"/>
              <w:ind w:left="0" w:right="0"/>
              <w:rPr>
                <w:rFonts w:hint="eastAsia" w:ascii="宋体" w:hAnsi="宋体" w:eastAsia="宋体" w:cs="Times New Roman"/>
                <w:bCs/>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738" w:type="dxa"/>
            <w:tcBorders>
              <w:top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宋体" w:hAnsi="宋体" w:eastAsia="宋体"/>
                <w:color w:val="auto"/>
                <w:kern w:val="2"/>
                <w:sz w:val="24"/>
                <w:szCs w:val="24"/>
                <w:highlight w:val="none"/>
                <w:lang w:val="en-US" w:eastAsia="zh-CN" w:bidi="ar-SA"/>
              </w:rPr>
            </w:pPr>
            <w:r>
              <w:rPr>
                <w:rFonts w:hint="eastAsia" w:ascii="宋体" w:hAnsi="宋体" w:eastAsia="宋体"/>
                <w:color w:val="auto"/>
                <w:sz w:val="24"/>
                <w:highlight w:val="none"/>
                <w:lang w:val="en-US" w:eastAsia="zh-CN"/>
              </w:rPr>
              <w:t>16</w:t>
            </w:r>
          </w:p>
        </w:tc>
        <w:tc>
          <w:tcPr>
            <w:tcW w:w="2019" w:type="dxa"/>
            <w:tcBorders>
              <w:top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color w:val="auto"/>
                <w:kern w:val="2"/>
                <w:sz w:val="21"/>
                <w:szCs w:val="21"/>
                <w:highlight w:val="none"/>
                <w:lang w:val="en-US" w:eastAsia="zh-CN" w:bidi="ar-SA"/>
              </w:rPr>
            </w:pPr>
            <w:r>
              <w:rPr>
                <w:rFonts w:hint="eastAsia" w:ascii="宋体" w:hAnsi="宋体"/>
                <w:color w:val="auto"/>
                <w:sz w:val="21"/>
                <w:szCs w:val="21"/>
                <w:highlight w:val="none"/>
              </w:rPr>
              <w:t>解释权</w:t>
            </w:r>
          </w:p>
        </w:tc>
        <w:tc>
          <w:tcPr>
            <w:tcW w:w="6906" w:type="dxa"/>
            <w:tcBorders>
              <w:top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textAlignment w:val="auto"/>
              <w:rPr>
                <w:rFonts w:hint="eastAsia" w:ascii="宋体" w:hAnsi="宋体"/>
                <w:color w:val="auto"/>
                <w:kern w:val="2"/>
                <w:sz w:val="21"/>
                <w:szCs w:val="21"/>
                <w:highlight w:val="none"/>
                <w:lang w:val="en-US" w:eastAsia="zh-CN" w:bidi="ar-SA"/>
              </w:rPr>
            </w:pPr>
            <w:r>
              <w:rPr>
                <w:rFonts w:hint="eastAsia" w:ascii="宋体" w:hAnsi="宋体"/>
                <w:color w:val="auto"/>
                <w:sz w:val="21"/>
                <w:szCs w:val="21"/>
                <w:highlight w:val="none"/>
              </w:rPr>
              <w:t>本磋商文件解释权属于采购人和采购代理机构。</w:t>
            </w:r>
          </w:p>
        </w:tc>
      </w:tr>
    </w:tbl>
    <w:p>
      <w:pPr>
        <w:autoSpaceDE w:val="0"/>
        <w:autoSpaceDN w:val="0"/>
        <w:adjustRightInd w:val="0"/>
        <w:spacing w:line="360" w:lineRule="auto"/>
        <w:jc w:val="center"/>
        <w:outlineLvl w:val="1"/>
        <w:rPr>
          <w:rFonts w:ascii="宋体"/>
          <w:b/>
          <w:bCs/>
          <w:color w:val="auto"/>
          <w:sz w:val="24"/>
          <w:highlight w:val="none"/>
          <w:lang w:val="zh-CN"/>
        </w:rPr>
      </w:pPr>
      <w:r>
        <w:rPr>
          <w:rFonts w:ascii="宋体"/>
          <w:color w:val="auto"/>
          <w:sz w:val="24"/>
          <w:highlight w:val="none"/>
        </w:rPr>
        <w:br w:type="page"/>
      </w:r>
      <w:bookmarkStart w:id="78" w:name="_Toc302983095"/>
      <w:bookmarkStart w:id="79" w:name="_Toc306901446"/>
      <w:r>
        <w:rPr>
          <w:rFonts w:hint="eastAsia" w:ascii="宋体"/>
          <w:b/>
          <w:bCs/>
          <w:color w:val="auto"/>
          <w:sz w:val="24"/>
          <w:highlight w:val="none"/>
          <w:lang w:val="zh-CN"/>
        </w:rPr>
        <w:t>一、</w:t>
      </w:r>
      <w:bookmarkEnd w:id="78"/>
      <w:bookmarkEnd w:id="79"/>
      <w:r>
        <w:rPr>
          <w:rFonts w:hint="eastAsia" w:ascii="宋体"/>
          <w:b/>
          <w:bCs/>
          <w:color w:val="auto"/>
          <w:sz w:val="24"/>
          <w:highlight w:val="none"/>
          <w:lang w:val="zh-CN"/>
        </w:rPr>
        <w:t>总则</w:t>
      </w:r>
    </w:p>
    <w:p>
      <w:pPr>
        <w:snapToGrid w:val="0"/>
        <w:spacing w:line="360" w:lineRule="auto"/>
        <w:ind w:firstLine="413" w:firstLineChars="196"/>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（一）</w:t>
      </w:r>
      <w:r>
        <w:rPr>
          <w:rFonts w:hint="eastAsia" w:ascii="宋体" w:hAnsi="宋体" w:eastAsia="宋体" w:cs="宋体"/>
          <w:b/>
          <w:color w:val="auto"/>
          <w:sz w:val="21"/>
          <w:szCs w:val="21"/>
          <w:highlight w:val="none"/>
        </w:rPr>
        <w:t>适用范围</w:t>
      </w:r>
    </w:p>
    <w:p>
      <w:pPr>
        <w:autoSpaceDE w:val="0"/>
        <w:autoSpaceDN w:val="0"/>
        <w:adjustRightInd w:val="0"/>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本磋商文件适用于本次项目的磋商、评审、确定成交供应商、验收、合同履约、付款等行为（法律、法规另有规定的，从其规定）。</w:t>
      </w:r>
    </w:p>
    <w:p>
      <w:pPr>
        <w:autoSpaceDE w:val="0"/>
        <w:autoSpaceDN w:val="0"/>
        <w:adjustRightInd w:val="0"/>
        <w:spacing w:line="360" w:lineRule="auto"/>
        <w:ind w:firstLine="480"/>
        <w:rPr>
          <w:rFonts w:hint="eastAsia" w:ascii="宋体" w:hAnsi="宋体" w:eastAsia="宋体" w:cs="宋体"/>
          <w:b/>
          <w:bCs/>
          <w:color w:val="auto"/>
          <w:sz w:val="21"/>
          <w:szCs w:val="21"/>
          <w:highlight w:val="none"/>
        </w:rPr>
      </w:pPr>
      <w:bookmarkStart w:id="80" w:name="_Toc306901451"/>
      <w:bookmarkStart w:id="81" w:name="_Toc302983099"/>
      <w:r>
        <w:rPr>
          <w:rFonts w:hint="eastAsia" w:ascii="宋体" w:hAnsi="宋体" w:eastAsia="宋体" w:cs="宋体"/>
          <w:b/>
          <w:bCs/>
          <w:color w:val="auto"/>
          <w:sz w:val="21"/>
          <w:szCs w:val="21"/>
          <w:highlight w:val="none"/>
        </w:rPr>
        <w:t>（二）定义</w:t>
      </w:r>
    </w:p>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“采购组织机构”指采购人委托组织磋商的集中采购机构或采购代理机构。</w:t>
      </w:r>
    </w:p>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集中采购机构或</w:t>
      </w:r>
      <w:r>
        <w:rPr>
          <w:rFonts w:hint="eastAsia" w:ascii="宋体" w:hAnsi="宋体" w:eastAsia="宋体" w:cs="宋体"/>
          <w:color w:val="auto"/>
          <w:sz w:val="21"/>
          <w:szCs w:val="21"/>
          <w:highlight w:val="none"/>
        </w:rPr>
        <w:t>采购代理机构采购本次项目的国家机关、事业单位和团体组织。</w:t>
      </w:r>
    </w:p>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3、供应商：是指向</w:t>
      </w:r>
      <w:r>
        <w:rPr>
          <w:rFonts w:hint="eastAsia" w:ascii="宋体" w:hAnsi="宋体" w:eastAsia="宋体" w:cs="宋体"/>
          <w:color w:val="auto"/>
          <w:sz w:val="21"/>
          <w:szCs w:val="21"/>
          <w:highlight w:val="none"/>
          <w:lang w:val="zh-CN"/>
        </w:rPr>
        <w:t>采购组织机构</w:t>
      </w:r>
      <w:r>
        <w:rPr>
          <w:rFonts w:hint="eastAsia" w:ascii="宋体" w:hAnsi="宋体" w:eastAsia="宋体" w:cs="宋体"/>
          <w:color w:val="auto"/>
          <w:sz w:val="21"/>
          <w:szCs w:val="21"/>
          <w:highlight w:val="none"/>
        </w:rPr>
        <w:t>提交磋商响应文件的单位或个人。</w:t>
      </w:r>
    </w:p>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pPr>
        <w:autoSpaceDE w:val="0"/>
        <w:autoSpaceDN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（三）磋商费用</w:t>
      </w:r>
    </w:p>
    <w:p>
      <w:pPr>
        <w:autoSpaceDE w:val="0"/>
        <w:autoSpaceDN w:val="0"/>
        <w:adjustRightInd w:val="0"/>
        <w:spacing w:line="360" w:lineRule="auto"/>
        <w:ind w:firstLine="480"/>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不论磋商结果如何，供应商均应自行承担所有与磋商有关的全部费用（磋商文件有相关规定除</w:t>
      </w:r>
      <w:r>
        <w:rPr>
          <w:rFonts w:hint="eastAsia" w:ascii="宋体" w:hAnsi="宋体" w:eastAsia="宋体" w:cs="宋体"/>
          <w:b w:val="0"/>
          <w:bCs w:val="0"/>
          <w:color w:val="auto"/>
          <w:sz w:val="21"/>
          <w:szCs w:val="21"/>
          <w:highlight w:val="none"/>
        </w:rPr>
        <w:t>外）。</w:t>
      </w:r>
    </w:p>
    <w:p>
      <w:pPr>
        <w:autoSpaceDE w:val="0"/>
        <w:autoSpaceDN w:val="0"/>
        <w:adjustRightInd w:val="0"/>
        <w:spacing w:line="240" w:lineRule="auto"/>
        <w:ind w:firstLine="48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（四）联合体投标</w:t>
      </w:r>
    </w:p>
    <w:p>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本项目不接受联合体投标</w:t>
      </w:r>
      <w:r>
        <w:rPr>
          <w:rFonts w:hint="eastAsia" w:ascii="宋体" w:hAnsi="宋体" w:eastAsia="宋体" w:cs="宋体"/>
          <w:color w:val="auto"/>
          <w:sz w:val="18"/>
          <w:szCs w:val="18"/>
          <w:highlight w:val="none"/>
          <w:lang w:val="zh-CN"/>
        </w:rPr>
        <w:t>。</w:t>
      </w:r>
    </w:p>
    <w:p>
      <w:pPr>
        <w:autoSpaceDE w:val="0"/>
        <w:autoSpaceDN w:val="0"/>
        <w:adjustRightInd w:val="0"/>
        <w:spacing w:line="360" w:lineRule="auto"/>
        <w:ind w:firstLine="480"/>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zh-CN" w:eastAsia="zh-CN"/>
        </w:rPr>
        <w:t>转包与分包</w:t>
      </w:r>
    </w:p>
    <w:p>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rPr>
        <w:t>1、本项目不允许转包。</w:t>
      </w:r>
    </w:p>
    <w:p>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18"/>
          <w:szCs w:val="18"/>
          <w:highlight w:val="none"/>
          <w:lang w:val="zh-CN"/>
        </w:rPr>
        <w:t>2、本项目不可以分包</w:t>
      </w:r>
      <w:r>
        <w:rPr>
          <w:rFonts w:hint="eastAsia" w:ascii="宋体" w:hAnsi="宋体" w:eastAsia="宋体" w:cs="宋体"/>
          <w:color w:val="auto"/>
          <w:sz w:val="21"/>
          <w:szCs w:val="21"/>
          <w:highlight w:val="none"/>
          <w:lang w:val="zh-CN"/>
        </w:rPr>
        <w:t>。</w:t>
      </w:r>
    </w:p>
    <w:p>
      <w:pPr>
        <w:pageBreakBefore w:val="0"/>
        <w:widowControl w:val="0"/>
        <w:kinsoku/>
        <w:wordWrap/>
        <w:overflowPunct/>
        <w:topLinePunct w:val="0"/>
        <w:autoSpaceDE w:val="0"/>
        <w:autoSpaceDN w:val="0"/>
        <w:bidi w:val="0"/>
        <w:adjustRightInd w:val="0"/>
        <w:spacing w:line="24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）特别说明</w:t>
      </w:r>
    </w:p>
    <w:bookmarkEnd w:id="80"/>
    <w:bookmarkEnd w:id="81"/>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1、供应商磋商所使用的资格、信誉、荣誉、业绩与企业认证必须为本法人所拥有。供应商磋商所使用的采购项目实施人员必须为本法人员工（指必须为本法人或控股公司正式员工）。</w:t>
      </w:r>
    </w:p>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所标产品除磋商文件中明确规定要求“提供官网截图或相应检测报告的证明材料”以外，所有技术参数描述均以磋商响应文件为准。磋商供应商对所标产品技术参数的真实性承担法律责任。项目磋商结束后、质疑期限内，如有质疑供应商认为成交供应商所标产品、磋商响应文件技术参数与采购需求存在重大偏离、错误、甚至造假的情况，应提供具体有效的证明材料。</w:t>
      </w:r>
    </w:p>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4、供应商不得相互串通磋商报价，不得妨碍其他供应商的公平竞争，不得损害采购人或其他供应商的合法权益，供应商不得以向采购人、磋商小组成员行贿或者采取其他不正当手段谋取成交。</w:t>
      </w:r>
    </w:p>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6、磋商响应文件格式中的表格式样可以根据项目差别做适当调整,但应当保持表格样式基本形态不变。</w:t>
      </w:r>
    </w:p>
    <w:p>
      <w:pPr>
        <w:autoSpaceDE w:val="0"/>
        <w:autoSpaceDN w:val="0"/>
        <w:adjustRightInd w:val="0"/>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7、单位负责人为同一人或者存在直接控股、管理关系的不同供应商，不得参加同一合同项下的政府采购活动。</w:t>
      </w:r>
    </w:p>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8、本项目不允许分包。</w:t>
      </w:r>
      <w:r>
        <w:rPr>
          <w:rFonts w:hint="eastAsia" w:ascii="宋体" w:hAnsi="宋体" w:eastAsia="宋体" w:cs="宋体"/>
          <w:color w:val="auto"/>
          <w:sz w:val="21"/>
          <w:szCs w:val="21"/>
          <w:highlight w:val="none"/>
        </w:rPr>
        <w:t>（若本项目允许部分分包，则分包如下：供应商根据磋商文件的规定和采购项目的实际情况，拟在成交后将成交项目的非主体、非关键性工作分包的，应当在磋商响应文件中载明分包承担主体，分包承担主体应当具备相应资质条件且不得再次分包。）</w:t>
      </w:r>
    </w:p>
    <w:p>
      <w:pPr>
        <w:autoSpaceDE w:val="0"/>
        <w:autoSpaceDN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9、政府采购政策及优惠：</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本次采购专门面向中小企业/小微企业或监狱企业或残疾人福利性单位</w:t>
      </w:r>
      <w:r>
        <w:rPr>
          <w:rFonts w:hint="eastAsia" w:ascii="宋体" w:hAnsi="宋体" w:eastAsia="宋体" w:cs="宋体"/>
          <w:b/>
          <w:bCs/>
          <w:color w:val="auto"/>
          <w:sz w:val="21"/>
          <w:szCs w:val="21"/>
          <w:highlight w:val="none"/>
          <w:lang w:eastAsia="zh-CN"/>
        </w:rPr>
        <w:t>的</w:t>
      </w:r>
      <w:r>
        <w:rPr>
          <w:rFonts w:hint="eastAsia" w:ascii="宋体" w:hAnsi="宋体" w:eastAsia="宋体" w:cs="宋体"/>
          <w:b/>
          <w:bCs/>
          <w:color w:val="auto"/>
          <w:sz w:val="21"/>
          <w:szCs w:val="21"/>
          <w:highlight w:val="none"/>
        </w:rPr>
        <w:t>采购项目。</w:t>
      </w:r>
    </w:p>
    <w:p>
      <w:pPr>
        <w:autoSpaceDE w:val="0"/>
        <w:autoSpaceDN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autoSpaceDE w:val="0"/>
        <w:autoSpaceDN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（3）以联合体形式参加政府采购活动，联合体各方均为小微企业的，联合体视同小微企业。（本项目不适用）</w:t>
      </w:r>
    </w:p>
    <w:p>
      <w:pPr>
        <w:autoSpaceDE w:val="0"/>
        <w:autoSpaceDN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（4）符合小微企业划分标准的个体工商户，视同小微企业。</w:t>
      </w:r>
    </w:p>
    <w:p>
      <w:pPr>
        <w:autoSpaceDE w:val="0"/>
        <w:autoSpaceDN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（5）本项目不接受大中型企业与小微企业组成联合体。</w:t>
      </w:r>
    </w:p>
    <w:p>
      <w:pPr>
        <w:autoSpaceDE w:val="0"/>
        <w:autoSpaceDN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（6）本项目不允许大中型企业向一家或者多家小微企业分包。</w:t>
      </w:r>
    </w:p>
    <w:p>
      <w:pPr>
        <w:autoSpaceDE w:val="0"/>
        <w:autoSpaceDN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（7）提供的服务全部由中小微企业承接（包括联合体内的小微企业和接受分包的小微企业）的，供应商应当出具《中小企业声明函》。</w:t>
      </w:r>
    </w:p>
    <w:p>
      <w:pPr>
        <w:autoSpaceDE w:val="0"/>
        <w:autoSpaceDN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（8）残疾人福利性单位视同小微企业，参加政府采购活动时，应当提供《残疾人福利性单位声明函》。</w:t>
      </w:r>
    </w:p>
    <w:p>
      <w:pPr>
        <w:autoSpaceDE w:val="0"/>
        <w:autoSpaceDN w:val="0"/>
        <w:adjustRightInd w:val="0"/>
        <w:spacing w:line="360" w:lineRule="auto"/>
        <w:ind w:firstLine="48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（9）监狱企业视同小微企业，参加政府采购活动时，应当出具省级以上监狱管理局、戒毒管理局（含新疆生产建设兵团）提供的属于监狱企业的证明文件。</w:t>
      </w:r>
    </w:p>
    <w:p>
      <w:pPr>
        <w:autoSpaceDE w:val="0"/>
        <w:autoSpaceDN w:val="0"/>
        <w:adjustRightInd w:val="0"/>
        <w:spacing w:line="360" w:lineRule="auto"/>
        <w:ind w:firstLine="480"/>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zh-CN" w:eastAsia="zh-CN"/>
        </w:rPr>
        <w:t>信用信息</w:t>
      </w:r>
    </w:p>
    <w:p>
      <w:pPr>
        <w:autoSpaceDE w:val="0"/>
        <w:autoSpaceDN w:val="0"/>
        <w:adjustRightInd w:val="0"/>
        <w:spacing w:line="380" w:lineRule="exact"/>
        <w:ind w:firstLine="422" w:firstLineChars="200"/>
        <w:rPr>
          <w:rFonts w:hint="eastAsia" w:ascii="Times New Roman" w:hAnsi="宋体" w:eastAsia="宋体" w:cs="Times New Roman"/>
          <w:b/>
          <w:bCs/>
          <w:color w:val="auto"/>
          <w:sz w:val="21"/>
          <w:szCs w:val="21"/>
          <w:highlight w:val="none"/>
          <w:lang w:val="zh-CN"/>
        </w:rPr>
      </w:pPr>
      <w:r>
        <w:rPr>
          <w:rFonts w:hint="eastAsia" w:ascii="Times New Roman" w:hAnsi="宋体" w:eastAsia="宋体" w:cs="Times New Roman"/>
          <w:b/>
          <w:bCs/>
          <w:color w:val="auto"/>
          <w:sz w:val="21"/>
          <w:szCs w:val="21"/>
          <w:highlight w:val="none"/>
          <w:lang w:val="en-US" w:eastAsia="zh-CN"/>
        </w:rPr>
        <w:t>供应商</w:t>
      </w:r>
      <w:r>
        <w:rPr>
          <w:rFonts w:hint="eastAsia" w:ascii="Times New Roman" w:hAnsi="宋体" w:eastAsia="宋体" w:cs="Times New Roman"/>
          <w:b/>
          <w:bCs/>
          <w:color w:val="auto"/>
          <w:sz w:val="21"/>
          <w:szCs w:val="21"/>
          <w:highlight w:val="none"/>
          <w:lang w:val="zh-CN"/>
        </w:rPr>
        <w:t>信用信息查询渠道及截止时点、信用信息查询记录和证据留存的具体方式、信用信息的使用规则：</w:t>
      </w:r>
    </w:p>
    <w:p>
      <w:pPr>
        <w:autoSpaceDE w:val="0"/>
        <w:autoSpaceDN w:val="0"/>
        <w:adjustRightInd w:val="0"/>
        <w:spacing w:line="380" w:lineRule="exact"/>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sym w:font="Wingdings" w:char="0081"/>
      </w:r>
      <w:r>
        <w:rPr>
          <w:rFonts w:hint="eastAsia" w:ascii="宋体" w:hAnsi="宋体" w:cs="宋体"/>
          <w:color w:val="auto"/>
          <w:sz w:val="21"/>
          <w:szCs w:val="21"/>
          <w:highlight w:val="none"/>
          <w:lang w:val="zh-CN"/>
        </w:rPr>
        <w:t>查询渠道：中国政府采购网（网址：http://www.ccgp.gov.cn）、信用中国（网址：</w:t>
      </w:r>
      <w:r>
        <w:rPr>
          <w:rFonts w:hint="eastAsia" w:ascii="宋体" w:hAnsi="宋体" w:cs="宋体"/>
          <w:color w:val="auto"/>
          <w:sz w:val="21"/>
          <w:szCs w:val="21"/>
          <w:highlight w:val="none"/>
          <w:lang w:val="zh-CN"/>
        </w:rPr>
        <w:fldChar w:fldCharType="begin"/>
      </w:r>
      <w:r>
        <w:rPr>
          <w:rFonts w:hint="eastAsia" w:ascii="宋体" w:hAnsi="宋体" w:cs="宋体"/>
          <w:color w:val="auto"/>
          <w:sz w:val="21"/>
          <w:szCs w:val="21"/>
          <w:highlight w:val="none"/>
          <w:lang w:val="zh-CN"/>
        </w:rPr>
        <w:instrText xml:space="preserve"> HYPERLINK "http://www.creditchina.gov.cn" </w:instrText>
      </w:r>
      <w:r>
        <w:rPr>
          <w:rFonts w:hint="eastAsia" w:ascii="宋体" w:hAnsi="宋体" w:cs="宋体"/>
          <w:color w:val="auto"/>
          <w:sz w:val="21"/>
          <w:szCs w:val="21"/>
          <w:highlight w:val="none"/>
          <w:lang w:val="zh-CN"/>
        </w:rPr>
        <w:fldChar w:fldCharType="separate"/>
      </w:r>
      <w:r>
        <w:rPr>
          <w:rFonts w:hint="eastAsia" w:ascii="宋体" w:hAnsi="宋体" w:cs="宋体"/>
          <w:color w:val="auto"/>
          <w:sz w:val="21"/>
          <w:szCs w:val="21"/>
          <w:highlight w:val="none"/>
          <w:lang w:val="zh-CN"/>
        </w:rPr>
        <w:t>http://www.creditchina.gov.cn</w:t>
      </w:r>
      <w:r>
        <w:rPr>
          <w:rFonts w:hint="eastAsia" w:ascii="宋体" w:hAnsi="宋体" w:cs="宋体"/>
          <w:color w:val="auto"/>
          <w:sz w:val="21"/>
          <w:szCs w:val="21"/>
          <w:highlight w:val="none"/>
          <w:lang w:val="zh-CN"/>
        </w:rPr>
        <w:fldChar w:fldCharType="end"/>
      </w:r>
      <w:r>
        <w:rPr>
          <w:rFonts w:hint="eastAsia" w:ascii="宋体" w:hAnsi="宋体" w:cs="宋体"/>
          <w:color w:val="auto"/>
          <w:sz w:val="21"/>
          <w:szCs w:val="21"/>
          <w:highlight w:val="none"/>
          <w:lang w:val="zh-CN"/>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sym w:font="Wingdings" w:char="F082"/>
      </w:r>
      <w:r>
        <w:rPr>
          <w:rFonts w:hint="eastAsia" w:ascii="宋体" w:hAnsi="宋体" w:cs="宋体"/>
          <w:color w:val="auto"/>
          <w:sz w:val="21"/>
          <w:szCs w:val="21"/>
          <w:highlight w:val="none"/>
          <w:lang w:val="zh-CN"/>
        </w:rPr>
        <w:t>截止时间：开标后评标前。</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sym w:font="Wingdings" w:char="F083"/>
      </w:r>
      <w:r>
        <w:rPr>
          <w:rFonts w:hint="eastAsia" w:ascii="宋体" w:hAnsi="宋体" w:cs="宋体"/>
          <w:color w:val="auto"/>
          <w:sz w:val="21"/>
          <w:szCs w:val="21"/>
          <w:highlight w:val="none"/>
          <w:lang w:val="zh-CN"/>
        </w:rPr>
        <w:t>信用信息查询记录和证据留存的具体方式：将在规定查询时间内打印信用信息查询记录及相关证据，并将与其他采购文件一并保存。</w:t>
      </w:r>
    </w:p>
    <w:p>
      <w:pPr>
        <w:autoSpaceDE w:val="0"/>
        <w:autoSpaceDN w:val="0"/>
        <w:adjustRightIn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sym w:font="Wingdings" w:char="0084"/>
      </w:r>
      <w:r>
        <w:rPr>
          <w:rFonts w:hint="eastAsia" w:ascii="宋体" w:hAnsi="宋体" w:cs="宋体"/>
          <w:color w:val="auto"/>
          <w:sz w:val="21"/>
          <w:szCs w:val="21"/>
          <w:highlight w:val="none"/>
          <w:lang w:val="zh-CN"/>
        </w:rPr>
        <w:t>使用规则：</w:t>
      </w:r>
      <w:r>
        <w:rPr>
          <w:rFonts w:hint="eastAsia" w:ascii="宋体" w:hAnsi="宋体" w:eastAsia="宋体" w:cs="宋体"/>
          <w:b/>
          <w:bCs/>
          <w:color w:val="auto"/>
          <w:sz w:val="21"/>
          <w:szCs w:val="21"/>
          <w:highlight w:val="none"/>
        </w:rPr>
        <w:t>对列入失信被执行人、重大税收违法案件当事人名单、政府采购严重违法失信行为记录名单及其他不符合《中华人民共和国政府采购法》第二十二条规定条件的供应商，将被拒绝其参与政府采购活动。</w:t>
      </w:r>
    </w:p>
    <w:p>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zh-CN"/>
        </w:rPr>
        <w:t>质疑与投诉</w:t>
      </w:r>
    </w:p>
    <w:p>
      <w:pPr>
        <w:pStyle w:val="2"/>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认为</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文件、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过程和中标结果使自己的权益收到损害的，可以在知道或者应知其权益收到损害之日起七个工作日内，以书面形式向代理机构提出质疑（在法定质疑期内一次性提出针对同一</w:t>
      </w:r>
      <w:r>
        <w:rPr>
          <w:rFonts w:hint="eastAsia"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程序环节的质疑）。</w:t>
      </w:r>
    </w:p>
    <w:p>
      <w:pPr>
        <w:pStyle w:val="2"/>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2、质疑</w:t>
      </w:r>
      <w:r>
        <w:rPr>
          <w:rFonts w:hint="eastAsia"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lang w:val="zh-CN"/>
        </w:rPr>
        <w:t>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pPr>
        <w:pStyle w:val="2"/>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3、代理机构在收到质疑</w:t>
      </w:r>
      <w:r>
        <w:rPr>
          <w:rFonts w:hint="eastAsia"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lang w:val="zh-CN"/>
        </w:rPr>
        <w:t>的书面质疑后7个工作日内作出书面答复（涉及项目</w:t>
      </w:r>
      <w:r>
        <w:rPr>
          <w:rFonts w:hint="eastAsia"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需求内容的由</w:t>
      </w:r>
      <w:r>
        <w:rPr>
          <w:rFonts w:hint="eastAsia" w:hAnsi="宋体" w:eastAsia="宋体" w:cs="宋体"/>
          <w:color w:val="auto"/>
          <w:sz w:val="21"/>
          <w:szCs w:val="21"/>
          <w:highlight w:val="none"/>
          <w:lang w:val="zh-CN"/>
        </w:rPr>
        <w:t>采购人</w:t>
      </w:r>
      <w:r>
        <w:rPr>
          <w:rFonts w:hint="eastAsia" w:ascii="宋体" w:hAnsi="宋体" w:eastAsia="宋体" w:cs="宋体"/>
          <w:color w:val="auto"/>
          <w:sz w:val="21"/>
          <w:szCs w:val="21"/>
          <w:highlight w:val="none"/>
          <w:lang w:val="zh-CN"/>
        </w:rPr>
        <w:t>答复），质疑人在收到答复后应于1 日内，以书面或传真形式（签署意见并加盖公章）向代理机构回复予以确认。过期未回复的，视为默认接受。</w:t>
      </w:r>
    </w:p>
    <w:p>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4、质疑</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捏造事实、提供虚假材料进行质疑的，代理机构报告同级监</w:t>
      </w:r>
      <w:r>
        <w:rPr>
          <w:rFonts w:hint="eastAsia" w:ascii="宋体" w:hAnsi="宋体" w:eastAsia="宋体" w:cs="宋体"/>
          <w:color w:val="auto"/>
          <w:sz w:val="21"/>
          <w:szCs w:val="21"/>
          <w:highlight w:val="none"/>
          <w:lang w:val="zh-CN" w:eastAsia="zh-CN"/>
        </w:rPr>
        <w:t>督</w:t>
      </w:r>
      <w:r>
        <w:rPr>
          <w:rFonts w:hint="eastAsia" w:ascii="宋体" w:hAnsi="宋体" w:eastAsia="宋体" w:cs="宋体"/>
          <w:color w:val="auto"/>
          <w:sz w:val="21"/>
          <w:szCs w:val="21"/>
          <w:highlight w:val="none"/>
          <w:lang w:val="zh-CN"/>
        </w:rPr>
        <w:t>部门。情况属实的，列入不良行为记录并在指定的媒体上公告。</w:t>
      </w:r>
    </w:p>
    <w:p>
      <w:pPr>
        <w:pStyle w:val="3"/>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rPr>
        <w:t>5、</w:t>
      </w:r>
      <w:r>
        <w:rPr>
          <w:rFonts w:hint="eastAsia" w:ascii="宋体" w:hAnsi="宋体" w:eastAsia="宋体" w:cs="宋体"/>
          <w:b w:val="0"/>
          <w:bCs w:val="0"/>
          <w:color w:val="auto"/>
          <w:kern w:val="0"/>
          <w:sz w:val="21"/>
          <w:szCs w:val="21"/>
          <w:highlight w:val="none"/>
        </w:rPr>
        <w:t>质疑</w:t>
      </w:r>
      <w:r>
        <w:rPr>
          <w:rFonts w:hint="eastAsia" w:ascii="宋体" w:hAnsi="宋体" w:eastAsia="宋体" w:cs="宋体"/>
          <w:b w:val="0"/>
          <w:bCs w:val="0"/>
          <w:color w:val="auto"/>
          <w:kern w:val="0"/>
          <w:sz w:val="21"/>
          <w:szCs w:val="21"/>
          <w:highlight w:val="none"/>
          <w:lang w:val="en-US" w:eastAsia="zh-CN"/>
        </w:rPr>
        <w:t>供应商</w:t>
      </w:r>
      <w:r>
        <w:rPr>
          <w:rFonts w:hint="eastAsia" w:ascii="宋体" w:hAnsi="宋体" w:eastAsia="宋体" w:cs="宋体"/>
          <w:b w:val="0"/>
          <w:bCs w:val="0"/>
          <w:color w:val="auto"/>
          <w:kern w:val="0"/>
          <w:sz w:val="21"/>
          <w:szCs w:val="21"/>
          <w:highlight w:val="none"/>
        </w:rPr>
        <w:t>对</w:t>
      </w:r>
      <w:r>
        <w:rPr>
          <w:rFonts w:hint="eastAsia" w:ascii="宋体" w:hAnsi="宋体" w:eastAsia="宋体" w:cs="宋体"/>
          <w:b w:val="0"/>
          <w:bCs w:val="0"/>
          <w:color w:val="auto"/>
          <w:kern w:val="0"/>
          <w:sz w:val="21"/>
          <w:szCs w:val="21"/>
          <w:highlight w:val="none"/>
          <w:lang w:val="en-US" w:eastAsia="zh-CN"/>
        </w:rPr>
        <w:t>采购</w:t>
      </w:r>
      <w:r>
        <w:rPr>
          <w:rFonts w:hint="eastAsia" w:ascii="宋体" w:hAnsi="宋体" w:eastAsia="宋体" w:cs="宋体"/>
          <w:b w:val="0"/>
          <w:bCs w:val="0"/>
          <w:color w:val="auto"/>
          <w:kern w:val="0"/>
          <w:sz w:val="21"/>
          <w:szCs w:val="21"/>
          <w:highlight w:val="none"/>
          <w:lang w:eastAsia="zh-CN"/>
        </w:rPr>
        <w:t>人</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eastAsia="zh-CN"/>
        </w:rPr>
        <w:t>代理机构</w:t>
      </w:r>
      <w:r>
        <w:rPr>
          <w:rFonts w:hint="eastAsia" w:ascii="宋体" w:hAnsi="宋体" w:eastAsia="宋体" w:cs="宋体"/>
          <w:b w:val="0"/>
          <w:bCs w:val="0"/>
          <w:color w:val="auto"/>
          <w:kern w:val="0"/>
          <w:sz w:val="21"/>
          <w:szCs w:val="21"/>
          <w:highlight w:val="none"/>
        </w:rPr>
        <w:t>的答复不满意或者</w:t>
      </w:r>
      <w:r>
        <w:rPr>
          <w:rFonts w:hint="eastAsia" w:ascii="宋体" w:hAnsi="宋体" w:eastAsia="宋体" w:cs="宋体"/>
          <w:b w:val="0"/>
          <w:bCs w:val="0"/>
          <w:color w:val="auto"/>
          <w:kern w:val="0"/>
          <w:sz w:val="21"/>
          <w:szCs w:val="21"/>
          <w:highlight w:val="none"/>
          <w:lang w:val="en-US" w:eastAsia="zh-CN"/>
        </w:rPr>
        <w:t>采购</w:t>
      </w:r>
      <w:r>
        <w:rPr>
          <w:rFonts w:hint="eastAsia" w:ascii="宋体" w:hAnsi="宋体" w:eastAsia="宋体" w:cs="宋体"/>
          <w:b w:val="0"/>
          <w:bCs w:val="0"/>
          <w:color w:val="auto"/>
          <w:kern w:val="0"/>
          <w:sz w:val="21"/>
          <w:szCs w:val="21"/>
          <w:highlight w:val="none"/>
          <w:lang w:eastAsia="zh-CN"/>
        </w:rPr>
        <w:t>人</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eastAsia="zh-CN"/>
        </w:rPr>
        <w:t>代理机构</w:t>
      </w:r>
      <w:r>
        <w:rPr>
          <w:rFonts w:hint="eastAsia" w:ascii="宋体" w:hAnsi="宋体" w:eastAsia="宋体" w:cs="宋体"/>
          <w:b w:val="0"/>
          <w:bCs w:val="0"/>
          <w:color w:val="auto"/>
          <w:kern w:val="0"/>
          <w:sz w:val="21"/>
          <w:szCs w:val="21"/>
          <w:highlight w:val="none"/>
        </w:rPr>
        <w:t>未在规定的时间内作出答复的，可以在答复期满后十五个工作日内向</w:t>
      </w:r>
      <w:r>
        <w:rPr>
          <w:rFonts w:hint="eastAsia" w:ascii="宋体" w:hAnsi="宋体" w:eastAsia="宋体" w:cs="宋体"/>
          <w:b w:val="0"/>
          <w:bCs w:val="0"/>
          <w:color w:val="auto"/>
          <w:sz w:val="21"/>
          <w:szCs w:val="21"/>
          <w:highlight w:val="none"/>
          <w:lang w:val="zh-CN"/>
        </w:rPr>
        <w:t>同级监</w:t>
      </w:r>
      <w:r>
        <w:rPr>
          <w:rFonts w:hint="eastAsia" w:ascii="宋体" w:hAnsi="宋体" w:eastAsia="宋体" w:cs="宋体"/>
          <w:b w:val="0"/>
          <w:bCs w:val="0"/>
          <w:color w:val="auto"/>
          <w:sz w:val="21"/>
          <w:szCs w:val="21"/>
          <w:highlight w:val="none"/>
          <w:lang w:val="zh-CN" w:eastAsia="zh-CN"/>
        </w:rPr>
        <w:t>督</w:t>
      </w:r>
      <w:r>
        <w:rPr>
          <w:rFonts w:hint="eastAsia" w:ascii="宋体" w:hAnsi="宋体" w:eastAsia="宋体" w:cs="宋体"/>
          <w:b w:val="0"/>
          <w:bCs w:val="0"/>
          <w:color w:val="auto"/>
          <w:sz w:val="21"/>
          <w:szCs w:val="21"/>
          <w:highlight w:val="none"/>
          <w:lang w:val="zh-CN"/>
        </w:rPr>
        <w:t>部门</w:t>
      </w:r>
      <w:r>
        <w:rPr>
          <w:rFonts w:hint="eastAsia" w:ascii="宋体" w:hAnsi="宋体" w:eastAsia="宋体" w:cs="宋体"/>
          <w:b w:val="0"/>
          <w:bCs w:val="0"/>
          <w:color w:val="auto"/>
          <w:kern w:val="0"/>
          <w:sz w:val="21"/>
          <w:szCs w:val="21"/>
          <w:highlight w:val="none"/>
        </w:rPr>
        <w:t>投诉。</w:t>
      </w:r>
    </w:p>
    <w:p>
      <w:pPr>
        <w:keepNext w:val="0"/>
        <w:keepLines w:val="0"/>
        <w:pageBreakBefore w:val="0"/>
        <w:widowControl w:val="0"/>
        <w:kinsoku/>
        <w:wordWrap/>
        <w:overflowPunct/>
        <w:topLinePunct w:val="0"/>
        <w:autoSpaceDE w:val="0"/>
        <w:autoSpaceDN w:val="0"/>
        <w:bidi w:val="0"/>
        <w:adjustRightInd w:val="0"/>
        <w:spacing w:line="360" w:lineRule="auto"/>
        <w:ind w:firstLine="422" w:firstLineChars="200"/>
        <w:jc w:val="left"/>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二、磋商文件</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b/>
          <w:color w:val="auto"/>
          <w:sz w:val="21"/>
          <w:szCs w:val="21"/>
          <w:highlight w:val="none"/>
          <w:lang w:val="zh-CN"/>
        </w:rPr>
      </w:pPr>
      <w:r>
        <w:rPr>
          <w:rFonts w:hint="eastAsia" w:ascii="宋体"/>
          <w:b/>
          <w:color w:val="auto"/>
          <w:sz w:val="21"/>
          <w:szCs w:val="21"/>
          <w:highlight w:val="none"/>
          <w:lang w:val="zh-CN"/>
        </w:rPr>
        <w:t>（一）</w:t>
      </w:r>
      <w:r>
        <w:rPr>
          <w:rFonts w:hint="eastAsia" w:ascii="宋体"/>
          <w:b/>
          <w:color w:val="auto"/>
          <w:sz w:val="21"/>
          <w:szCs w:val="21"/>
          <w:highlight w:val="none"/>
          <w:lang w:val="en-US" w:eastAsia="zh-CN"/>
        </w:rPr>
        <w:t>磋商</w:t>
      </w:r>
      <w:r>
        <w:rPr>
          <w:rFonts w:hint="eastAsia" w:ascii="宋体"/>
          <w:b/>
          <w:color w:val="auto"/>
          <w:sz w:val="21"/>
          <w:szCs w:val="21"/>
          <w:highlight w:val="none"/>
          <w:lang w:val="zh-CN"/>
        </w:rPr>
        <w:t>文件的构成</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color w:val="auto"/>
          <w:sz w:val="21"/>
          <w:szCs w:val="21"/>
          <w:highlight w:val="none"/>
          <w:lang w:val="zh-CN"/>
        </w:rPr>
      </w:pPr>
      <w:r>
        <w:rPr>
          <w:rFonts w:hint="eastAsia" w:ascii="宋体"/>
          <w:color w:val="auto"/>
          <w:sz w:val="21"/>
          <w:szCs w:val="21"/>
          <w:highlight w:val="none"/>
          <w:lang w:val="zh-CN"/>
        </w:rPr>
        <w:t>本</w:t>
      </w:r>
      <w:r>
        <w:rPr>
          <w:rFonts w:hint="eastAsia" w:ascii="宋体"/>
          <w:color w:val="auto"/>
          <w:sz w:val="21"/>
          <w:szCs w:val="21"/>
          <w:highlight w:val="none"/>
          <w:lang w:val="en-US" w:eastAsia="zh-CN"/>
        </w:rPr>
        <w:t>磋商</w:t>
      </w:r>
      <w:r>
        <w:rPr>
          <w:rFonts w:hint="eastAsia" w:ascii="宋体"/>
          <w:color w:val="auto"/>
          <w:sz w:val="21"/>
          <w:szCs w:val="21"/>
          <w:highlight w:val="none"/>
          <w:lang w:val="zh-CN"/>
        </w:rPr>
        <w:t>文件由以下部份组成：</w:t>
      </w:r>
    </w:p>
    <w:p>
      <w:pPr>
        <w:keepNext w:val="0"/>
        <w:keepLines w:val="0"/>
        <w:pageBreakBefore w:val="0"/>
        <w:widowControl w:val="0"/>
        <w:numPr>
          <w:ilvl w:val="0"/>
          <w:numId w:val="6"/>
        </w:numPr>
        <w:kinsoku/>
        <w:wordWrap/>
        <w:overflowPunct/>
        <w:topLinePunct w:val="0"/>
        <w:autoSpaceDE w:val="0"/>
        <w:autoSpaceDN w:val="0"/>
        <w:bidi w:val="0"/>
        <w:adjustRightInd w:val="0"/>
        <w:spacing w:line="360" w:lineRule="auto"/>
        <w:textAlignment w:val="auto"/>
        <w:rPr>
          <w:rFonts w:hint="eastAsia" w:ascii="宋体"/>
          <w:color w:val="auto"/>
          <w:sz w:val="21"/>
          <w:szCs w:val="21"/>
          <w:highlight w:val="none"/>
          <w:lang w:val="zh-CN"/>
        </w:rPr>
      </w:pPr>
      <w:r>
        <w:rPr>
          <w:rFonts w:hint="eastAsia" w:ascii="宋体"/>
          <w:color w:val="auto"/>
          <w:sz w:val="21"/>
          <w:szCs w:val="21"/>
          <w:highlight w:val="none"/>
          <w:lang w:val="en-US" w:eastAsia="zh-CN"/>
        </w:rPr>
        <w:t>竞争性磋商</w:t>
      </w:r>
      <w:r>
        <w:rPr>
          <w:rFonts w:hint="eastAsia" w:ascii="宋体"/>
          <w:color w:val="auto"/>
          <w:sz w:val="21"/>
          <w:szCs w:val="21"/>
          <w:highlight w:val="none"/>
          <w:lang w:val="zh-CN"/>
        </w:rPr>
        <w:t>公告</w:t>
      </w:r>
    </w:p>
    <w:p>
      <w:pPr>
        <w:keepNext w:val="0"/>
        <w:keepLines w:val="0"/>
        <w:pageBreakBefore w:val="0"/>
        <w:widowControl w:val="0"/>
        <w:numPr>
          <w:ilvl w:val="0"/>
          <w:numId w:val="6"/>
        </w:numPr>
        <w:kinsoku/>
        <w:wordWrap/>
        <w:overflowPunct/>
        <w:topLinePunct w:val="0"/>
        <w:autoSpaceDE w:val="0"/>
        <w:autoSpaceDN w:val="0"/>
        <w:bidi w:val="0"/>
        <w:adjustRightInd w:val="0"/>
        <w:spacing w:line="360" w:lineRule="auto"/>
        <w:textAlignment w:val="auto"/>
        <w:rPr>
          <w:rFonts w:hint="eastAsia" w:ascii="宋体"/>
          <w:color w:val="auto"/>
          <w:sz w:val="21"/>
          <w:szCs w:val="21"/>
          <w:highlight w:val="none"/>
          <w:lang w:val="zh-CN"/>
        </w:rPr>
      </w:pPr>
      <w:r>
        <w:rPr>
          <w:rFonts w:hint="eastAsia" w:ascii="宋体"/>
          <w:color w:val="auto"/>
          <w:sz w:val="21"/>
          <w:szCs w:val="21"/>
          <w:highlight w:val="none"/>
          <w:lang w:val="en-US" w:eastAsia="zh-CN"/>
        </w:rPr>
        <w:t>采购</w:t>
      </w:r>
      <w:r>
        <w:rPr>
          <w:rFonts w:hint="eastAsia" w:ascii="宋体"/>
          <w:color w:val="auto"/>
          <w:sz w:val="21"/>
          <w:szCs w:val="21"/>
          <w:highlight w:val="none"/>
          <w:lang w:val="zh-CN"/>
        </w:rPr>
        <w:t>需求</w:t>
      </w:r>
    </w:p>
    <w:p>
      <w:pPr>
        <w:keepNext w:val="0"/>
        <w:keepLines w:val="0"/>
        <w:pageBreakBefore w:val="0"/>
        <w:widowControl w:val="0"/>
        <w:numPr>
          <w:ilvl w:val="0"/>
          <w:numId w:val="6"/>
        </w:numPr>
        <w:kinsoku/>
        <w:wordWrap/>
        <w:overflowPunct/>
        <w:topLinePunct w:val="0"/>
        <w:autoSpaceDE w:val="0"/>
        <w:autoSpaceDN w:val="0"/>
        <w:bidi w:val="0"/>
        <w:adjustRightInd w:val="0"/>
        <w:spacing w:line="360" w:lineRule="auto"/>
        <w:textAlignment w:val="auto"/>
        <w:rPr>
          <w:rFonts w:hint="eastAsia" w:ascii="宋体"/>
          <w:color w:val="auto"/>
          <w:sz w:val="21"/>
          <w:szCs w:val="21"/>
          <w:highlight w:val="none"/>
          <w:lang w:val="zh-CN"/>
        </w:rPr>
      </w:pPr>
      <w:r>
        <w:rPr>
          <w:rFonts w:hint="eastAsia" w:ascii="宋体"/>
          <w:color w:val="auto"/>
          <w:sz w:val="21"/>
          <w:szCs w:val="21"/>
          <w:highlight w:val="none"/>
          <w:lang w:val="en-US" w:eastAsia="zh-CN"/>
        </w:rPr>
        <w:t>供应商</w:t>
      </w:r>
      <w:r>
        <w:rPr>
          <w:rFonts w:hint="eastAsia" w:ascii="宋体"/>
          <w:color w:val="auto"/>
          <w:sz w:val="21"/>
          <w:szCs w:val="21"/>
          <w:highlight w:val="none"/>
          <w:lang w:val="zh-CN"/>
        </w:rPr>
        <w:t>须知</w:t>
      </w:r>
    </w:p>
    <w:p>
      <w:pPr>
        <w:keepNext w:val="0"/>
        <w:keepLines w:val="0"/>
        <w:pageBreakBefore w:val="0"/>
        <w:widowControl w:val="0"/>
        <w:numPr>
          <w:ilvl w:val="0"/>
          <w:numId w:val="6"/>
        </w:numPr>
        <w:kinsoku/>
        <w:wordWrap/>
        <w:overflowPunct/>
        <w:topLinePunct w:val="0"/>
        <w:autoSpaceDE w:val="0"/>
        <w:autoSpaceDN w:val="0"/>
        <w:bidi w:val="0"/>
        <w:adjustRightInd w:val="0"/>
        <w:spacing w:line="360" w:lineRule="auto"/>
        <w:textAlignment w:val="auto"/>
        <w:rPr>
          <w:rFonts w:hint="eastAsia" w:ascii="宋体"/>
          <w:color w:val="auto"/>
          <w:sz w:val="21"/>
          <w:szCs w:val="21"/>
          <w:highlight w:val="none"/>
          <w:lang w:val="zh-CN"/>
        </w:rPr>
      </w:pPr>
      <w:r>
        <w:rPr>
          <w:rFonts w:hint="eastAsia" w:ascii="宋体"/>
          <w:color w:val="auto"/>
          <w:sz w:val="21"/>
          <w:szCs w:val="21"/>
          <w:highlight w:val="none"/>
          <w:lang w:val="zh-CN"/>
        </w:rPr>
        <w:t>评标办法及评分标准</w:t>
      </w:r>
    </w:p>
    <w:p>
      <w:pPr>
        <w:keepNext w:val="0"/>
        <w:keepLines w:val="0"/>
        <w:pageBreakBefore w:val="0"/>
        <w:widowControl w:val="0"/>
        <w:numPr>
          <w:ilvl w:val="0"/>
          <w:numId w:val="6"/>
        </w:numPr>
        <w:kinsoku/>
        <w:wordWrap/>
        <w:overflowPunct/>
        <w:topLinePunct w:val="0"/>
        <w:autoSpaceDE w:val="0"/>
        <w:autoSpaceDN w:val="0"/>
        <w:bidi w:val="0"/>
        <w:adjustRightInd w:val="0"/>
        <w:spacing w:line="360" w:lineRule="auto"/>
        <w:textAlignment w:val="auto"/>
        <w:rPr>
          <w:rFonts w:hint="eastAsia" w:ascii="宋体"/>
          <w:color w:val="auto"/>
          <w:sz w:val="21"/>
          <w:szCs w:val="21"/>
          <w:highlight w:val="none"/>
          <w:lang w:val="zh-CN"/>
        </w:rPr>
      </w:pPr>
      <w:r>
        <w:rPr>
          <w:rFonts w:hint="eastAsia" w:ascii="宋体"/>
          <w:color w:val="auto"/>
          <w:sz w:val="21"/>
          <w:szCs w:val="21"/>
          <w:highlight w:val="none"/>
          <w:lang w:val="zh-CN"/>
        </w:rPr>
        <w:t>合同主要条款</w:t>
      </w:r>
    </w:p>
    <w:p>
      <w:pPr>
        <w:keepNext w:val="0"/>
        <w:keepLines w:val="0"/>
        <w:pageBreakBefore w:val="0"/>
        <w:widowControl w:val="0"/>
        <w:numPr>
          <w:ilvl w:val="0"/>
          <w:numId w:val="6"/>
        </w:numPr>
        <w:kinsoku/>
        <w:wordWrap/>
        <w:overflowPunct/>
        <w:topLinePunct w:val="0"/>
        <w:autoSpaceDE w:val="0"/>
        <w:autoSpaceDN w:val="0"/>
        <w:bidi w:val="0"/>
        <w:adjustRightInd w:val="0"/>
        <w:spacing w:line="360" w:lineRule="auto"/>
        <w:textAlignment w:val="auto"/>
        <w:rPr>
          <w:rFonts w:hint="eastAsia" w:ascii="宋体"/>
          <w:color w:val="auto"/>
          <w:sz w:val="21"/>
          <w:szCs w:val="21"/>
          <w:highlight w:val="none"/>
          <w:lang w:val="zh-CN"/>
        </w:rPr>
      </w:pPr>
      <w:r>
        <w:rPr>
          <w:rFonts w:hint="eastAsia" w:ascii="宋体"/>
          <w:color w:val="auto"/>
          <w:sz w:val="21"/>
          <w:szCs w:val="21"/>
          <w:highlight w:val="none"/>
          <w:lang w:val="en-US" w:eastAsia="zh-CN"/>
        </w:rPr>
        <w:t>磋商响应</w:t>
      </w:r>
      <w:r>
        <w:rPr>
          <w:rFonts w:hint="eastAsia" w:ascii="宋体"/>
          <w:color w:val="auto"/>
          <w:sz w:val="21"/>
          <w:szCs w:val="21"/>
          <w:highlight w:val="none"/>
          <w:lang w:val="zh-CN"/>
        </w:rPr>
        <w:t>文件格式</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color w:val="auto"/>
          <w:sz w:val="21"/>
          <w:szCs w:val="21"/>
          <w:highlight w:val="none"/>
          <w:lang w:val="zh-CN"/>
        </w:rPr>
      </w:pPr>
      <w:r>
        <w:rPr>
          <w:rFonts w:hint="eastAsia" w:ascii="宋体"/>
          <w:color w:val="auto"/>
          <w:sz w:val="21"/>
          <w:szCs w:val="21"/>
          <w:highlight w:val="none"/>
          <w:lang w:val="zh-CN"/>
        </w:rPr>
        <w:t>7、</w:t>
      </w:r>
      <w:r>
        <w:rPr>
          <w:rFonts w:hint="eastAsia" w:ascii="宋体" w:hAnsi="宋体"/>
          <w:color w:val="auto"/>
          <w:sz w:val="21"/>
          <w:szCs w:val="21"/>
          <w:highlight w:val="none"/>
        </w:rPr>
        <w:t>本项目</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文件的澄清、答复、修改、补充的内容</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b/>
          <w:color w:val="auto"/>
          <w:sz w:val="21"/>
          <w:szCs w:val="21"/>
          <w:highlight w:val="none"/>
          <w:lang w:val="zh-CN"/>
        </w:rPr>
      </w:pPr>
      <w:r>
        <w:rPr>
          <w:rFonts w:hint="eastAsia" w:ascii="宋体"/>
          <w:b/>
          <w:color w:val="auto"/>
          <w:sz w:val="21"/>
          <w:szCs w:val="21"/>
          <w:highlight w:val="none"/>
          <w:lang w:val="zh-CN"/>
        </w:rPr>
        <w:t>（二）</w:t>
      </w:r>
      <w:r>
        <w:rPr>
          <w:rFonts w:hint="eastAsia" w:ascii="宋体"/>
          <w:b/>
          <w:color w:val="auto"/>
          <w:sz w:val="21"/>
          <w:szCs w:val="21"/>
          <w:highlight w:val="none"/>
          <w:lang w:val="en-US" w:eastAsia="zh-CN"/>
        </w:rPr>
        <w:t>磋商</w:t>
      </w:r>
      <w:r>
        <w:rPr>
          <w:rFonts w:hint="eastAsia" w:ascii="宋体"/>
          <w:b/>
          <w:color w:val="auto"/>
          <w:sz w:val="21"/>
          <w:szCs w:val="21"/>
          <w:highlight w:val="none"/>
          <w:lang w:val="zh-CN"/>
        </w:rPr>
        <w:t>文件的澄清与修改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lang w:val="zh-CN"/>
        </w:rPr>
        <w:t>如发现</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lang w:val="zh-CN"/>
        </w:rPr>
        <w:t>文件及其评标办法中存在含糊不清、相互矛盾、多种含义以及歧视性不公正条款或违法违规等有疑点需要质疑的，可以自收到</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lang w:val="zh-CN"/>
        </w:rPr>
        <w:t>文件之日（发售截止日之后收到采购文件的，以发售截止日为准）或者采购文件公告期限届满之日（即为</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lang w:val="zh-CN"/>
        </w:rPr>
        <w:t>公告发布后的第</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zh-CN"/>
        </w:rPr>
        <w:t>个工作日）起7个工作日内，以书面形式向采购人和采购代理机构提出质疑。逾期不得再对</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lang w:val="zh-CN"/>
        </w:rPr>
        <w:t>文件内容提出质疑，并视为对</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lang w:val="zh-CN"/>
        </w:rPr>
        <w:t>文件内容认可。</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2.采购代理机构对已发出的</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lang w:val="zh-CN"/>
        </w:rPr>
        <w:t>文件进行必要的澄清或者修改，澄清或者修改内容可能影响</w:t>
      </w:r>
      <w:r>
        <w:rPr>
          <w:rFonts w:hint="eastAsia" w:ascii="宋体" w:hAnsi="宋体" w:cs="宋体"/>
          <w:color w:val="auto"/>
          <w:sz w:val="21"/>
          <w:szCs w:val="21"/>
          <w:highlight w:val="none"/>
          <w:lang w:val="en-US" w:eastAsia="zh-CN"/>
        </w:rPr>
        <w:t>磋商响应</w:t>
      </w:r>
      <w:r>
        <w:rPr>
          <w:rFonts w:hint="eastAsia" w:ascii="宋体" w:hAnsi="宋体" w:cs="宋体"/>
          <w:color w:val="auto"/>
          <w:sz w:val="21"/>
          <w:szCs w:val="21"/>
          <w:highlight w:val="none"/>
          <w:lang w:val="zh-CN"/>
        </w:rPr>
        <w:t>文件编制的，采购代理机构于磋商响应文件提交截止时间至少5日前在“浙江省政府采购网”、“仙居县公共资源交易网”上发布澄清或更正公告；不足5日的，采购代理机构有权顺延提交</w:t>
      </w:r>
      <w:r>
        <w:rPr>
          <w:rFonts w:hint="eastAsia" w:ascii="宋体" w:hAnsi="宋体" w:cs="宋体"/>
          <w:color w:val="auto"/>
          <w:sz w:val="21"/>
          <w:szCs w:val="21"/>
          <w:highlight w:val="none"/>
          <w:lang w:val="en-US" w:eastAsia="zh-CN"/>
        </w:rPr>
        <w:t>磋商响应</w:t>
      </w:r>
      <w:r>
        <w:rPr>
          <w:rFonts w:hint="eastAsia" w:ascii="宋体" w:hAnsi="宋体" w:cs="宋体"/>
          <w:color w:val="auto"/>
          <w:sz w:val="21"/>
          <w:szCs w:val="21"/>
          <w:highlight w:val="none"/>
          <w:lang w:val="zh-CN"/>
        </w:rPr>
        <w:t>文件的截止时间。</w:t>
      </w:r>
    </w:p>
    <w:p>
      <w:pPr>
        <w:autoSpaceDE w:val="0"/>
        <w:autoSpaceDN w:val="0"/>
        <w:adjustRightInd w:val="0"/>
        <w:spacing w:line="360" w:lineRule="auto"/>
        <w:ind w:firstLine="420" w:firstLineChars="200"/>
        <w:rPr>
          <w:rFonts w:hint="eastAsia" w:ascii="宋体" w:hAnsi="宋体" w:eastAsia="宋体" w:cs="宋体"/>
          <w:b/>
          <w:color w:val="auto"/>
          <w:sz w:val="21"/>
          <w:szCs w:val="21"/>
          <w:highlight w:val="none"/>
          <w:lang w:val="zh-CN"/>
        </w:rPr>
      </w:pPr>
      <w:r>
        <w:rPr>
          <w:rFonts w:hint="eastAsia" w:ascii="宋体" w:hAnsi="宋体" w:cs="宋体"/>
          <w:color w:val="auto"/>
          <w:sz w:val="21"/>
          <w:szCs w:val="21"/>
          <w:highlight w:val="none"/>
          <w:lang w:val="zh-CN"/>
        </w:rPr>
        <w:t>3.当</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lang w:val="zh-CN"/>
        </w:rPr>
        <w:t>文件与</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lang w:val="zh-CN"/>
        </w:rPr>
        <w:t>文件的澄清、修改、补充等在同一内容的表述上不一致时，以最后发出的书面文件为准。</w:t>
      </w:r>
    </w:p>
    <w:p>
      <w:pPr>
        <w:autoSpaceDE w:val="0"/>
        <w:autoSpaceDN w:val="0"/>
        <w:adjustRightInd w:val="0"/>
        <w:spacing w:line="360" w:lineRule="auto"/>
        <w:ind w:firstLine="422" w:firstLineChars="200"/>
        <w:jc w:val="lef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val="zh-CN"/>
        </w:rPr>
        <w:t>、磋商响应文件</w:t>
      </w:r>
      <w:r>
        <w:rPr>
          <w:rFonts w:hint="eastAsia" w:ascii="宋体" w:hAnsi="宋体" w:eastAsia="宋体" w:cs="宋体"/>
          <w:b/>
          <w:color w:val="auto"/>
          <w:sz w:val="21"/>
          <w:szCs w:val="21"/>
          <w:highlight w:val="none"/>
          <w:lang w:val="en-US" w:eastAsia="zh-CN"/>
        </w:rPr>
        <w:t>的编制</w:t>
      </w:r>
    </w:p>
    <w:p>
      <w:pPr>
        <w:autoSpaceDE w:val="0"/>
        <w:autoSpaceDN w:val="0"/>
        <w:adjustRightInd w:val="0"/>
        <w:spacing w:line="360" w:lineRule="auto"/>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（一）磋商响应文件的组成</w:t>
      </w:r>
    </w:p>
    <w:p>
      <w:pPr>
        <w:autoSpaceDE w:val="0"/>
        <w:autoSpaceDN w:val="0"/>
        <w:adjustRightInd w:val="0"/>
        <w:spacing w:line="360" w:lineRule="auto"/>
        <w:ind w:firstLine="420" w:firstLineChars="200"/>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1、供应商</w:t>
      </w:r>
      <w:r>
        <w:rPr>
          <w:rFonts w:hint="eastAsia" w:ascii="宋体" w:hAnsi="宋体" w:eastAsia="宋体" w:cs="宋体"/>
          <w:b w:val="0"/>
          <w:bCs/>
          <w:color w:val="auto"/>
          <w:sz w:val="21"/>
          <w:szCs w:val="21"/>
          <w:highlight w:val="none"/>
          <w:lang w:val="zh-CN"/>
        </w:rPr>
        <w:t>应仔细阅读</w:t>
      </w:r>
      <w:r>
        <w:rPr>
          <w:rFonts w:hint="eastAsia" w:ascii="宋体" w:hAnsi="宋体" w:eastAsia="宋体" w:cs="宋体"/>
          <w:b w:val="0"/>
          <w:bCs/>
          <w:color w:val="auto"/>
          <w:sz w:val="21"/>
          <w:szCs w:val="21"/>
          <w:highlight w:val="none"/>
          <w:lang w:val="en-US" w:eastAsia="zh-CN"/>
        </w:rPr>
        <w:t>磋商</w:t>
      </w:r>
      <w:r>
        <w:rPr>
          <w:rFonts w:hint="eastAsia" w:ascii="宋体" w:hAnsi="宋体" w:eastAsia="宋体" w:cs="宋体"/>
          <w:b w:val="0"/>
          <w:bCs/>
          <w:color w:val="auto"/>
          <w:sz w:val="21"/>
          <w:szCs w:val="21"/>
          <w:highlight w:val="none"/>
          <w:lang w:val="zh-CN"/>
        </w:rPr>
        <w:t>文件的所有内容，按照</w:t>
      </w:r>
      <w:r>
        <w:rPr>
          <w:rFonts w:hint="eastAsia" w:ascii="宋体" w:hAnsi="宋体" w:eastAsia="宋体" w:cs="宋体"/>
          <w:b w:val="0"/>
          <w:bCs/>
          <w:color w:val="auto"/>
          <w:sz w:val="21"/>
          <w:szCs w:val="21"/>
          <w:highlight w:val="none"/>
          <w:lang w:val="en-US" w:eastAsia="zh-CN"/>
        </w:rPr>
        <w:t>磋商</w:t>
      </w:r>
      <w:r>
        <w:rPr>
          <w:rFonts w:hint="eastAsia" w:ascii="宋体" w:hAnsi="宋体" w:eastAsia="宋体" w:cs="宋体"/>
          <w:b w:val="0"/>
          <w:bCs/>
          <w:color w:val="auto"/>
          <w:sz w:val="21"/>
          <w:szCs w:val="21"/>
          <w:highlight w:val="none"/>
          <w:lang w:val="zh-CN"/>
        </w:rPr>
        <w:t>文件的要求编制和提交</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lang w:val="zh-CN"/>
        </w:rPr>
        <w:t>文件，并对所提供的全部资料的真实性承担法律责任。</w:t>
      </w:r>
    </w:p>
    <w:p>
      <w:pPr>
        <w:autoSpaceDE w:val="0"/>
        <w:autoSpaceDN w:val="0"/>
        <w:adjustRightInd w:val="0"/>
        <w:spacing w:line="360" w:lineRule="auto"/>
        <w:ind w:firstLine="420" w:firstLineChars="200"/>
        <w:rPr>
          <w:rFonts w:hint="eastAsia" w:ascii="宋体" w:hAnsi="宋体" w:eastAsia="宋体" w:cs="宋体"/>
          <w:b/>
          <w:color w:val="auto"/>
          <w:sz w:val="21"/>
          <w:szCs w:val="21"/>
          <w:highlight w:val="none"/>
          <w:lang w:val="zh-CN"/>
        </w:rPr>
      </w:pPr>
      <w:r>
        <w:rPr>
          <w:rFonts w:hint="eastAsia" w:ascii="宋体" w:hAnsi="宋体" w:eastAsia="宋体" w:cs="宋体"/>
          <w:b w:val="0"/>
          <w:bCs/>
          <w:color w:val="auto"/>
          <w:sz w:val="21"/>
          <w:szCs w:val="21"/>
          <w:highlight w:val="none"/>
          <w:lang w:val="en-US" w:eastAsia="zh-CN"/>
        </w:rPr>
        <w:t>2、磋商响应文件由资格证明文件、商务与技术文件、报价文件组成。</w:t>
      </w:r>
      <w:r>
        <w:rPr>
          <w:rFonts w:hint="eastAsia" w:ascii="宋体" w:hAnsi="宋体" w:eastAsia="宋体" w:cs="宋体"/>
          <w:b/>
          <w:color w:val="auto"/>
          <w:sz w:val="21"/>
          <w:szCs w:val="21"/>
          <w:highlight w:val="none"/>
          <w:lang w:val="zh-CN"/>
        </w:rPr>
        <w:t>【特别提示：如有要求提供资料原件的，原件另行包装，并与磋商响应文件一起提交，磋商响应截止时间后所有原件不予接收。资料原件也可以用与原件相符的公证原件替代】</w:t>
      </w:r>
    </w:p>
    <w:p>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资格证明文件的组成：</w:t>
      </w:r>
    </w:p>
    <w:p>
      <w:pPr>
        <w:snapToGrid w:val="0"/>
        <w:spacing w:beforeLines="0" w:afterLines="0" w:line="360" w:lineRule="auto"/>
        <w:ind w:firstLine="420" w:firstLineChars="200"/>
        <w:rPr>
          <w:rFonts w:hint="default" w:ascii="宋体" w:hAnsi="宋体" w:eastAsia="宋体"/>
          <w:color w:val="auto"/>
          <w:sz w:val="21"/>
          <w:highlight w:val="none"/>
          <w:lang w:val="zh-CN"/>
        </w:rPr>
      </w:pPr>
      <w:r>
        <w:rPr>
          <w:rFonts w:hint="default" w:ascii="宋体" w:hAnsi="宋体" w:eastAsia="宋体"/>
          <w:color w:val="auto"/>
          <w:sz w:val="21"/>
          <w:highlight w:val="none"/>
          <w:lang w:val="zh-CN"/>
        </w:rPr>
        <w:t>（1）磋商声明书(格式见附件)；</w:t>
      </w:r>
    </w:p>
    <w:p>
      <w:pPr>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default" w:ascii="宋体" w:hAnsi="宋体" w:eastAsia="宋体"/>
          <w:color w:val="auto"/>
          <w:sz w:val="21"/>
          <w:highlight w:val="none"/>
          <w:lang w:val="zh-CN"/>
        </w:rPr>
        <w:t>（2）</w:t>
      </w:r>
      <w:r>
        <w:rPr>
          <w:rFonts w:hint="eastAsia" w:ascii="宋体" w:hAnsi="宋体" w:eastAsia="宋体" w:cs="宋体"/>
          <w:color w:val="auto"/>
          <w:sz w:val="21"/>
          <w:szCs w:val="21"/>
          <w:highlight w:val="none"/>
        </w:rPr>
        <w:t>法定代表人资格证明书或法定代表人授权委托书（格式见附件，如法定代表人亲自办理投标事宜的，则提供法定代表人资格证明书；如委托代理人办理的则提供授权委托书）；</w:t>
      </w:r>
    </w:p>
    <w:p>
      <w:pPr>
        <w:snapToGrid w:val="0"/>
        <w:spacing w:beforeLines="0" w:afterLines="0" w:line="360" w:lineRule="auto"/>
        <w:ind w:firstLine="420" w:firstLineChars="200"/>
        <w:rPr>
          <w:rFonts w:hint="default" w:ascii="宋体" w:hAnsi="宋体" w:eastAsia="宋体"/>
          <w:color w:val="auto"/>
          <w:sz w:val="21"/>
          <w:highlight w:val="none"/>
          <w:lang w:val="zh-CN"/>
        </w:rPr>
      </w:pPr>
      <w:r>
        <w:rPr>
          <w:rFonts w:hint="default" w:ascii="宋体" w:hAnsi="宋体" w:eastAsia="宋体"/>
          <w:color w:val="auto"/>
          <w:sz w:val="21"/>
          <w:highlight w:val="none"/>
          <w:lang w:val="zh-CN"/>
        </w:rPr>
        <w:t>（</w:t>
      </w:r>
      <w:r>
        <w:rPr>
          <w:rFonts w:hint="default" w:ascii="宋体" w:hAnsi="宋体" w:eastAsia="宋体"/>
          <w:color w:val="auto"/>
          <w:sz w:val="21"/>
          <w:highlight w:val="none"/>
        </w:rPr>
        <w:t>3</w:t>
      </w:r>
      <w:r>
        <w:rPr>
          <w:rFonts w:hint="default" w:ascii="宋体" w:hAnsi="宋体" w:eastAsia="宋体"/>
          <w:color w:val="auto"/>
          <w:sz w:val="21"/>
          <w:highlight w:val="none"/>
          <w:lang w:val="zh-CN"/>
        </w:rPr>
        <w:t>）提供有效的营业执照复印件；如事业单位参加磋商的，则提供有效的《事业单位法人证书》复印件；如自然人参加磋商的，则提供自然人身份证复印件；</w:t>
      </w:r>
    </w:p>
    <w:p>
      <w:pPr>
        <w:snapToGrid w:val="0"/>
        <w:spacing w:beforeLines="0" w:afterLines="0" w:line="360" w:lineRule="auto"/>
        <w:ind w:firstLine="420" w:firstLineChars="200"/>
        <w:rPr>
          <w:rFonts w:hint="default" w:ascii="宋体" w:hAnsi="宋体" w:eastAsia="宋体"/>
          <w:color w:val="auto"/>
          <w:sz w:val="21"/>
          <w:highlight w:val="none"/>
          <w:lang w:val="zh-CN"/>
        </w:rPr>
      </w:pPr>
      <w:r>
        <w:rPr>
          <w:rFonts w:hint="default" w:ascii="宋体" w:hAnsi="宋体" w:eastAsia="宋体"/>
          <w:color w:val="auto"/>
          <w:sz w:val="21"/>
          <w:highlight w:val="none"/>
          <w:lang w:val="zh-CN"/>
        </w:rPr>
        <w:t>（</w:t>
      </w:r>
      <w:r>
        <w:rPr>
          <w:rFonts w:hint="default" w:ascii="宋体" w:hAnsi="宋体" w:eastAsia="宋体"/>
          <w:color w:val="auto"/>
          <w:sz w:val="21"/>
          <w:highlight w:val="none"/>
        </w:rPr>
        <w:t>4</w:t>
      </w:r>
      <w:r>
        <w:rPr>
          <w:rFonts w:hint="default" w:ascii="宋体" w:hAnsi="宋体" w:eastAsia="宋体"/>
          <w:color w:val="auto"/>
          <w:sz w:val="21"/>
          <w:highlight w:val="none"/>
          <w:lang w:val="zh-CN"/>
        </w:rPr>
        <w:t>）依法缴纳税收及社会保障资金的承诺函（格式见附件）</w:t>
      </w:r>
    </w:p>
    <w:p>
      <w:pPr>
        <w:snapToGrid w:val="0"/>
        <w:spacing w:beforeLines="0" w:afterLines="0" w:line="360" w:lineRule="auto"/>
        <w:ind w:firstLine="420" w:firstLineChars="200"/>
        <w:rPr>
          <w:rFonts w:hint="default" w:ascii="宋体" w:hAnsi="宋体" w:eastAsia="宋体"/>
          <w:color w:val="auto"/>
          <w:sz w:val="21"/>
          <w:highlight w:val="none"/>
        </w:rPr>
      </w:pPr>
      <w:r>
        <w:rPr>
          <w:rFonts w:hint="default" w:ascii="宋体" w:hAnsi="宋体" w:eastAsia="宋体"/>
          <w:color w:val="auto"/>
          <w:sz w:val="21"/>
          <w:highlight w:val="none"/>
          <w:lang w:val="zh-CN"/>
        </w:rPr>
        <w:t>（</w:t>
      </w:r>
      <w:r>
        <w:rPr>
          <w:rFonts w:hint="default" w:ascii="宋体" w:hAnsi="宋体" w:eastAsia="宋体"/>
          <w:color w:val="auto"/>
          <w:sz w:val="21"/>
          <w:highlight w:val="none"/>
        </w:rPr>
        <w:t>5</w:t>
      </w:r>
      <w:r>
        <w:rPr>
          <w:rFonts w:hint="default" w:ascii="宋体" w:hAnsi="宋体" w:eastAsia="宋体"/>
          <w:color w:val="auto"/>
          <w:sz w:val="21"/>
          <w:highlight w:val="none"/>
          <w:lang w:val="zh-CN"/>
        </w:rPr>
        <w:t>）具有良好的商业信誉、健全的财务状况</w:t>
      </w:r>
      <w:r>
        <w:rPr>
          <w:rFonts w:hint="default" w:hAnsi="宋体"/>
          <w:color w:val="auto"/>
          <w:sz w:val="21"/>
          <w:highlight w:val="none"/>
          <w:lang w:val="zh-CN"/>
        </w:rPr>
        <w:t>的</w:t>
      </w:r>
      <w:r>
        <w:rPr>
          <w:rFonts w:hint="default" w:ascii="宋体" w:hAnsi="宋体" w:eastAsia="宋体"/>
          <w:color w:val="auto"/>
          <w:sz w:val="21"/>
          <w:highlight w:val="none"/>
          <w:lang w:val="zh-CN"/>
        </w:rPr>
        <w:t>承诺函（格式见附件）</w:t>
      </w:r>
    </w:p>
    <w:p>
      <w:pPr>
        <w:snapToGrid w:val="0"/>
        <w:spacing w:beforeLines="0" w:afterLines="0" w:line="360" w:lineRule="auto"/>
        <w:ind w:firstLine="420" w:firstLineChars="200"/>
        <w:rPr>
          <w:rFonts w:hint="default" w:ascii="宋体" w:hAnsi="宋体" w:eastAsia="宋体"/>
          <w:color w:val="auto"/>
          <w:sz w:val="21"/>
          <w:highlight w:val="none"/>
          <w:lang w:val="zh-CN"/>
        </w:rPr>
      </w:pPr>
      <w:r>
        <w:rPr>
          <w:rFonts w:hint="default" w:ascii="宋体" w:hAnsi="宋体" w:eastAsia="宋体"/>
          <w:color w:val="auto"/>
          <w:sz w:val="21"/>
          <w:highlight w:val="none"/>
          <w:lang w:val="zh-CN"/>
        </w:rPr>
        <w:t>（</w:t>
      </w:r>
      <w:r>
        <w:rPr>
          <w:rFonts w:hint="default" w:ascii="宋体" w:hAnsi="宋体" w:eastAsia="宋体"/>
          <w:color w:val="auto"/>
          <w:sz w:val="21"/>
          <w:highlight w:val="none"/>
        </w:rPr>
        <w:t>6</w:t>
      </w:r>
      <w:r>
        <w:rPr>
          <w:rFonts w:hint="default" w:ascii="宋体" w:hAnsi="宋体" w:eastAsia="宋体"/>
          <w:color w:val="auto"/>
          <w:sz w:val="21"/>
          <w:highlight w:val="none"/>
          <w:lang w:val="zh-CN"/>
        </w:rPr>
        <w:t>）具有履行合同所必需设备和专业技术能力的承诺函（格式见附件）；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pPr>
        <w:snapToGrid w:val="0"/>
        <w:spacing w:beforeLines="0" w:afterLines="0" w:line="360" w:lineRule="auto"/>
        <w:ind w:firstLine="420" w:firstLineChars="200"/>
        <w:rPr>
          <w:rFonts w:hint="eastAsia" w:ascii="宋体" w:hAnsi="宋体" w:eastAsia="宋体" w:cs="Times New Roman"/>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w:t>
      </w:r>
      <w:r>
        <w:rPr>
          <w:rFonts w:hint="eastAsia" w:ascii="宋体" w:hAnsi="宋体" w:eastAsia="宋体" w:cs="Times New Roman"/>
          <w:color w:val="auto"/>
          <w:sz w:val="21"/>
          <w:szCs w:val="21"/>
          <w:highlight w:val="none"/>
          <w:lang w:val="zh-CN"/>
        </w:rPr>
        <w:t>落实政府采购政策需满足的资格要求：供应商为中小企业/小微企业或监狱企业或残疾人福利性单位；</w:t>
      </w:r>
    </w:p>
    <w:p>
      <w:pPr>
        <w:autoSpaceDE w:val="0"/>
        <w:autoSpaceDN w:val="0"/>
        <w:adjustRightInd w:val="0"/>
        <w:snapToGrid w:val="0"/>
        <w:spacing w:beforeLines="0" w:afterLines="0" w:line="360" w:lineRule="auto"/>
        <w:ind w:firstLine="480"/>
        <w:rPr>
          <w:rFonts w:hint="eastAsia"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供应商为中小企业/小微企业须提供《中小企业声明函》或供应商为监狱企业的证明文件或残疾人福利性单位须提供《残疾人福利性单位声明函》。（格式见附件）</w:t>
      </w:r>
    </w:p>
    <w:p>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olor w:val="auto"/>
          <w:sz w:val="21"/>
          <w:highlight w:val="none"/>
          <w:lang w:val="zh-CN"/>
        </w:rPr>
        <w:t>（</w:t>
      </w:r>
      <w:r>
        <w:rPr>
          <w:rFonts w:hint="eastAsia" w:ascii="宋体" w:hAnsi="宋体" w:eastAsia="宋体"/>
          <w:color w:val="auto"/>
          <w:sz w:val="21"/>
          <w:highlight w:val="none"/>
          <w:lang w:val="en-US" w:eastAsia="zh-CN"/>
        </w:rPr>
        <w:t>8</w:t>
      </w:r>
      <w:r>
        <w:rPr>
          <w:rFonts w:hint="eastAsia" w:ascii="宋体" w:hAnsi="宋体" w:eastAsia="宋体"/>
          <w:color w:val="auto"/>
          <w:sz w:val="21"/>
          <w:highlight w:val="none"/>
          <w:lang w:val="zh-CN"/>
        </w:rPr>
        <w:t>）</w:t>
      </w:r>
      <w:r>
        <w:rPr>
          <w:rFonts w:hint="default" w:ascii="宋体" w:hAnsi="宋体" w:eastAsia="宋体"/>
          <w:color w:val="auto"/>
          <w:sz w:val="21"/>
          <w:highlight w:val="none"/>
          <w:lang w:val="zh-CN"/>
        </w:rPr>
        <w:t>提供采购公告中符合供应商特定条件的有效资质证书复印件（供应商特定条件中有要求的必须提供），以及需要说明的其他资料</w:t>
      </w:r>
      <w:r>
        <w:rPr>
          <w:rFonts w:hint="eastAsia" w:ascii="宋体" w:hAnsi="宋体" w:eastAsia="宋体"/>
          <w:color w:val="auto"/>
          <w:sz w:val="21"/>
          <w:highlight w:val="none"/>
          <w:lang w:val="zh-CN"/>
        </w:rPr>
        <w:t>。</w:t>
      </w:r>
    </w:p>
    <w:p>
      <w:pPr>
        <w:tabs>
          <w:tab w:val="left" w:pos="5955"/>
        </w:tabs>
        <w:snapToGrid w:val="0"/>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商务</w:t>
      </w:r>
      <w:r>
        <w:rPr>
          <w:rFonts w:hint="eastAsia" w:ascii="宋体" w:hAnsi="宋体" w:eastAsia="宋体" w:cs="宋体"/>
          <w:b/>
          <w:color w:val="auto"/>
          <w:sz w:val="21"/>
          <w:szCs w:val="21"/>
          <w:highlight w:val="none"/>
          <w:lang w:eastAsia="zh-CN"/>
        </w:rPr>
        <w:t>与</w:t>
      </w:r>
      <w:r>
        <w:rPr>
          <w:rFonts w:hint="eastAsia" w:ascii="宋体" w:hAnsi="宋体" w:eastAsia="宋体" w:cs="宋体"/>
          <w:b/>
          <w:color w:val="auto"/>
          <w:sz w:val="21"/>
          <w:szCs w:val="21"/>
          <w:highlight w:val="none"/>
        </w:rPr>
        <w:t>技术标的组成：</w:t>
      </w:r>
      <w:r>
        <w:rPr>
          <w:rFonts w:hint="eastAsia" w:ascii="宋体" w:hAnsi="宋体" w:eastAsia="宋体" w:cs="宋体"/>
          <w:b/>
          <w:color w:val="auto"/>
          <w:sz w:val="21"/>
          <w:szCs w:val="21"/>
          <w:highlight w:val="none"/>
          <w:lang w:eastAsia="zh-CN"/>
        </w:rPr>
        <w:tab/>
      </w:r>
    </w:p>
    <w:p>
      <w:pPr>
        <w:pStyle w:val="6"/>
        <w:widowControl/>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投标人基本情况表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格式见附件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商务响应承诺函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格式见附件</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）项目业绩</w:t>
      </w:r>
      <w:r>
        <w:rPr>
          <w:rFonts w:hint="eastAsia" w:ascii="宋体" w:hAnsi="宋体" w:eastAsia="宋体" w:cs="宋体"/>
          <w:color w:val="auto"/>
          <w:sz w:val="21"/>
          <w:szCs w:val="21"/>
          <w:highlight w:val="none"/>
          <w:lang w:val="en-US" w:eastAsia="zh-CN"/>
        </w:rPr>
        <w:t>一览表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格式见附件</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项目负责人简历表（</w:t>
      </w:r>
      <w:r>
        <w:rPr>
          <w:rFonts w:hint="eastAsia" w:ascii="宋体" w:hAnsi="宋体" w:eastAsia="宋体" w:cs="宋体"/>
          <w:color w:val="auto"/>
          <w:kern w:val="0"/>
          <w:sz w:val="21"/>
          <w:szCs w:val="21"/>
          <w:highlight w:val="none"/>
          <w:lang w:val="zh-CN" w:eastAsia="zh-CN"/>
        </w:rPr>
        <w:t>格式见附件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）项目管理班子配备情况</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格式见附件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6）拟投入的主要施工设备（</w:t>
      </w:r>
      <w:r>
        <w:rPr>
          <w:rFonts w:hint="eastAsia" w:ascii="宋体" w:hAnsi="宋体" w:eastAsia="宋体" w:cs="宋体"/>
          <w:color w:val="auto"/>
          <w:kern w:val="0"/>
          <w:sz w:val="21"/>
          <w:szCs w:val="21"/>
          <w:highlight w:val="none"/>
          <w:lang w:val="zh-CN" w:eastAsia="zh-CN"/>
        </w:rPr>
        <w:t>格式</w:t>
      </w:r>
      <w:r>
        <w:rPr>
          <w:rFonts w:hint="eastAsia" w:ascii="宋体" w:hAnsi="宋体" w:eastAsia="宋体" w:cs="宋体"/>
          <w:color w:val="auto"/>
          <w:kern w:val="0"/>
          <w:sz w:val="21"/>
          <w:szCs w:val="21"/>
          <w:highlight w:val="none"/>
          <w:lang w:val="en-US" w:eastAsia="zh-CN"/>
        </w:rPr>
        <w:t>见附件）；</w:t>
      </w:r>
    </w:p>
    <w:p>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（7）承诺函（承诺函及拟派项目负责人在投标截止日无在其他任何在建合同工程上担任项目负责人的承诺）（</w:t>
      </w:r>
      <w:r>
        <w:rPr>
          <w:rFonts w:hint="eastAsia" w:ascii="宋体" w:hAnsi="宋体" w:eastAsia="宋体" w:cs="宋体"/>
          <w:color w:val="auto"/>
          <w:kern w:val="0"/>
          <w:sz w:val="21"/>
          <w:szCs w:val="21"/>
          <w:highlight w:val="none"/>
          <w:lang w:val="zh-CN" w:eastAsia="zh-CN"/>
        </w:rPr>
        <w:t>格式</w:t>
      </w:r>
      <w:r>
        <w:rPr>
          <w:rFonts w:hint="eastAsia" w:ascii="宋体" w:hAnsi="宋体" w:eastAsia="宋体" w:cs="宋体"/>
          <w:color w:val="auto"/>
          <w:kern w:val="0"/>
          <w:sz w:val="21"/>
          <w:szCs w:val="21"/>
          <w:highlight w:val="none"/>
          <w:lang w:val="en-US" w:eastAsia="zh-CN"/>
        </w:rPr>
        <w:t>见附件）；</w:t>
      </w:r>
    </w:p>
    <w:p>
      <w:pPr>
        <w:pStyle w:val="22"/>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投标人根据评标办法编制的各项内容</w:t>
      </w:r>
      <w:r>
        <w:rPr>
          <w:rFonts w:hint="eastAsia" w:ascii="宋体" w:hAnsi="宋体" w:eastAsia="宋体" w:cs="宋体"/>
          <w:color w:val="auto"/>
          <w:sz w:val="21"/>
          <w:szCs w:val="21"/>
          <w:highlight w:val="none"/>
          <w:lang w:val="zh-CN"/>
        </w:rPr>
        <w:t>；</w:t>
      </w:r>
    </w:p>
    <w:p>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eastAsia="zh-CN"/>
        </w:rPr>
        <w:t>供应商认为需要提供的其他资料（包括可能影响供应商商务与技术标评分的各类证明材料）。</w:t>
      </w:r>
    </w:p>
    <w:p>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报价标的组成：</w:t>
      </w:r>
    </w:p>
    <w:p>
      <w:pPr>
        <w:tabs>
          <w:tab w:val="left" w:pos="3870"/>
          <w:tab w:val="left" w:pos="4085"/>
        </w:tabs>
        <w:snapToGrid w:val="0"/>
        <w:spacing w:beforeLines="0" w:afterLines="0" w:line="360" w:lineRule="auto"/>
        <w:ind w:firstLine="422" w:firstLineChars="200"/>
        <w:jc w:val="left"/>
        <w:rPr>
          <w:rFonts w:hint="eastAsia" w:ascii="宋体" w:hAnsi="宋体" w:eastAsia="宋体"/>
          <w:b/>
          <w:color w:val="auto"/>
          <w:kern w:val="0"/>
          <w:sz w:val="21"/>
          <w:highlight w:val="none"/>
        </w:rPr>
      </w:pPr>
      <w:r>
        <w:rPr>
          <w:rFonts w:hint="eastAsia" w:ascii="宋体" w:hAnsi="宋体" w:eastAsia="宋体"/>
          <w:b/>
          <w:color w:val="auto"/>
          <w:kern w:val="0"/>
          <w:sz w:val="21"/>
          <w:highlight w:val="none"/>
        </w:rPr>
        <w:t>（1）报价内容由首次报价一览表、</w:t>
      </w:r>
      <w:r>
        <w:rPr>
          <w:rFonts w:hint="eastAsia" w:ascii="宋体" w:hAnsi="宋体" w:eastAsia="宋体"/>
          <w:b/>
          <w:color w:val="auto"/>
          <w:kern w:val="0"/>
          <w:sz w:val="21"/>
          <w:highlight w:val="none"/>
          <w:lang w:val="en-US" w:eastAsia="zh-CN"/>
        </w:rPr>
        <w:t>已标价工程量清单</w:t>
      </w:r>
      <w:r>
        <w:rPr>
          <w:rFonts w:hint="eastAsia" w:ascii="宋体" w:hAnsi="宋体" w:eastAsia="宋体"/>
          <w:b/>
          <w:color w:val="auto"/>
          <w:kern w:val="0"/>
          <w:sz w:val="21"/>
          <w:highlight w:val="none"/>
        </w:rPr>
        <w:t>以及供应商认为其他需要说明的内容组成。</w:t>
      </w:r>
    </w:p>
    <w:p>
      <w:pPr>
        <w:tabs>
          <w:tab w:val="left" w:pos="3870"/>
          <w:tab w:val="left" w:pos="4085"/>
        </w:tabs>
        <w:snapToGrid w:val="0"/>
        <w:spacing w:beforeLines="0" w:afterLines="0" w:line="360" w:lineRule="auto"/>
        <w:ind w:firstLine="420" w:firstLineChars="200"/>
        <w:jc w:val="left"/>
        <w:rPr>
          <w:rFonts w:hint="eastAsia" w:ascii="宋体" w:hAnsi="宋体" w:eastAsia="宋体"/>
          <w:color w:val="auto"/>
          <w:kern w:val="0"/>
          <w:sz w:val="21"/>
          <w:highlight w:val="none"/>
        </w:rPr>
      </w:pPr>
      <w:r>
        <w:rPr>
          <w:rFonts w:hint="eastAsia" w:ascii="宋体" w:hAnsi="宋体" w:eastAsia="宋体"/>
          <w:color w:val="auto"/>
          <w:kern w:val="0"/>
          <w:sz w:val="21"/>
          <w:highlight w:val="none"/>
        </w:rPr>
        <w:t>（2）此报价为供应商针对本项目报出的唯一的首次报价，包含其它一切所要涉及到的费用，有选择的报价将被拒绝。</w:t>
      </w:r>
    </w:p>
    <w:p>
      <w:pPr>
        <w:tabs>
          <w:tab w:val="left" w:pos="3870"/>
          <w:tab w:val="left" w:pos="4085"/>
        </w:tabs>
        <w:snapToGrid w:val="0"/>
        <w:spacing w:beforeLines="0" w:afterLines="0" w:line="360" w:lineRule="auto"/>
        <w:ind w:firstLine="420" w:firstLineChars="200"/>
        <w:jc w:val="left"/>
        <w:rPr>
          <w:rFonts w:hint="eastAsia" w:ascii="宋体" w:hAnsi="宋体" w:eastAsia="宋体"/>
          <w:color w:val="auto"/>
          <w:kern w:val="0"/>
          <w:sz w:val="21"/>
          <w:highlight w:val="none"/>
        </w:rPr>
      </w:pPr>
      <w:r>
        <w:rPr>
          <w:rFonts w:hint="eastAsia" w:ascii="宋体" w:hAnsi="宋体" w:eastAsia="宋体"/>
          <w:color w:val="auto"/>
          <w:kern w:val="0"/>
          <w:sz w:val="21"/>
          <w:highlight w:val="none"/>
        </w:rPr>
        <w:t>（3）此报价应当包括项目实施所需的</w:t>
      </w:r>
      <w:r>
        <w:rPr>
          <w:rFonts w:hint="eastAsia" w:ascii="宋体" w:hAnsi="宋体" w:eastAsia="宋体"/>
          <w:color w:val="auto"/>
          <w:kern w:val="0"/>
          <w:sz w:val="21"/>
          <w:highlight w:val="none"/>
          <w:lang w:eastAsia="zh-CN"/>
        </w:rPr>
        <w:t>包含所有一切人员工资、各种加班费、节假日补贴、各种社会保险、安全保险、食宿与交通、材料费、机械费、人工费、辅助材料费、建筑垃圾清运费、保险费、管理费、规费以及所有税收、利润、总承包服务费、采购代理服务费等</w:t>
      </w:r>
      <w:r>
        <w:rPr>
          <w:rFonts w:hint="eastAsia" w:ascii="宋体" w:hAnsi="宋体" w:eastAsia="宋体"/>
          <w:color w:val="auto"/>
          <w:kern w:val="0"/>
          <w:sz w:val="21"/>
          <w:highlight w:val="none"/>
        </w:rPr>
        <w:t>、政策性文件规定及合同包含的所有风险责任等一切费用等完成合同所需的一切本身和不可或缺的所有工作开支、政策性文件规定及合同包含的所有风险、责任等各项全部费用并承担一切风险责任。</w:t>
      </w:r>
    </w:p>
    <w:p>
      <w:pPr>
        <w:snapToGrid w:val="0"/>
        <w:spacing w:beforeLines="0" w:afterLines="0" w:line="360" w:lineRule="auto"/>
        <w:ind w:firstLine="420" w:firstLineChars="200"/>
        <w:jc w:val="left"/>
        <w:rPr>
          <w:rFonts w:hint="eastAsia" w:ascii="宋体" w:hAnsi="宋体" w:eastAsia="宋体"/>
          <w:color w:val="auto"/>
          <w:kern w:val="0"/>
          <w:sz w:val="21"/>
          <w:highlight w:val="none"/>
        </w:rPr>
      </w:pPr>
      <w:r>
        <w:rPr>
          <w:rFonts w:hint="eastAsia" w:ascii="宋体" w:hAnsi="宋体" w:eastAsia="宋体"/>
          <w:color w:val="auto"/>
          <w:kern w:val="0"/>
          <w:sz w:val="21"/>
          <w:highlight w:val="none"/>
        </w:rPr>
        <w:t>（4）</w:t>
      </w:r>
      <w:r>
        <w:rPr>
          <w:rFonts w:hint="eastAsia" w:ascii="宋体" w:hAnsi="宋体" w:cs="宋体"/>
          <w:color w:val="auto"/>
          <w:kern w:val="0"/>
          <w:sz w:val="21"/>
          <w:highlight w:val="none"/>
        </w:rPr>
        <w:t>相关报价表需打印或用不褪色的墨水填写，磋商响应报价表不得涂改和增删，如有错漏必须修改，修改处须由同一签署人签字或盖章。由于字迹模糊或表达不清引起的后果由供应商负责</w:t>
      </w:r>
      <w:r>
        <w:rPr>
          <w:rFonts w:hint="eastAsia" w:ascii="宋体" w:hAnsi="宋体" w:eastAsia="宋体"/>
          <w:color w:val="auto"/>
          <w:kern w:val="0"/>
          <w:sz w:val="21"/>
          <w:highlight w:val="none"/>
        </w:rPr>
        <w:t>。</w:t>
      </w:r>
    </w:p>
    <w:p>
      <w:pPr>
        <w:snapToGrid w:val="0"/>
        <w:spacing w:beforeLines="0" w:afterLines="0" w:line="360" w:lineRule="auto"/>
        <w:ind w:firstLine="420" w:firstLineChars="200"/>
        <w:jc w:val="left"/>
        <w:rPr>
          <w:rFonts w:hint="eastAsia" w:ascii="宋体" w:hAnsi="宋体" w:eastAsia="宋体"/>
          <w:color w:val="auto"/>
          <w:sz w:val="21"/>
          <w:highlight w:val="none"/>
        </w:rPr>
      </w:pPr>
      <w:r>
        <w:rPr>
          <w:rFonts w:hint="eastAsia" w:ascii="宋体" w:hAnsi="宋体" w:eastAsia="宋体"/>
          <w:color w:val="auto"/>
          <w:kern w:val="0"/>
          <w:sz w:val="21"/>
          <w:highlight w:val="none"/>
        </w:rPr>
        <w:t>（</w:t>
      </w:r>
      <w:r>
        <w:rPr>
          <w:rFonts w:hint="eastAsia" w:ascii="宋体" w:hAnsi="宋体" w:eastAsia="宋体"/>
          <w:color w:val="auto"/>
          <w:kern w:val="0"/>
          <w:sz w:val="21"/>
          <w:highlight w:val="none"/>
          <w:lang w:val="en-US" w:eastAsia="zh-CN"/>
        </w:rPr>
        <w:t>5</w:t>
      </w:r>
      <w:r>
        <w:rPr>
          <w:rFonts w:hint="eastAsia" w:ascii="宋体" w:hAnsi="宋体" w:eastAsia="宋体"/>
          <w:color w:val="auto"/>
          <w:kern w:val="0"/>
          <w:sz w:val="21"/>
          <w:highlight w:val="none"/>
        </w:rPr>
        <w:t>）报价有关表格应按磋商采购文件中相关附表格式填写。</w:t>
      </w:r>
    </w:p>
    <w:p>
      <w:pPr>
        <w:numPr>
          <w:ilvl w:val="0"/>
          <w:numId w:val="0"/>
        </w:numPr>
        <w:snapToGrid w:val="0"/>
        <w:spacing w:beforeLines="0" w:afterLines="0" w:line="360" w:lineRule="auto"/>
        <w:ind w:left="480" w:leftChars="0"/>
        <w:rPr>
          <w:rFonts w:hint="eastAsia" w:ascii="宋体" w:hAnsi="宋体" w:eastAsia="宋体"/>
          <w:color w:val="auto"/>
          <w:sz w:val="21"/>
          <w:highlight w:val="none"/>
          <w:lang w:val="zh-CN"/>
        </w:rPr>
      </w:pPr>
      <w:r>
        <w:rPr>
          <w:rFonts w:hint="eastAsia" w:ascii="宋体" w:hAnsi="宋体" w:eastAsia="宋体"/>
          <w:b/>
          <w:color w:val="auto"/>
          <w:kern w:val="0"/>
          <w:sz w:val="21"/>
          <w:highlight w:val="none"/>
          <w:lang w:val="en-US" w:eastAsia="zh-CN"/>
        </w:rPr>
        <w:t>（二）、</w:t>
      </w:r>
      <w:r>
        <w:rPr>
          <w:rFonts w:hint="eastAsia" w:ascii="宋体" w:hAnsi="宋体" w:eastAsia="宋体"/>
          <w:b/>
          <w:color w:val="auto"/>
          <w:kern w:val="0"/>
          <w:sz w:val="21"/>
          <w:highlight w:val="none"/>
        </w:rPr>
        <w:t>磋商响应文件的制作、</w:t>
      </w:r>
      <w:r>
        <w:rPr>
          <w:rFonts w:hint="eastAsia" w:ascii="宋体" w:hAnsi="宋体" w:eastAsia="宋体"/>
          <w:b/>
          <w:color w:val="auto"/>
          <w:kern w:val="0"/>
          <w:sz w:val="21"/>
          <w:highlight w:val="none"/>
          <w:lang w:eastAsia="zh-CN"/>
        </w:rPr>
        <w:t>份数</w:t>
      </w:r>
      <w:r>
        <w:rPr>
          <w:rFonts w:hint="eastAsia" w:ascii="宋体" w:hAnsi="宋体" w:eastAsia="宋体"/>
          <w:b/>
          <w:color w:val="auto"/>
          <w:kern w:val="0"/>
          <w:sz w:val="21"/>
          <w:highlight w:val="none"/>
        </w:rPr>
        <w:t>及递交要求</w:t>
      </w:r>
    </w:p>
    <w:p>
      <w:pPr>
        <w:autoSpaceDE w:val="0"/>
        <w:autoSpaceDN w:val="0"/>
        <w:adjustRightInd w:val="0"/>
        <w:snapToGrid w:val="0"/>
        <w:spacing w:beforeLines="0" w:afterLines="0" w:line="360" w:lineRule="auto"/>
        <w:ind w:firstLine="480"/>
        <w:rPr>
          <w:rFonts w:hint="eastAsia" w:ascii="宋体" w:hAnsi="宋体" w:eastAsia="宋体"/>
          <w:b/>
          <w:color w:val="auto"/>
          <w:sz w:val="21"/>
          <w:highlight w:val="none"/>
        </w:rPr>
      </w:pPr>
      <w:r>
        <w:rPr>
          <w:rFonts w:hint="eastAsia" w:ascii="宋体" w:hAnsi="宋体" w:eastAsia="宋体"/>
          <w:b/>
          <w:color w:val="auto"/>
          <w:sz w:val="21"/>
          <w:highlight w:val="none"/>
          <w:lang w:val="en-US" w:eastAsia="zh-CN"/>
        </w:rPr>
        <w:t>1</w:t>
      </w:r>
      <w:r>
        <w:rPr>
          <w:rFonts w:hint="eastAsia" w:ascii="宋体" w:hAnsi="宋体" w:eastAsia="宋体"/>
          <w:b/>
          <w:color w:val="auto"/>
          <w:sz w:val="21"/>
          <w:highlight w:val="none"/>
        </w:rPr>
        <w:t>、磋商响应文件的制作要求</w:t>
      </w:r>
    </w:p>
    <w:p>
      <w:pPr>
        <w:autoSpaceDE w:val="0"/>
        <w:autoSpaceDN w:val="0"/>
        <w:adjustRightInd w:val="0"/>
        <w:snapToGrid w:val="0"/>
        <w:spacing w:beforeLines="0" w:afterLines="0" w:line="360" w:lineRule="auto"/>
        <w:ind w:firstLine="480"/>
        <w:rPr>
          <w:rFonts w:hint="eastAsia" w:ascii="宋体" w:hAnsi="宋体" w:eastAsia="宋体"/>
          <w:color w:val="auto"/>
          <w:kern w:val="0"/>
          <w:sz w:val="21"/>
          <w:highlight w:val="none"/>
        </w:rPr>
      </w:pPr>
      <w:r>
        <w:rPr>
          <w:rFonts w:hint="eastAsia" w:ascii="宋体" w:hAnsi="宋体" w:eastAsia="宋体"/>
          <w:color w:val="auto"/>
          <w:sz w:val="21"/>
          <w:highlight w:val="none"/>
        </w:rPr>
        <w:t>（1）供应商应按照磋商响应文件组成内容及项目磋商需求</w:t>
      </w:r>
      <w:r>
        <w:rPr>
          <w:rFonts w:hint="eastAsia" w:ascii="宋体" w:hAnsi="宋体" w:eastAsia="宋体"/>
          <w:color w:val="auto"/>
          <w:sz w:val="21"/>
          <w:highlight w:val="none"/>
          <w:lang w:eastAsia="zh-CN"/>
        </w:rPr>
        <w:t>和浙江政府采购云平台要求</w:t>
      </w:r>
      <w:r>
        <w:rPr>
          <w:rFonts w:hint="eastAsia" w:ascii="宋体" w:hAnsi="宋体" w:eastAsia="宋体"/>
          <w:color w:val="auto"/>
          <w:sz w:val="21"/>
          <w:highlight w:val="none"/>
        </w:rPr>
        <w:t>制作制作磋商响应文件，</w:t>
      </w:r>
      <w:r>
        <w:rPr>
          <w:rFonts w:hint="eastAsia" w:ascii="宋体" w:hAnsi="宋体" w:eastAsia="宋体"/>
          <w:color w:val="auto"/>
          <w:kern w:val="0"/>
          <w:sz w:val="21"/>
          <w:highlight w:val="none"/>
        </w:rPr>
        <w:t>不按</w:t>
      </w:r>
      <w:r>
        <w:rPr>
          <w:rFonts w:hint="eastAsia" w:ascii="宋体" w:hAnsi="宋体" w:eastAsia="宋体"/>
          <w:color w:val="auto"/>
          <w:sz w:val="21"/>
          <w:highlight w:val="none"/>
        </w:rPr>
        <w:t>磋商采购文件</w:t>
      </w:r>
      <w:r>
        <w:rPr>
          <w:rFonts w:hint="eastAsia" w:ascii="宋体" w:hAnsi="宋体" w:eastAsia="宋体"/>
          <w:color w:val="auto"/>
          <w:kern w:val="0"/>
          <w:sz w:val="21"/>
          <w:highlight w:val="none"/>
        </w:rPr>
        <w:t>要求</w:t>
      </w:r>
      <w:r>
        <w:rPr>
          <w:rFonts w:hint="eastAsia" w:ascii="宋体" w:hAnsi="宋体" w:eastAsia="宋体"/>
          <w:color w:val="auto"/>
          <w:kern w:val="0"/>
          <w:sz w:val="21"/>
          <w:highlight w:val="none"/>
          <w:lang w:eastAsia="zh-CN"/>
        </w:rPr>
        <w:t>和浙江政府采购云平台要求</w:t>
      </w:r>
      <w:r>
        <w:rPr>
          <w:rFonts w:hint="eastAsia" w:ascii="宋体" w:hAnsi="宋体" w:eastAsia="宋体"/>
          <w:color w:val="auto"/>
          <w:kern w:val="0"/>
          <w:sz w:val="21"/>
          <w:highlight w:val="none"/>
        </w:rPr>
        <w:t>制作</w:t>
      </w:r>
      <w:r>
        <w:rPr>
          <w:rFonts w:hint="eastAsia" w:ascii="宋体" w:hAnsi="宋体" w:eastAsia="宋体"/>
          <w:color w:val="auto"/>
          <w:sz w:val="21"/>
          <w:highlight w:val="none"/>
        </w:rPr>
        <w:t>磋商响应文件</w:t>
      </w:r>
      <w:r>
        <w:rPr>
          <w:rFonts w:hint="eastAsia" w:ascii="宋体" w:hAnsi="宋体" w:eastAsia="宋体"/>
          <w:color w:val="auto"/>
          <w:kern w:val="0"/>
          <w:sz w:val="21"/>
          <w:highlight w:val="none"/>
        </w:rPr>
        <w:t>的将视情处理（拒收、扣分等），由此产生的责任由</w:t>
      </w:r>
      <w:r>
        <w:rPr>
          <w:rFonts w:hint="eastAsia" w:ascii="宋体" w:hAnsi="宋体" w:eastAsia="宋体"/>
          <w:color w:val="auto"/>
          <w:sz w:val="21"/>
          <w:highlight w:val="none"/>
        </w:rPr>
        <w:t>磋商供应商</w:t>
      </w:r>
      <w:r>
        <w:rPr>
          <w:rFonts w:hint="eastAsia" w:ascii="宋体" w:hAnsi="宋体" w:eastAsia="宋体"/>
          <w:color w:val="auto"/>
          <w:kern w:val="0"/>
          <w:sz w:val="21"/>
          <w:highlight w:val="none"/>
        </w:rPr>
        <w:t>自行承担。</w:t>
      </w:r>
    </w:p>
    <w:p>
      <w:pPr>
        <w:snapToGrid w:val="0"/>
        <w:spacing w:line="360" w:lineRule="auto"/>
        <w:ind w:firstLine="420" w:firstLineChars="200"/>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电子</w:t>
      </w:r>
      <w:r>
        <w:rPr>
          <w:rFonts w:hint="eastAsia" w:ascii="宋体" w:hAnsi="宋体" w:cs="宋体"/>
          <w:b/>
          <w:bCs/>
          <w:color w:val="auto"/>
          <w:sz w:val="21"/>
          <w:szCs w:val="21"/>
          <w:highlight w:val="none"/>
          <w:lang w:val="en-US" w:eastAsia="zh-CN"/>
        </w:rPr>
        <w:t>加密响应</w:t>
      </w:r>
      <w:r>
        <w:rPr>
          <w:rFonts w:hint="eastAsia" w:ascii="宋体" w:hAnsi="宋体" w:cs="宋体"/>
          <w:b/>
          <w:bCs/>
          <w:color w:val="auto"/>
          <w:sz w:val="21"/>
          <w:szCs w:val="21"/>
          <w:highlight w:val="none"/>
          <w:lang w:eastAsia="zh-CN"/>
        </w:rPr>
        <w:t>文件部分：供应商应根据“供应商-政府采购项目电子交易操作指南”及本磋商响应文件规定的格式和顺序编制电子磋商响应文件并进行关联定位。</w:t>
      </w:r>
    </w:p>
    <w:p>
      <w:pPr>
        <w:snapToGrid w:val="0"/>
        <w:spacing w:line="360" w:lineRule="auto"/>
        <w:ind w:firstLine="420" w:firstLineChars="200"/>
        <w:rPr>
          <w:rFonts w:hint="eastAsia"/>
          <w:color w:val="auto"/>
          <w:sz w:val="21"/>
          <w:szCs w:val="21"/>
          <w:highlight w:val="none"/>
        </w:rPr>
      </w:pPr>
      <w:r>
        <w:rPr>
          <w:rFonts w:hint="eastAsia" w:ascii="宋体" w:hAnsi="宋体" w:cs="宋体"/>
          <w:b/>
          <w:bCs/>
          <w:color w:val="auto"/>
          <w:sz w:val="21"/>
          <w:szCs w:val="21"/>
          <w:highlight w:val="none"/>
          <w:lang w:eastAsia="zh-CN"/>
        </w:rPr>
        <w:t>备份响应文件应与政采云平台上传的电子加密响应文件一致。</w:t>
      </w:r>
    </w:p>
    <w:p>
      <w:pPr>
        <w:autoSpaceDE w:val="0"/>
        <w:autoSpaceDN w:val="0"/>
        <w:adjustRightInd w:val="0"/>
        <w:snapToGrid w:val="0"/>
        <w:spacing w:beforeLines="0" w:afterLines="0" w:line="360" w:lineRule="auto"/>
        <w:ind w:firstLine="480" w:firstLineChars="200"/>
        <w:rPr>
          <w:rFonts w:hint="eastAsia" w:ascii="宋体" w:hAnsi="宋体" w:eastAsia="宋体"/>
          <w:color w:val="auto"/>
          <w:kern w:val="0"/>
          <w:sz w:val="21"/>
          <w:highlight w:val="none"/>
          <w:lang w:val="zh-CN"/>
        </w:rPr>
      </w:pPr>
      <w:r>
        <w:rPr>
          <w:rFonts w:hint="eastAsia" w:ascii="宋体" w:hAnsi="宋体" w:cs="宋体"/>
          <w:bCs/>
          <w:color w:val="auto"/>
          <w:sz w:val="24"/>
          <w:highlight w:val="none"/>
        </w:rPr>
        <w:t>▲</w:t>
      </w:r>
      <w:r>
        <w:rPr>
          <w:rFonts w:hint="eastAsia" w:ascii="宋体" w:hAnsi="宋体" w:eastAsia="宋体"/>
          <w:color w:val="auto"/>
          <w:sz w:val="21"/>
          <w:highlight w:val="none"/>
        </w:rPr>
        <w:t>（2）</w:t>
      </w:r>
      <w:r>
        <w:rPr>
          <w:rFonts w:hint="eastAsia" w:ascii="宋体" w:hAnsi="宋体" w:cs="宋体"/>
          <w:color w:val="auto"/>
          <w:sz w:val="21"/>
          <w:szCs w:val="21"/>
          <w:highlight w:val="none"/>
        </w:rPr>
        <w:t>供应商应对所提供的全部资料的真实性承担法律责任，</w:t>
      </w:r>
      <w:r>
        <w:rPr>
          <w:rFonts w:hint="eastAsia" w:ascii="宋体" w:hAnsi="宋体" w:cs="宋体"/>
          <w:color w:val="auto"/>
          <w:sz w:val="21"/>
          <w:highlight w:val="none"/>
        </w:rPr>
        <w:t>磋商响应文件</w:t>
      </w:r>
      <w:r>
        <w:rPr>
          <w:rFonts w:hint="eastAsia" w:ascii="宋体" w:hAnsi="宋体" w:cs="宋体"/>
          <w:color w:val="auto"/>
          <w:kern w:val="0"/>
          <w:sz w:val="21"/>
          <w:highlight w:val="none"/>
          <w:lang w:val="zh-CN"/>
        </w:rPr>
        <w:t>内容中</w:t>
      </w:r>
      <w:r>
        <w:rPr>
          <w:rFonts w:hint="eastAsia" w:ascii="宋体" w:hAnsi="宋体" w:cs="宋体"/>
          <w:color w:val="auto"/>
          <w:sz w:val="21"/>
          <w:szCs w:val="21"/>
          <w:highlight w:val="none"/>
        </w:rPr>
        <w:t>有要求盖章的地方，必须采用CA签章进行盖章</w:t>
      </w:r>
      <w:r>
        <w:rPr>
          <w:rFonts w:hint="eastAsia" w:ascii="宋体" w:hAnsi="宋体" w:cs="宋体"/>
          <w:color w:val="auto"/>
          <w:sz w:val="21"/>
          <w:szCs w:val="21"/>
          <w:highlight w:val="none"/>
          <w:lang w:eastAsia="zh-CN"/>
        </w:rPr>
        <w:t>，</w:t>
      </w:r>
      <w:r>
        <w:rPr>
          <w:rFonts w:hint="eastAsia" w:ascii="宋体" w:hAnsi="宋体" w:eastAsia="宋体"/>
          <w:color w:val="auto"/>
          <w:kern w:val="0"/>
          <w:sz w:val="21"/>
          <w:highlight w:val="none"/>
          <w:lang w:val="zh-CN"/>
        </w:rPr>
        <w:t>法定代表人或全权代表的盖章或签字</w:t>
      </w:r>
      <w:r>
        <w:rPr>
          <w:rFonts w:hint="eastAsia" w:ascii="宋体" w:hAnsi="宋体" w:cs="宋体"/>
          <w:color w:val="auto"/>
          <w:sz w:val="21"/>
          <w:szCs w:val="21"/>
          <w:highlight w:val="none"/>
        </w:rPr>
        <w:t>必须采用</w:t>
      </w:r>
      <w:r>
        <w:rPr>
          <w:rFonts w:hint="eastAsia" w:ascii="宋体" w:hAnsi="宋体" w:eastAsia="宋体"/>
          <w:color w:val="auto"/>
          <w:kern w:val="0"/>
          <w:sz w:val="21"/>
          <w:highlight w:val="none"/>
          <w:lang w:val="zh-CN"/>
        </w:rPr>
        <w:t>CA电子签章</w:t>
      </w:r>
      <w:r>
        <w:rPr>
          <w:rFonts w:hint="eastAsia" w:ascii="宋体" w:hAnsi="宋体" w:eastAsia="宋体"/>
          <w:color w:val="auto"/>
          <w:kern w:val="0"/>
          <w:sz w:val="21"/>
          <w:highlight w:val="none"/>
          <w:lang w:val="zh-CN" w:eastAsia="zh-CN"/>
        </w:rPr>
        <w:t>或签字，</w:t>
      </w:r>
      <w:r>
        <w:rPr>
          <w:rFonts w:hint="eastAsia" w:ascii="宋体" w:hAnsi="宋体" w:eastAsia="宋体"/>
          <w:color w:val="auto"/>
          <w:kern w:val="0"/>
          <w:sz w:val="21"/>
          <w:highlight w:val="none"/>
          <w:lang w:val="zh-CN"/>
        </w:rPr>
        <w:t>其中</w:t>
      </w:r>
      <w:r>
        <w:rPr>
          <w:rFonts w:hint="eastAsia" w:ascii="宋体" w:hAnsi="宋体" w:eastAsia="宋体"/>
          <w:color w:val="auto"/>
          <w:sz w:val="21"/>
          <w:highlight w:val="none"/>
        </w:rPr>
        <w:t>所有证书类文件提供的复印件</w:t>
      </w:r>
      <w:r>
        <w:rPr>
          <w:rFonts w:hint="eastAsia" w:ascii="宋体" w:hAnsi="宋体" w:eastAsia="宋体"/>
          <w:color w:val="auto"/>
          <w:kern w:val="0"/>
          <w:sz w:val="21"/>
          <w:highlight w:val="none"/>
        </w:rPr>
        <w:t>必须全部加盖CA电子公章且</w:t>
      </w:r>
      <w:r>
        <w:rPr>
          <w:rFonts w:hint="eastAsia" w:ascii="宋体" w:hAnsi="宋体" w:eastAsia="宋体"/>
          <w:color w:val="auto"/>
          <w:sz w:val="21"/>
          <w:highlight w:val="none"/>
        </w:rPr>
        <w:t>必须在有效期内的。</w:t>
      </w:r>
    </w:p>
    <w:p>
      <w:pPr>
        <w:snapToGrid w:val="0"/>
        <w:spacing w:beforeLines="0" w:afterLines="0" w:line="360" w:lineRule="auto"/>
        <w:ind w:firstLine="420" w:firstLineChars="200"/>
        <w:jc w:val="left"/>
        <w:rPr>
          <w:rFonts w:hint="eastAsia" w:ascii="宋体" w:hAnsi="宋体" w:eastAsia="宋体"/>
          <w:color w:val="auto"/>
          <w:sz w:val="21"/>
          <w:highlight w:val="none"/>
        </w:rPr>
      </w:pPr>
      <w:r>
        <w:rPr>
          <w:rFonts w:hint="eastAsia" w:ascii="宋体" w:hAnsi="宋体" w:eastAsia="宋体"/>
          <w:color w:val="auto"/>
          <w:kern w:val="0"/>
          <w:sz w:val="21"/>
          <w:highlight w:val="none"/>
          <w:lang w:val="zh-CN"/>
        </w:rPr>
        <w:t>（</w:t>
      </w:r>
      <w:r>
        <w:rPr>
          <w:rFonts w:hint="eastAsia" w:ascii="宋体" w:hAnsi="宋体" w:eastAsia="宋体"/>
          <w:color w:val="auto"/>
          <w:kern w:val="0"/>
          <w:sz w:val="21"/>
          <w:highlight w:val="none"/>
        </w:rPr>
        <w:t>3</w:t>
      </w:r>
      <w:r>
        <w:rPr>
          <w:rFonts w:hint="eastAsia" w:ascii="宋体" w:hAnsi="宋体" w:eastAsia="宋体"/>
          <w:color w:val="auto"/>
          <w:kern w:val="0"/>
          <w:sz w:val="21"/>
          <w:highlight w:val="none"/>
          <w:lang w:val="zh-CN"/>
        </w:rPr>
        <w:t>）</w:t>
      </w:r>
      <w:r>
        <w:rPr>
          <w:rFonts w:hint="eastAsia" w:ascii="宋体" w:hAnsi="宋体" w:eastAsia="宋体"/>
          <w:color w:val="auto"/>
          <w:sz w:val="21"/>
          <w:highlight w:val="none"/>
        </w:rPr>
        <w:t>磋商响应文件以及磋商供应商与采购组织机构就有关磋商事宜的所有来往函电，均应以中文汉语书写。除签字、盖章、专用名称等特殊情形外，以中文汉语以外的文字表述的磋商响应文件视同未提供。</w:t>
      </w:r>
    </w:p>
    <w:p>
      <w:pPr>
        <w:snapToGrid w:val="0"/>
        <w:spacing w:beforeLines="0" w:afterLines="0" w:line="360" w:lineRule="auto"/>
        <w:ind w:firstLine="420" w:firstLineChars="200"/>
        <w:jc w:val="left"/>
        <w:rPr>
          <w:rFonts w:hint="eastAsia" w:ascii="宋体" w:hAnsi="宋体" w:eastAsia="宋体"/>
          <w:color w:val="auto"/>
          <w:sz w:val="21"/>
          <w:highlight w:val="none"/>
        </w:rPr>
      </w:pPr>
      <w:r>
        <w:rPr>
          <w:rFonts w:hint="eastAsia" w:ascii="宋体" w:hAnsi="宋体" w:eastAsia="宋体"/>
          <w:color w:val="auto"/>
          <w:sz w:val="21"/>
          <w:highlight w:val="none"/>
        </w:rPr>
        <w:t>（4）磋商计量单位，磋商采购文件已有明确规定的，使用磋商采购文件规定的计量单位；磋商采购文件没有规定的，应采用中华人民共和国法定计量单位（货币单位：人民币元），否则视同未响应。</w:t>
      </w:r>
    </w:p>
    <w:p>
      <w:pPr>
        <w:autoSpaceDE w:val="0"/>
        <w:autoSpaceDN w:val="0"/>
        <w:adjustRightInd w:val="0"/>
        <w:snapToGrid w:val="0"/>
        <w:spacing w:beforeLines="0" w:afterLines="0" w:line="360" w:lineRule="auto"/>
        <w:ind w:firstLine="480"/>
        <w:rPr>
          <w:rFonts w:hint="eastAsia" w:ascii="宋体" w:hAnsi="宋体" w:eastAsia="宋体"/>
          <w:color w:val="auto"/>
          <w:sz w:val="21"/>
          <w:highlight w:val="none"/>
        </w:rPr>
      </w:pPr>
      <w:r>
        <w:rPr>
          <w:rFonts w:hint="eastAsia" w:ascii="宋体" w:hAnsi="宋体" w:eastAsia="宋体"/>
          <w:color w:val="auto"/>
          <w:sz w:val="21"/>
          <w:highlight w:val="none"/>
        </w:rPr>
        <w:t>（5）若磋商供应商不按采购文件的要求提供资格审查材料，其风险由磋商供应商自行承担。</w:t>
      </w:r>
    </w:p>
    <w:p>
      <w:pPr>
        <w:autoSpaceDE w:val="0"/>
        <w:autoSpaceDN w:val="0"/>
        <w:adjustRightInd w:val="0"/>
        <w:snapToGrid w:val="0"/>
        <w:spacing w:beforeLines="0" w:afterLines="0" w:line="360" w:lineRule="auto"/>
        <w:ind w:firstLine="480"/>
        <w:rPr>
          <w:rFonts w:hint="eastAsia" w:eastAsia="宋体"/>
          <w:color w:val="auto"/>
          <w:highlight w:val="none"/>
          <w:lang w:eastAsia="zh-CN"/>
        </w:rPr>
      </w:pPr>
      <w:r>
        <w:rPr>
          <w:rFonts w:hint="eastAsia" w:ascii="宋体" w:hAnsi="宋体" w:eastAsia="宋体"/>
          <w:color w:val="auto"/>
          <w:kern w:val="0"/>
          <w:sz w:val="21"/>
          <w:highlight w:val="none"/>
        </w:rPr>
        <w:t>（6）</w:t>
      </w:r>
      <w:r>
        <w:rPr>
          <w:rFonts w:hint="eastAsia" w:ascii="宋体" w:hAnsi="宋体" w:eastAsia="宋体"/>
          <w:color w:val="auto"/>
          <w:sz w:val="21"/>
          <w:highlight w:val="none"/>
        </w:rPr>
        <w:t>与本次磋商无关的内容请不要制作在内，确保磋商响应文件有针对性、简洁明了。</w:t>
      </w:r>
    </w:p>
    <w:p>
      <w:pPr>
        <w:autoSpaceDE w:val="0"/>
        <w:autoSpaceDN w:val="0"/>
        <w:adjustRightInd w:val="0"/>
        <w:snapToGrid w:val="0"/>
        <w:spacing w:beforeLines="0" w:afterLines="0" w:line="360" w:lineRule="auto"/>
        <w:ind w:firstLine="416" w:firstLineChars="198"/>
        <w:rPr>
          <w:rFonts w:hint="eastAsia" w:ascii="宋体" w:hAnsi="宋体"/>
          <w:b/>
          <w:color w:val="auto"/>
          <w:sz w:val="21"/>
          <w:highlight w:val="none"/>
        </w:rPr>
      </w:pPr>
      <w:r>
        <w:rPr>
          <w:rFonts w:hint="eastAsia" w:ascii="宋体" w:hAnsi="宋体"/>
          <w:b/>
          <w:color w:val="auto"/>
          <w:sz w:val="21"/>
          <w:highlight w:val="none"/>
        </w:rPr>
        <w:t>2、磋商响应文件份数：</w:t>
      </w:r>
    </w:p>
    <w:p>
      <w:pPr>
        <w:autoSpaceDE w:val="0"/>
        <w:autoSpaceDN w:val="0"/>
        <w:adjustRightInd w:val="0"/>
        <w:snapToGrid w:val="0"/>
        <w:spacing w:beforeLines="0" w:afterLines="0" w:line="360" w:lineRule="auto"/>
        <w:ind w:firstLine="416" w:firstLineChars="198"/>
        <w:rPr>
          <w:rFonts w:hint="eastAsia" w:ascii="宋体" w:hAnsi="宋体"/>
          <w:b/>
          <w:color w:val="auto"/>
          <w:sz w:val="21"/>
          <w:highlight w:val="none"/>
          <w:lang w:val="en-US" w:eastAsia="zh-CN"/>
        </w:rPr>
      </w:pPr>
      <w:r>
        <w:rPr>
          <w:rFonts w:hint="eastAsia" w:ascii="宋体" w:hAnsi="宋体"/>
          <w:b/>
          <w:color w:val="auto"/>
          <w:sz w:val="21"/>
          <w:highlight w:val="none"/>
          <w:lang w:val="en-US" w:eastAsia="zh-CN"/>
        </w:rPr>
        <w:t>（1）电子加密响应文件一份：通过政采云平台电子投标工具（政采云电子投标客户端）生成的，一份为加密标书。</w:t>
      </w:r>
    </w:p>
    <w:p>
      <w:pPr>
        <w:autoSpaceDE w:val="0"/>
        <w:autoSpaceDN w:val="0"/>
        <w:adjustRightInd w:val="0"/>
        <w:snapToGrid w:val="0"/>
        <w:spacing w:beforeLines="0" w:afterLines="0" w:line="360" w:lineRule="auto"/>
        <w:ind w:firstLine="416" w:firstLineChars="198"/>
        <w:rPr>
          <w:rFonts w:hint="eastAsia" w:ascii="宋体" w:hAnsi="宋体" w:cs="Times New Roman"/>
          <w:b/>
          <w:color w:val="auto"/>
          <w:sz w:val="21"/>
          <w:highlight w:val="none"/>
          <w:lang w:val="en-US" w:eastAsia="zh-CN"/>
        </w:rPr>
      </w:pPr>
      <w:r>
        <w:rPr>
          <w:rFonts w:hint="eastAsia" w:ascii="宋体" w:hAnsi="宋体"/>
          <w:b/>
          <w:color w:val="auto"/>
          <w:sz w:val="21"/>
          <w:highlight w:val="none"/>
          <w:lang w:val="en-US" w:eastAsia="zh-CN"/>
        </w:rPr>
        <w:t>（2）备份响应文件：</w:t>
      </w:r>
      <w:r>
        <w:rPr>
          <w:rFonts w:hint="eastAsia" w:ascii="宋体" w:hAnsi="宋体" w:cs="Times New Roman"/>
          <w:b/>
          <w:color w:val="auto"/>
          <w:sz w:val="21"/>
          <w:highlight w:val="none"/>
          <w:lang w:val="en-US" w:eastAsia="zh-CN"/>
        </w:rPr>
        <w:t>政采云平台上最后生成的具备电子签章的备份响应文件，文件名后缀为备份标书四字的首字母）。</w:t>
      </w:r>
      <w:r>
        <w:rPr>
          <w:rFonts w:hint="eastAsia" w:ascii="宋体" w:hAnsi="宋体" w:cs="Times New Roman"/>
          <w:b/>
          <w:color w:val="auto"/>
          <w:sz w:val="21"/>
          <w:highlight w:val="none"/>
          <w:lang w:val="en-US" w:eastAsia="zh-CN"/>
        </w:rPr>
        <w:fldChar w:fldCharType="begin"/>
      </w:r>
      <w:r>
        <w:rPr>
          <w:rFonts w:hint="eastAsia" w:ascii="宋体" w:hAnsi="宋体" w:cs="Times New Roman"/>
          <w:b/>
          <w:color w:val="auto"/>
          <w:sz w:val="21"/>
          <w:highlight w:val="none"/>
          <w:lang w:val="en-US" w:eastAsia="zh-CN"/>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cs="Times New Roman"/>
          <w:b/>
          <w:color w:val="auto"/>
          <w:sz w:val="21"/>
          <w:highlight w:val="none"/>
          <w:lang w:val="en-US" w:eastAsia="zh-CN"/>
        </w:rPr>
        <w:fldChar w:fldCharType="separate"/>
      </w:r>
      <w:r>
        <w:rPr>
          <w:rFonts w:hint="eastAsia" w:ascii="宋体" w:hAnsi="宋体" w:cs="Times New Roman"/>
          <w:b/>
          <w:color w:val="auto"/>
          <w:sz w:val="21"/>
          <w:highlight w:val="none"/>
          <w:lang w:val="en-US" w:eastAsia="zh-CN"/>
        </w:rPr>
        <w:t>供应商自行确定是否提交；若提交请将备份投标文件打包压缩加密（未加密造成泄密的由供应商自行承担）后以电子邮件的形式发送至3050868501@qq.com</w:t>
      </w:r>
      <w:r>
        <w:rPr>
          <w:rFonts w:hint="eastAsia" w:ascii="宋体" w:hAnsi="宋体" w:cs="Times New Roman"/>
          <w:b/>
          <w:color w:val="auto"/>
          <w:sz w:val="21"/>
          <w:highlight w:val="none"/>
          <w:lang w:val="en-US" w:eastAsia="zh-CN"/>
        </w:rPr>
        <w:fldChar w:fldCharType="end"/>
      </w:r>
      <w:r>
        <w:rPr>
          <w:rFonts w:hint="eastAsia" w:ascii="宋体" w:hAnsi="宋体" w:cs="Times New Roman"/>
          <w:b/>
          <w:color w:val="auto"/>
          <w:sz w:val="21"/>
          <w:highlight w:val="none"/>
          <w:lang w:val="en-US" w:eastAsia="zh-CN"/>
        </w:rPr>
        <w:t xml:space="preserve"> 。</w:t>
      </w:r>
    </w:p>
    <w:p>
      <w:pPr>
        <w:autoSpaceDE w:val="0"/>
        <w:autoSpaceDN w:val="0"/>
        <w:adjustRightInd w:val="0"/>
        <w:snapToGrid w:val="0"/>
        <w:spacing w:beforeLines="0" w:afterLines="0" w:line="360" w:lineRule="auto"/>
        <w:ind w:firstLine="416" w:firstLineChars="198"/>
        <w:rPr>
          <w:rFonts w:hint="eastAsia" w:ascii="宋体" w:hAnsi="宋体" w:cs="Times New Roman"/>
          <w:b/>
          <w:color w:val="auto"/>
          <w:sz w:val="21"/>
          <w:highlight w:val="none"/>
          <w:lang w:val="en-US" w:eastAsia="zh-CN"/>
        </w:rPr>
      </w:pPr>
      <w:r>
        <w:rPr>
          <w:rFonts w:hint="eastAsia" w:ascii="宋体" w:hAnsi="宋体" w:cs="Times New Roman"/>
          <w:b/>
          <w:color w:val="auto"/>
          <w:sz w:val="21"/>
          <w:highlight w:val="none"/>
          <w:lang w:val="en-US" w:eastAsia="zh-CN"/>
        </w:rPr>
        <w:t>备份响应文件在“电子加密响应文件”在线解密失败后启用，否则不予以启用；供应商确认“电子加密响应文件”在线解密失败后，将打包压缩加密的备份响应文件的解密密码在解密规定的时间（发出解密通知后60分钟内）发送至上述邮箱内，未在规定时间内发送造成的投标无效或失败由供应商人自行承担。</w:t>
      </w:r>
    </w:p>
    <w:p>
      <w:pPr>
        <w:numPr>
          <w:ilvl w:val="0"/>
          <w:numId w:val="7"/>
        </w:numPr>
        <w:autoSpaceDE w:val="0"/>
        <w:autoSpaceDN w:val="0"/>
        <w:adjustRightInd w:val="0"/>
        <w:snapToGrid w:val="0"/>
        <w:spacing w:beforeLines="0" w:afterLines="0" w:line="360" w:lineRule="auto"/>
        <w:ind w:firstLine="480"/>
        <w:rPr>
          <w:rFonts w:hint="eastAsia" w:ascii="宋体" w:hAnsi="宋体"/>
          <w:b/>
          <w:color w:val="auto"/>
          <w:sz w:val="21"/>
          <w:highlight w:val="none"/>
          <w:lang w:val="en-US" w:eastAsia="zh-CN"/>
        </w:rPr>
      </w:pPr>
      <w:r>
        <w:rPr>
          <w:rFonts w:hint="eastAsia" w:ascii="宋体" w:hAnsi="宋体"/>
          <w:b/>
          <w:color w:val="auto"/>
          <w:sz w:val="21"/>
          <w:highlight w:val="none"/>
          <w:lang w:val="en-US" w:eastAsia="zh-CN"/>
        </w:rPr>
        <w:t>中标供应商应提供与电子加密响应文件内容一致的纸质磋商响应文件各一正二副和工程量清单套价软件版。纸质磋商响应文件装订成册，采用胶订或线订，不得采用活页夹等可随时拆换的方式装订。（胶订或线订以外装订形式视为活页装订）中标人在领取中标通知书时提供纸质磋商响应文件。</w:t>
      </w:r>
    </w:p>
    <w:p>
      <w:pPr>
        <w:autoSpaceDE w:val="0"/>
        <w:autoSpaceDN w:val="0"/>
        <w:adjustRightInd w:val="0"/>
        <w:snapToGrid w:val="0"/>
        <w:spacing w:beforeLines="0" w:afterLines="0" w:line="360" w:lineRule="auto"/>
        <w:ind w:firstLine="480"/>
        <w:rPr>
          <w:rFonts w:hint="eastAsia" w:ascii="宋体" w:hAnsi="宋体"/>
          <w:b/>
          <w:color w:val="auto"/>
          <w:sz w:val="21"/>
          <w:highlight w:val="none"/>
        </w:rPr>
      </w:pPr>
      <w:r>
        <w:rPr>
          <w:rFonts w:hint="eastAsia" w:ascii="宋体" w:hAnsi="宋体"/>
          <w:b/>
          <w:color w:val="auto"/>
          <w:kern w:val="0"/>
          <w:sz w:val="21"/>
          <w:highlight w:val="none"/>
        </w:rPr>
        <w:t>3、</w:t>
      </w:r>
      <w:r>
        <w:rPr>
          <w:rFonts w:hint="eastAsia" w:ascii="宋体" w:hAnsi="宋体"/>
          <w:b/>
          <w:color w:val="auto"/>
          <w:sz w:val="21"/>
          <w:highlight w:val="none"/>
        </w:rPr>
        <w:t>磋商响应文件的递交要求</w:t>
      </w:r>
    </w:p>
    <w:p>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highlight w:val="none"/>
        </w:rPr>
      </w:pPr>
      <w:bookmarkStart w:id="82" w:name="_Toc530551857"/>
      <w:bookmarkStart w:id="83" w:name="_Toc531359012"/>
      <w:bookmarkStart w:id="84" w:name="_Toc34895557"/>
      <w:r>
        <w:rPr>
          <w:rFonts w:hint="eastAsia" w:ascii="宋体" w:hAnsi="宋体"/>
          <w:color w:val="auto"/>
          <w:kern w:val="0"/>
          <w:sz w:val="21"/>
          <w:highlight w:val="none"/>
          <w:lang w:eastAsia="zh-CN"/>
        </w:rPr>
        <w:t>（</w:t>
      </w:r>
      <w:r>
        <w:rPr>
          <w:rFonts w:hint="eastAsia" w:ascii="宋体" w:hAnsi="宋体"/>
          <w:color w:val="auto"/>
          <w:kern w:val="0"/>
          <w:sz w:val="21"/>
          <w:highlight w:val="none"/>
          <w:lang w:val="en-US" w:eastAsia="zh-CN"/>
        </w:rPr>
        <w:t>1</w:t>
      </w:r>
      <w:r>
        <w:rPr>
          <w:rFonts w:hint="eastAsia" w:ascii="宋体" w:hAnsi="宋体"/>
          <w:color w:val="auto"/>
          <w:kern w:val="0"/>
          <w:sz w:val="21"/>
          <w:highlight w:val="none"/>
          <w:lang w:eastAsia="zh-CN"/>
        </w:rPr>
        <w:t>）磋商响应文件</w:t>
      </w:r>
      <w:r>
        <w:rPr>
          <w:rFonts w:hint="eastAsia" w:ascii="宋体" w:hAnsi="宋体"/>
          <w:color w:val="auto"/>
          <w:kern w:val="0"/>
          <w:sz w:val="21"/>
          <w:highlight w:val="none"/>
        </w:rPr>
        <w:t>导入</w:t>
      </w:r>
      <w:bookmarkEnd w:id="82"/>
      <w:bookmarkEnd w:id="83"/>
      <w:r>
        <w:rPr>
          <w:rFonts w:hint="eastAsia" w:ascii="宋体" w:hAnsi="宋体"/>
          <w:color w:val="auto"/>
          <w:kern w:val="0"/>
          <w:sz w:val="21"/>
          <w:highlight w:val="none"/>
        </w:rPr>
        <w:t>和加密</w:t>
      </w:r>
      <w:bookmarkEnd w:id="84"/>
    </w:p>
    <w:p>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highlight w:val="none"/>
        </w:rPr>
      </w:pPr>
      <w:r>
        <w:rPr>
          <w:rFonts w:hint="eastAsia" w:ascii="宋体" w:hAnsi="宋体"/>
          <w:color w:val="auto"/>
          <w:kern w:val="0"/>
          <w:sz w:val="21"/>
          <w:highlight w:val="none"/>
          <w:lang w:val="en-US" w:eastAsia="zh-CN"/>
        </w:rPr>
        <w:t>①</w:t>
      </w:r>
      <w:r>
        <w:rPr>
          <w:rFonts w:hint="eastAsia" w:ascii="宋体" w:hAnsi="宋体"/>
          <w:color w:val="auto"/>
          <w:kern w:val="0"/>
          <w:sz w:val="21"/>
          <w:highlight w:val="none"/>
          <w:lang w:eastAsia="zh-CN"/>
        </w:rPr>
        <w:t>磋商供应商</w:t>
      </w:r>
      <w:r>
        <w:rPr>
          <w:rFonts w:hint="eastAsia" w:ascii="宋体" w:hAnsi="宋体"/>
          <w:color w:val="auto"/>
          <w:kern w:val="0"/>
          <w:sz w:val="21"/>
          <w:highlight w:val="none"/>
        </w:rPr>
        <w:t>应当按照资格</w:t>
      </w:r>
      <w:r>
        <w:rPr>
          <w:rFonts w:hint="eastAsia" w:ascii="宋体" w:hAnsi="宋体"/>
          <w:color w:val="auto"/>
          <w:kern w:val="0"/>
          <w:sz w:val="21"/>
          <w:highlight w:val="none"/>
          <w:lang w:val="en-US" w:eastAsia="zh-CN"/>
        </w:rPr>
        <w:t>证明</w:t>
      </w:r>
      <w:r>
        <w:rPr>
          <w:rFonts w:hint="eastAsia" w:ascii="宋体" w:hAnsi="宋体"/>
          <w:color w:val="auto"/>
          <w:kern w:val="0"/>
          <w:sz w:val="21"/>
          <w:highlight w:val="none"/>
        </w:rPr>
        <w:t>文件、</w:t>
      </w:r>
      <w:r>
        <w:rPr>
          <w:rFonts w:hint="eastAsia" w:ascii="宋体" w:hAnsi="宋体"/>
          <w:color w:val="auto"/>
          <w:kern w:val="0"/>
          <w:sz w:val="21"/>
          <w:highlight w:val="none"/>
          <w:lang w:val="en-US" w:eastAsia="zh-CN"/>
        </w:rPr>
        <w:t>商务与</w:t>
      </w:r>
      <w:r>
        <w:rPr>
          <w:rFonts w:hint="eastAsia" w:ascii="宋体" w:hAnsi="宋体"/>
          <w:color w:val="auto"/>
          <w:kern w:val="0"/>
          <w:sz w:val="21"/>
          <w:highlight w:val="none"/>
        </w:rPr>
        <w:t>技术文件和报价文件三部分分别导入相应位置，各文件之间不得导错位置；</w:t>
      </w:r>
    </w:p>
    <w:p>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highlight w:val="none"/>
        </w:rPr>
      </w:pPr>
      <w:r>
        <w:rPr>
          <w:rFonts w:hint="eastAsia" w:ascii="宋体" w:hAnsi="宋体"/>
          <w:color w:val="auto"/>
          <w:kern w:val="0"/>
          <w:sz w:val="21"/>
          <w:highlight w:val="none"/>
          <w:lang w:val="en-US" w:eastAsia="zh-CN"/>
        </w:rPr>
        <w:t>②磋商响应文件</w:t>
      </w:r>
      <w:r>
        <w:rPr>
          <w:rFonts w:hint="eastAsia" w:ascii="宋体" w:hAnsi="宋体"/>
          <w:color w:val="auto"/>
          <w:kern w:val="0"/>
          <w:sz w:val="21"/>
          <w:highlight w:val="none"/>
          <w:lang w:eastAsia="zh-CN"/>
        </w:rPr>
        <w:t>编制好后应当生成电子加密响应文件，生成电子加密响应文件具体流程详见</w:t>
      </w:r>
      <w:r>
        <w:rPr>
          <w:rFonts w:hint="eastAsia" w:ascii="宋体" w:hAnsi="宋体"/>
          <w:color w:val="auto"/>
          <w:kern w:val="0"/>
          <w:sz w:val="21"/>
          <w:highlight w:val="none"/>
          <w:lang w:val="en-US" w:eastAsia="zh-CN"/>
        </w:rPr>
        <w:t>【浙江省】供应商-政府采购项目电子交易操作指南网址：</w:t>
      </w:r>
      <w:r>
        <w:rPr>
          <w:rFonts w:hint="eastAsia" w:ascii="宋体" w:hAnsi="宋体"/>
          <w:color w:val="auto"/>
          <w:kern w:val="0"/>
          <w:sz w:val="21"/>
          <w:highlight w:val="none"/>
          <w:lang w:eastAsia="zh-CN"/>
        </w:rPr>
        <w:fldChar w:fldCharType="begin"/>
      </w:r>
      <w:r>
        <w:rPr>
          <w:rFonts w:hint="eastAsia" w:ascii="宋体" w:hAnsi="宋体"/>
          <w:color w:val="auto"/>
          <w:kern w:val="0"/>
          <w:sz w:val="21"/>
          <w:highlight w:val="none"/>
          <w:lang w:eastAsia="zh-CN"/>
        </w:rPr>
        <w:instrText xml:space="preserve"> HYPERLINK "https://service.zcygov.cn/" \l "/knowledges/CW1EtGwBFdiHxlNd6I3m/6IMVAG0BFdiHxlNdQ8Na" </w:instrText>
      </w:r>
      <w:r>
        <w:rPr>
          <w:rFonts w:hint="eastAsia" w:ascii="宋体" w:hAnsi="宋体"/>
          <w:color w:val="auto"/>
          <w:kern w:val="0"/>
          <w:sz w:val="21"/>
          <w:highlight w:val="none"/>
          <w:lang w:eastAsia="zh-CN"/>
        </w:rPr>
        <w:fldChar w:fldCharType="separate"/>
      </w:r>
      <w:r>
        <w:rPr>
          <w:rFonts w:hint="eastAsia" w:ascii="宋体" w:hAnsi="宋体"/>
          <w:color w:val="auto"/>
          <w:kern w:val="0"/>
          <w:sz w:val="21"/>
          <w:highlight w:val="none"/>
          <w:lang w:eastAsia="zh-CN"/>
        </w:rPr>
        <w:t>https://service.zcygov.cn/#/knowledges/CW1EtGwBFdiHxlNd6I3m/6IMVAG0BFdiHxlNdQ8Na</w:t>
      </w:r>
      <w:r>
        <w:rPr>
          <w:rFonts w:hint="eastAsia" w:ascii="宋体" w:hAnsi="宋体"/>
          <w:color w:val="auto"/>
          <w:kern w:val="0"/>
          <w:sz w:val="21"/>
          <w:highlight w:val="none"/>
          <w:lang w:eastAsia="zh-CN"/>
        </w:rPr>
        <w:fldChar w:fldCharType="end"/>
      </w:r>
    </w:p>
    <w:p>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highlight w:val="none"/>
          <w:lang w:val="en-US" w:eastAsia="zh-CN"/>
        </w:rPr>
      </w:pPr>
      <w:r>
        <w:rPr>
          <w:rFonts w:hint="eastAsia" w:ascii="宋体" w:hAnsi="宋体"/>
          <w:color w:val="auto"/>
          <w:kern w:val="0"/>
          <w:sz w:val="21"/>
          <w:highlight w:val="none"/>
          <w:lang w:eastAsia="zh-CN"/>
        </w:rPr>
        <w:t>（</w:t>
      </w:r>
      <w:r>
        <w:rPr>
          <w:rFonts w:hint="eastAsia" w:ascii="宋体" w:hAnsi="宋体"/>
          <w:color w:val="auto"/>
          <w:kern w:val="0"/>
          <w:sz w:val="21"/>
          <w:highlight w:val="none"/>
          <w:lang w:val="en-US" w:eastAsia="zh-CN"/>
        </w:rPr>
        <w:t>2</w:t>
      </w:r>
      <w:r>
        <w:rPr>
          <w:rFonts w:hint="eastAsia" w:ascii="宋体" w:hAnsi="宋体"/>
          <w:color w:val="auto"/>
          <w:kern w:val="0"/>
          <w:sz w:val="21"/>
          <w:highlight w:val="none"/>
          <w:lang w:eastAsia="zh-CN"/>
        </w:rPr>
        <w:t>）磋商响应文件</w:t>
      </w:r>
      <w:r>
        <w:rPr>
          <w:rFonts w:hint="eastAsia" w:ascii="宋体" w:hAnsi="宋体"/>
          <w:color w:val="auto"/>
          <w:kern w:val="0"/>
          <w:sz w:val="21"/>
          <w:highlight w:val="none"/>
          <w:lang w:val="en-US" w:eastAsia="zh-CN"/>
        </w:rPr>
        <w:t>的提交</w:t>
      </w:r>
    </w:p>
    <w:p>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highlight w:val="none"/>
        </w:rPr>
      </w:pPr>
      <w:r>
        <w:rPr>
          <w:rFonts w:hint="eastAsia" w:ascii="宋体" w:hAnsi="宋体"/>
          <w:color w:val="auto"/>
          <w:kern w:val="0"/>
          <w:sz w:val="21"/>
          <w:highlight w:val="none"/>
          <w:lang w:val="en-US" w:eastAsia="zh-CN"/>
        </w:rPr>
        <w:t>①磋商响应文件</w:t>
      </w:r>
      <w:r>
        <w:rPr>
          <w:rFonts w:hint="eastAsia" w:ascii="宋体" w:hAnsi="宋体"/>
          <w:color w:val="auto"/>
          <w:kern w:val="0"/>
          <w:sz w:val="21"/>
          <w:highlight w:val="none"/>
        </w:rPr>
        <w:t>提交截止时间：见</w:t>
      </w:r>
      <w:r>
        <w:rPr>
          <w:rFonts w:hint="eastAsia" w:ascii="宋体" w:hAnsi="宋体"/>
          <w:color w:val="auto"/>
          <w:kern w:val="0"/>
          <w:sz w:val="21"/>
          <w:highlight w:val="none"/>
          <w:lang w:eastAsia="zh-CN"/>
        </w:rPr>
        <w:t>磋商</w:t>
      </w:r>
      <w:r>
        <w:rPr>
          <w:rFonts w:hint="eastAsia" w:ascii="宋体" w:hAnsi="宋体"/>
          <w:color w:val="auto"/>
          <w:kern w:val="0"/>
          <w:sz w:val="21"/>
          <w:highlight w:val="none"/>
        </w:rPr>
        <w:t>须知</w:t>
      </w:r>
      <w:r>
        <w:rPr>
          <w:rFonts w:hint="eastAsia" w:ascii="宋体" w:hAnsi="宋体"/>
          <w:color w:val="auto"/>
          <w:kern w:val="0"/>
          <w:sz w:val="21"/>
          <w:highlight w:val="none"/>
          <w:lang w:eastAsia="zh-CN"/>
        </w:rPr>
        <w:t>“</w:t>
      </w:r>
      <w:r>
        <w:rPr>
          <w:rFonts w:hint="eastAsia" w:ascii="宋体" w:hAnsi="宋体"/>
          <w:color w:val="auto"/>
          <w:kern w:val="0"/>
          <w:sz w:val="21"/>
          <w:highlight w:val="none"/>
        </w:rPr>
        <w:t>前附表</w:t>
      </w:r>
      <w:r>
        <w:rPr>
          <w:rFonts w:hint="eastAsia" w:ascii="宋体" w:hAnsi="宋体"/>
          <w:color w:val="auto"/>
          <w:kern w:val="0"/>
          <w:sz w:val="21"/>
          <w:highlight w:val="none"/>
          <w:lang w:eastAsia="zh-CN"/>
        </w:rPr>
        <w:t>”；</w:t>
      </w:r>
    </w:p>
    <w:p>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highlight w:val="none"/>
          <w:lang w:val="en-US" w:eastAsia="zh-CN"/>
        </w:rPr>
      </w:pPr>
      <w:r>
        <w:rPr>
          <w:rFonts w:hint="eastAsia" w:ascii="宋体" w:hAnsi="宋体"/>
          <w:color w:val="auto"/>
          <w:kern w:val="0"/>
          <w:sz w:val="21"/>
          <w:highlight w:val="none"/>
          <w:lang w:val="en-US" w:eastAsia="zh-CN"/>
        </w:rPr>
        <w:t>②磋商响应文件</w:t>
      </w:r>
      <w:r>
        <w:rPr>
          <w:rFonts w:hint="eastAsia" w:ascii="宋体" w:hAnsi="宋体"/>
          <w:color w:val="auto"/>
          <w:kern w:val="0"/>
          <w:sz w:val="21"/>
          <w:highlight w:val="none"/>
        </w:rPr>
        <w:t>提交地点：见</w:t>
      </w:r>
      <w:r>
        <w:rPr>
          <w:rFonts w:hint="eastAsia" w:ascii="宋体" w:hAnsi="宋体"/>
          <w:color w:val="auto"/>
          <w:kern w:val="0"/>
          <w:sz w:val="21"/>
          <w:highlight w:val="none"/>
          <w:lang w:eastAsia="zh-CN"/>
        </w:rPr>
        <w:t>磋商</w:t>
      </w:r>
      <w:r>
        <w:rPr>
          <w:rFonts w:hint="eastAsia" w:ascii="宋体" w:hAnsi="宋体"/>
          <w:color w:val="auto"/>
          <w:kern w:val="0"/>
          <w:sz w:val="21"/>
          <w:highlight w:val="none"/>
        </w:rPr>
        <w:t>须知</w:t>
      </w:r>
      <w:r>
        <w:rPr>
          <w:rFonts w:hint="eastAsia" w:ascii="宋体" w:hAnsi="宋体"/>
          <w:color w:val="auto"/>
          <w:kern w:val="0"/>
          <w:sz w:val="21"/>
          <w:highlight w:val="none"/>
          <w:lang w:eastAsia="zh-CN"/>
        </w:rPr>
        <w:t>“</w:t>
      </w:r>
      <w:r>
        <w:rPr>
          <w:rFonts w:hint="eastAsia" w:ascii="宋体" w:hAnsi="宋体"/>
          <w:color w:val="auto"/>
          <w:kern w:val="0"/>
          <w:sz w:val="21"/>
          <w:highlight w:val="none"/>
        </w:rPr>
        <w:t>前附表</w:t>
      </w:r>
      <w:r>
        <w:rPr>
          <w:rFonts w:hint="eastAsia" w:ascii="宋体" w:hAnsi="宋体"/>
          <w:color w:val="auto"/>
          <w:kern w:val="0"/>
          <w:sz w:val="21"/>
          <w:highlight w:val="none"/>
          <w:lang w:eastAsia="zh-CN"/>
        </w:rPr>
        <w:t>”。</w:t>
      </w:r>
    </w:p>
    <w:p>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highlight w:val="none"/>
        </w:rPr>
      </w:pPr>
      <w:r>
        <w:rPr>
          <w:rFonts w:hint="eastAsia" w:ascii="宋体" w:hAnsi="宋体"/>
          <w:color w:val="auto"/>
          <w:kern w:val="0"/>
          <w:sz w:val="21"/>
          <w:highlight w:val="none"/>
          <w:lang w:eastAsia="zh-CN"/>
        </w:rPr>
        <w:t>（</w:t>
      </w:r>
      <w:r>
        <w:rPr>
          <w:rFonts w:hint="eastAsia" w:ascii="宋体" w:hAnsi="宋体"/>
          <w:color w:val="auto"/>
          <w:kern w:val="0"/>
          <w:sz w:val="21"/>
          <w:highlight w:val="none"/>
          <w:lang w:val="en-US" w:eastAsia="zh-CN"/>
        </w:rPr>
        <w:t>3</w:t>
      </w:r>
      <w:r>
        <w:rPr>
          <w:rFonts w:hint="eastAsia" w:ascii="宋体" w:hAnsi="宋体"/>
          <w:color w:val="auto"/>
          <w:kern w:val="0"/>
          <w:sz w:val="21"/>
          <w:highlight w:val="none"/>
          <w:lang w:eastAsia="zh-CN"/>
        </w:rPr>
        <w:t>）</w:t>
      </w:r>
      <w:r>
        <w:rPr>
          <w:rFonts w:hint="eastAsia" w:ascii="宋体" w:hAnsi="宋体"/>
          <w:color w:val="auto"/>
          <w:kern w:val="0"/>
          <w:sz w:val="21"/>
          <w:highlight w:val="none"/>
        </w:rPr>
        <w:t>不予接收的磋商响应文件情形</w:t>
      </w:r>
    </w:p>
    <w:p>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highlight w:val="none"/>
        </w:rPr>
      </w:pPr>
      <w:r>
        <w:rPr>
          <w:rFonts w:hint="eastAsia" w:ascii="宋体" w:hAnsi="宋体"/>
          <w:color w:val="auto"/>
          <w:kern w:val="0"/>
          <w:sz w:val="21"/>
          <w:highlight w:val="none"/>
          <w:lang w:val="en-US" w:eastAsia="zh-CN"/>
        </w:rPr>
        <w:t>①</w:t>
      </w:r>
      <w:r>
        <w:rPr>
          <w:rFonts w:hint="eastAsia" w:ascii="宋体" w:hAnsi="宋体"/>
          <w:color w:val="auto"/>
          <w:kern w:val="0"/>
          <w:sz w:val="21"/>
          <w:highlight w:val="none"/>
          <w:lang w:eastAsia="zh-CN"/>
        </w:rPr>
        <w:t>磋商</w:t>
      </w:r>
      <w:r>
        <w:rPr>
          <w:rFonts w:hint="eastAsia" w:ascii="宋体" w:hAnsi="宋体"/>
          <w:color w:val="auto"/>
          <w:kern w:val="0"/>
          <w:sz w:val="21"/>
          <w:highlight w:val="none"/>
        </w:rPr>
        <w:t>截止时间前未完成传输的磋商响应文件；</w:t>
      </w:r>
    </w:p>
    <w:p>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highlight w:val="none"/>
        </w:rPr>
      </w:pPr>
      <w:r>
        <w:rPr>
          <w:rFonts w:hint="eastAsia" w:ascii="宋体" w:hAnsi="宋体"/>
          <w:color w:val="auto"/>
          <w:kern w:val="0"/>
          <w:sz w:val="21"/>
          <w:highlight w:val="none"/>
          <w:lang w:val="en-US" w:eastAsia="zh-CN"/>
        </w:rPr>
        <w:t>②</w:t>
      </w:r>
      <w:r>
        <w:rPr>
          <w:rFonts w:hint="eastAsia" w:ascii="宋体" w:hAnsi="宋体"/>
          <w:color w:val="auto"/>
          <w:kern w:val="0"/>
          <w:sz w:val="21"/>
          <w:highlight w:val="none"/>
        </w:rPr>
        <w:t>未生成加密的磋商响应文件；</w:t>
      </w:r>
    </w:p>
    <w:p>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highlight w:val="none"/>
          <w:lang w:eastAsia="zh-CN"/>
        </w:rPr>
      </w:pPr>
      <w:r>
        <w:rPr>
          <w:rFonts w:hint="eastAsia" w:ascii="宋体" w:hAnsi="宋体"/>
          <w:color w:val="auto"/>
          <w:kern w:val="0"/>
          <w:sz w:val="21"/>
          <w:highlight w:val="none"/>
          <w:lang w:eastAsia="zh-CN"/>
        </w:rPr>
        <w:t>（</w:t>
      </w:r>
      <w:r>
        <w:rPr>
          <w:rFonts w:hint="eastAsia" w:ascii="宋体" w:hAnsi="宋体"/>
          <w:color w:val="auto"/>
          <w:kern w:val="0"/>
          <w:sz w:val="21"/>
          <w:highlight w:val="none"/>
          <w:lang w:val="en-US" w:eastAsia="zh-CN"/>
        </w:rPr>
        <w:t>4</w:t>
      </w:r>
      <w:r>
        <w:rPr>
          <w:rFonts w:hint="eastAsia" w:ascii="宋体" w:hAnsi="宋体"/>
          <w:color w:val="auto"/>
          <w:kern w:val="0"/>
          <w:sz w:val="21"/>
          <w:highlight w:val="none"/>
          <w:lang w:eastAsia="zh-CN"/>
        </w:rPr>
        <w:t>）供应商所提交的磋商响应文件不予退还。</w:t>
      </w:r>
    </w:p>
    <w:p>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highlight w:val="none"/>
          <w:lang w:eastAsia="zh-CN"/>
        </w:rPr>
      </w:pPr>
      <w:r>
        <w:rPr>
          <w:rFonts w:hint="eastAsia" w:ascii="宋体" w:hAnsi="宋体"/>
          <w:color w:val="auto"/>
          <w:kern w:val="0"/>
          <w:sz w:val="21"/>
          <w:highlight w:val="none"/>
          <w:lang w:eastAsia="zh-CN"/>
        </w:rPr>
        <w:t>（</w:t>
      </w:r>
      <w:r>
        <w:rPr>
          <w:rFonts w:hint="eastAsia" w:ascii="宋体" w:hAnsi="宋体"/>
          <w:color w:val="auto"/>
          <w:kern w:val="0"/>
          <w:sz w:val="21"/>
          <w:highlight w:val="none"/>
          <w:lang w:val="en-US" w:eastAsia="zh-CN"/>
        </w:rPr>
        <w:t>5</w:t>
      </w:r>
      <w:r>
        <w:rPr>
          <w:rFonts w:hint="eastAsia" w:ascii="宋体" w:hAnsi="宋体"/>
          <w:color w:val="auto"/>
          <w:kern w:val="0"/>
          <w:sz w:val="21"/>
          <w:highlight w:val="none"/>
          <w:lang w:eastAsia="zh-CN"/>
        </w:rPr>
        <w:t>）如有特殊情况，采购代理机构延长截止时间和开标时间，采购代理机构和磋商供应商的权利和义务将受到新的截止时间和开标时间的约束。</w:t>
      </w:r>
    </w:p>
    <w:p>
      <w:pPr>
        <w:tabs>
          <w:tab w:val="left" w:pos="1898"/>
        </w:tabs>
        <w:autoSpaceDE w:val="0"/>
        <w:autoSpaceDN w:val="0"/>
        <w:adjustRightInd w:val="0"/>
        <w:snapToGrid w:val="0"/>
        <w:spacing w:beforeLines="0" w:afterLines="0" w:line="360" w:lineRule="auto"/>
        <w:ind w:firstLine="420" w:firstLineChars="200"/>
        <w:rPr>
          <w:rFonts w:hint="eastAsia" w:ascii="宋体" w:hAnsi="宋体"/>
          <w:b/>
          <w:color w:val="auto"/>
          <w:kern w:val="0"/>
          <w:sz w:val="21"/>
          <w:highlight w:val="none"/>
        </w:rPr>
      </w:pPr>
      <w:r>
        <w:rPr>
          <w:rFonts w:hint="eastAsia" w:ascii="宋体" w:hAnsi="宋体"/>
          <w:b/>
          <w:color w:val="auto"/>
          <w:kern w:val="0"/>
          <w:sz w:val="21"/>
          <w:highlight w:val="none"/>
        </w:rPr>
        <w:t>4、磋商响应文件的补充、修改和撤回。</w:t>
      </w:r>
    </w:p>
    <w:p>
      <w:pPr>
        <w:numPr>
          <w:ilvl w:val="0"/>
          <w:numId w:val="0"/>
        </w:num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highlight w:val="none"/>
          <w:lang w:eastAsia="zh-CN"/>
        </w:rPr>
      </w:pPr>
      <w:r>
        <w:rPr>
          <w:rFonts w:hint="eastAsia" w:ascii="宋体" w:hAnsi="宋体"/>
          <w:color w:val="auto"/>
          <w:kern w:val="0"/>
          <w:sz w:val="21"/>
          <w:highlight w:val="none"/>
        </w:rPr>
        <w:t>（1）在</w:t>
      </w:r>
      <w:r>
        <w:rPr>
          <w:rFonts w:hint="eastAsia" w:ascii="宋体" w:hAnsi="宋体"/>
          <w:color w:val="auto"/>
          <w:kern w:val="0"/>
          <w:sz w:val="21"/>
          <w:highlight w:val="none"/>
          <w:lang w:eastAsia="zh-CN"/>
        </w:rPr>
        <w:t>磋商</w:t>
      </w:r>
      <w:r>
        <w:rPr>
          <w:rFonts w:hint="eastAsia" w:ascii="宋体" w:hAnsi="宋体"/>
          <w:color w:val="auto"/>
          <w:kern w:val="0"/>
          <w:sz w:val="21"/>
          <w:highlight w:val="none"/>
        </w:rPr>
        <w:t>截止时间前，</w:t>
      </w:r>
      <w:r>
        <w:rPr>
          <w:rFonts w:hint="eastAsia" w:ascii="宋体" w:hAnsi="宋体"/>
          <w:color w:val="auto"/>
          <w:kern w:val="0"/>
          <w:sz w:val="21"/>
          <w:highlight w:val="none"/>
          <w:lang w:eastAsia="zh-CN"/>
        </w:rPr>
        <w:t>磋商供应商</w:t>
      </w:r>
      <w:r>
        <w:rPr>
          <w:rFonts w:hint="eastAsia" w:ascii="宋体" w:hAnsi="宋体"/>
          <w:color w:val="auto"/>
          <w:kern w:val="0"/>
          <w:sz w:val="21"/>
          <w:highlight w:val="none"/>
        </w:rPr>
        <w:t>可对已提交的磋商响应文件进行补充、修改或撤回。补充、修改磋商响应文件的，应当先行撤回原文件，补充、修改后重新生成加密的磋商响应文件并重新上传提交；补充、修改后重新提交的磋商响应文件应按</w:t>
      </w:r>
      <w:r>
        <w:rPr>
          <w:rFonts w:hint="eastAsia" w:ascii="宋体" w:hAnsi="宋体"/>
          <w:color w:val="auto"/>
          <w:kern w:val="0"/>
          <w:sz w:val="21"/>
          <w:highlight w:val="none"/>
          <w:lang w:eastAsia="zh-CN"/>
        </w:rPr>
        <w:t>磋商</w:t>
      </w:r>
      <w:r>
        <w:rPr>
          <w:rFonts w:hint="eastAsia" w:ascii="宋体" w:hAnsi="宋体"/>
          <w:color w:val="auto"/>
          <w:kern w:val="0"/>
          <w:sz w:val="21"/>
          <w:highlight w:val="none"/>
        </w:rPr>
        <w:t>文件的规定编制、加密、导入和提交</w:t>
      </w:r>
      <w:r>
        <w:rPr>
          <w:rFonts w:hint="eastAsia" w:ascii="宋体" w:hAnsi="宋体"/>
          <w:color w:val="auto"/>
          <w:kern w:val="0"/>
          <w:sz w:val="21"/>
          <w:highlight w:val="none"/>
          <w:lang w:eastAsia="zh-CN"/>
        </w:rPr>
        <w:t>。</w:t>
      </w:r>
    </w:p>
    <w:p>
      <w:pPr>
        <w:numPr>
          <w:ilvl w:val="0"/>
          <w:numId w:val="0"/>
        </w:num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highlight w:val="none"/>
        </w:rPr>
      </w:pPr>
      <w:r>
        <w:rPr>
          <w:rFonts w:hint="eastAsia" w:ascii="宋体" w:hAnsi="宋体"/>
          <w:color w:val="auto"/>
          <w:kern w:val="0"/>
          <w:sz w:val="21"/>
          <w:highlight w:val="none"/>
        </w:rPr>
        <w:t>（</w:t>
      </w:r>
      <w:r>
        <w:rPr>
          <w:rFonts w:hint="eastAsia" w:ascii="宋体" w:hAnsi="宋体"/>
          <w:color w:val="auto"/>
          <w:kern w:val="0"/>
          <w:sz w:val="21"/>
          <w:highlight w:val="none"/>
          <w:lang w:val="en-US" w:eastAsia="zh-CN"/>
        </w:rPr>
        <w:t>2</w:t>
      </w:r>
      <w:r>
        <w:rPr>
          <w:rFonts w:hint="eastAsia" w:ascii="宋体" w:hAnsi="宋体"/>
          <w:color w:val="auto"/>
          <w:kern w:val="0"/>
          <w:sz w:val="21"/>
          <w:highlight w:val="none"/>
        </w:rPr>
        <w:t>）</w:t>
      </w:r>
      <w:r>
        <w:rPr>
          <w:rFonts w:hint="eastAsia" w:ascii="宋体" w:hAnsi="宋体"/>
          <w:color w:val="auto"/>
          <w:kern w:val="0"/>
          <w:sz w:val="21"/>
          <w:highlight w:val="none"/>
          <w:lang w:val="zh-CN"/>
        </w:rPr>
        <w:t>在磋商响应文件递交截止时间后,磋商供应商不得修改或撤回已</w:t>
      </w:r>
      <w:r>
        <w:rPr>
          <w:rFonts w:hint="eastAsia" w:ascii="宋体" w:hAnsi="宋体"/>
          <w:color w:val="auto"/>
          <w:kern w:val="0"/>
          <w:sz w:val="21"/>
          <w:highlight w:val="none"/>
          <w:lang w:val="en-US" w:eastAsia="zh-CN"/>
        </w:rPr>
        <w:t>提交</w:t>
      </w:r>
      <w:r>
        <w:rPr>
          <w:rFonts w:hint="eastAsia" w:ascii="宋体" w:hAnsi="宋体"/>
          <w:color w:val="auto"/>
          <w:kern w:val="0"/>
          <w:sz w:val="21"/>
          <w:highlight w:val="none"/>
          <w:lang w:val="zh-CN"/>
        </w:rPr>
        <w:t>的磋商响应文件。</w:t>
      </w:r>
    </w:p>
    <w:p>
      <w:pPr>
        <w:snapToGrid w:val="0"/>
        <w:spacing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w:t>
      </w:r>
      <w:r>
        <w:rPr>
          <w:rFonts w:hint="eastAsia" w:ascii="宋体" w:hAnsi="宋体" w:eastAsia="宋体" w:cs="宋体"/>
          <w:b/>
          <w:color w:val="auto"/>
          <w:sz w:val="21"/>
          <w:szCs w:val="21"/>
          <w:highlight w:val="none"/>
          <w:lang w:val="en-US" w:eastAsia="zh-CN" w:bidi="ar"/>
        </w:rPr>
        <w:t>5、</w:t>
      </w:r>
      <w:r>
        <w:rPr>
          <w:rFonts w:hint="eastAsia" w:ascii="宋体" w:hAnsi="宋体" w:eastAsia="宋体" w:cs="宋体"/>
          <w:b/>
          <w:color w:val="auto"/>
          <w:sz w:val="21"/>
          <w:szCs w:val="21"/>
          <w:highlight w:val="none"/>
          <w:lang w:bidi="ar"/>
        </w:rPr>
        <w:t>磋商报价</w:t>
      </w:r>
    </w:p>
    <w:p>
      <w:pPr>
        <w:numPr>
          <w:ilvl w:val="0"/>
          <w:numId w:val="8"/>
        </w:numPr>
        <w:snapToGrid w:val="0"/>
        <w:spacing w:line="360" w:lineRule="auto"/>
        <w:ind w:left="-60" w:leftChars="0" w:firstLine="420" w:firstLineChars="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磋商报价应是采购文件所确定的采购范围内全部工作内容的价格表现，包括项目实施所需的包含所有一切人员工资、各种加班费、节假日补贴、各种社会保险、安全保险、食宿与交通、材料费、机械费、人工费、辅助材料费、建筑垃圾清运费、保险费、管理费、规费以及所有税收、利润、总承包服务费、采购代理服务费等、政策性文件规定及合同包含的所有风险责任等一切费用等完成合同所需的一切本身和不可或缺的所有工作开支、政策性文件规定及合同包含的所有风险、责任等各项全部费用并承担一切风险责任。</w:t>
      </w:r>
    </w:p>
    <w:p>
      <w:pPr>
        <w:autoSpaceDE w:val="0"/>
        <w:autoSpaceDN w:val="0"/>
        <w:adjustRightInd w:val="0"/>
        <w:snapToGrid w:val="0"/>
        <w:spacing w:beforeLines="0" w:afterLines="0" w:line="360" w:lineRule="auto"/>
        <w:ind w:firstLine="416" w:firstLineChars="198"/>
        <w:rPr>
          <w:rFonts w:hint="eastAsia" w:ascii="宋体" w:hAnsi="宋体" w:cs="Times New Roman"/>
          <w:b/>
          <w:color w:val="auto"/>
          <w:sz w:val="21"/>
          <w:highlight w:val="none"/>
          <w:lang w:val="en-US" w:eastAsia="zh-CN"/>
        </w:rPr>
      </w:pPr>
      <w:r>
        <w:rPr>
          <w:rFonts w:hint="eastAsia" w:ascii="宋体" w:hAnsi="宋体" w:cs="Times New Roman"/>
          <w:b/>
          <w:color w:val="auto"/>
          <w:sz w:val="21"/>
          <w:highlight w:val="none"/>
          <w:lang w:val="en-US" w:eastAsia="zh-CN"/>
        </w:rPr>
        <w:t xml:space="preserve">（2）报价分二次进行，首次报价在响应文件中体现；最终报价在本顶目磋商结束后由所有有效的磋商供应商在规定的时间时限内（最终报价时间时限根据评审情况另行通知）在平台上进行最终报价，同时将最终报价一览表、已标价工程量清单填写好并加盖单位公章扫描成电子扫描件作为附件上传至政采云或加密发送至邮箱3050868501@qq.com。附件未在规定时间内上传或发送则投标无效，附件发送至邮箱未加密造成泄密的由投标人自行承担。最终报价不得高于初次报价，否则将导致无效标（磋商文件的采购需求发生实质性变动的情况除外）。 </w:t>
      </w:r>
    </w:p>
    <w:p>
      <w:pPr>
        <w:snapToGrid w:val="0"/>
        <w:spacing w:line="360" w:lineRule="auto"/>
        <w:ind w:firstLine="420" w:firstLineChars="200"/>
        <w:rPr>
          <w:rFonts w:hint="eastAsia" w:ascii="宋体" w:hAnsi="宋体" w:cs="Times New Roman"/>
          <w:b/>
          <w:color w:val="auto"/>
          <w:sz w:val="21"/>
          <w:highlight w:val="none"/>
          <w:lang w:val="en-US" w:eastAsia="zh-CN"/>
        </w:rPr>
      </w:pPr>
      <w:r>
        <w:rPr>
          <w:rFonts w:hint="eastAsia" w:ascii="宋体" w:hAnsi="宋体" w:cs="Times New Roman"/>
          <w:b/>
          <w:color w:val="auto"/>
          <w:sz w:val="21"/>
          <w:highlight w:val="none"/>
          <w:lang w:val="en-US" w:eastAsia="zh-CN"/>
        </w:rPr>
        <w:t>注：各供应商针对本项目最终报价工作应当事先作好充分准备，以避免在规定时间内未能完成最终报价，在规定时间内未能提交完成最终报价（含最终报价一览表、已标价工程量清单）文件的，按供应商自动放弃处理，责任由供应商自负。</w:t>
      </w:r>
    </w:p>
    <w:p>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bidi="ar"/>
        </w:rPr>
        <w:t>磋商响应文件中的所有报价均以人民币（元）为单位；</w:t>
      </w:r>
    </w:p>
    <w:p>
      <w:pPr>
        <w:snapToGrid w:val="0"/>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（4）</w:t>
      </w:r>
      <w:r>
        <w:rPr>
          <w:rFonts w:hint="eastAsia" w:ascii="宋体" w:hAnsi="宋体" w:eastAsia="宋体" w:cs="宋体"/>
          <w:bCs/>
          <w:color w:val="auto"/>
          <w:sz w:val="21"/>
          <w:szCs w:val="21"/>
          <w:highlight w:val="none"/>
          <w:lang w:bidi="ar"/>
        </w:rPr>
        <w:t>采购单位不接受备选方案；</w:t>
      </w:r>
    </w:p>
    <w:p>
      <w:pPr>
        <w:snapToGrid w:val="0"/>
        <w:spacing w:line="360" w:lineRule="auto"/>
        <w:ind w:firstLine="420" w:firstLineChars="200"/>
        <w:rPr>
          <w:rFonts w:hint="eastAsia"/>
          <w:color w:val="auto"/>
          <w:highlight w:val="none"/>
        </w:rPr>
      </w:pPr>
      <w:r>
        <w:rPr>
          <w:rFonts w:hint="eastAsia" w:ascii="宋体" w:hAnsi="宋体" w:eastAsia="宋体" w:cs="宋体"/>
          <w:color w:val="auto"/>
          <w:sz w:val="21"/>
          <w:szCs w:val="21"/>
          <w:highlight w:val="none"/>
          <w:lang w:val="en-US" w:eastAsia="zh-CN" w:bidi="ar"/>
        </w:rPr>
        <w:t>（5）本项目设有最高限价，最高限价见前附表。若磋商报价超过最高限价的，其磋商响应文件作无效标处理。</w:t>
      </w:r>
    </w:p>
    <w:p>
      <w:pPr>
        <w:tabs>
          <w:tab w:val="left" w:pos="1418"/>
        </w:tabs>
        <w:autoSpaceDE w:val="0"/>
        <w:autoSpaceDN w:val="0"/>
        <w:adjustRightInd w:val="0"/>
        <w:snapToGrid w:val="0"/>
        <w:spacing w:beforeLines="0" w:afterLines="0" w:line="360" w:lineRule="auto"/>
        <w:ind w:left="480"/>
        <w:rPr>
          <w:rFonts w:hint="eastAsia" w:ascii="宋体" w:hAnsi="宋体"/>
          <w:color w:val="auto"/>
          <w:kern w:val="0"/>
          <w:sz w:val="21"/>
          <w:highlight w:val="none"/>
        </w:rPr>
      </w:pPr>
      <w:r>
        <w:rPr>
          <w:rFonts w:hint="eastAsia" w:ascii="宋体" w:hAnsi="宋体"/>
          <w:b/>
          <w:color w:val="auto"/>
          <w:kern w:val="0"/>
          <w:sz w:val="21"/>
          <w:highlight w:val="none"/>
        </w:rPr>
        <w:t>（三）磋商响应文件的有效期</w:t>
      </w:r>
    </w:p>
    <w:p>
      <w:pPr>
        <w:snapToGrid w:val="0"/>
        <w:spacing w:beforeLines="0" w:afterLines="0" w:line="360" w:lineRule="auto"/>
        <w:ind w:firstLine="422" w:firstLineChars="200"/>
        <w:rPr>
          <w:rFonts w:hint="eastAsia" w:ascii="宋体" w:hAnsi="宋体"/>
          <w:color w:val="auto"/>
          <w:sz w:val="21"/>
          <w:szCs w:val="21"/>
          <w:highlight w:val="none"/>
          <w:lang w:val="en-GB"/>
        </w:rPr>
      </w:pPr>
      <w:r>
        <w:rPr>
          <w:rFonts w:hint="eastAsia" w:ascii="宋体" w:hAnsi="宋体" w:eastAsia="宋体" w:cs="宋体"/>
          <w:b/>
          <w:color w:val="auto"/>
          <w:sz w:val="21"/>
          <w:szCs w:val="21"/>
          <w:highlight w:val="none"/>
          <w:lang w:bidi="ar"/>
        </w:rPr>
        <w:t>▲</w:t>
      </w:r>
      <w:r>
        <w:rPr>
          <w:rFonts w:hint="eastAsia" w:ascii="宋体" w:hAnsi="宋体"/>
          <w:color w:val="auto"/>
          <w:sz w:val="21"/>
          <w:highlight w:val="none"/>
        </w:rPr>
        <w:t>1、</w:t>
      </w:r>
      <w:r>
        <w:rPr>
          <w:rFonts w:hint="eastAsia" w:ascii="宋体"/>
          <w:color w:val="auto"/>
          <w:sz w:val="21"/>
          <w:szCs w:val="21"/>
          <w:highlight w:val="none"/>
          <w:lang w:val="zh-CN"/>
        </w:rPr>
        <w:t>自磋商响应</w:t>
      </w:r>
      <w:r>
        <w:rPr>
          <w:rFonts w:hint="eastAsia" w:ascii="宋体"/>
          <w:color w:val="auto"/>
          <w:sz w:val="21"/>
          <w:szCs w:val="21"/>
          <w:highlight w:val="none"/>
          <w:lang w:val="en-US" w:eastAsia="zh-CN"/>
        </w:rPr>
        <w:t>文件</w:t>
      </w:r>
      <w:r>
        <w:rPr>
          <w:rFonts w:hint="eastAsia" w:ascii="宋体"/>
          <w:color w:val="auto"/>
          <w:sz w:val="21"/>
          <w:szCs w:val="21"/>
          <w:highlight w:val="none"/>
          <w:lang w:val="zh-CN"/>
        </w:rPr>
        <w:t>提交截止之日起</w:t>
      </w:r>
      <w:r>
        <w:rPr>
          <w:rFonts w:ascii="宋体"/>
          <w:color w:val="auto"/>
          <w:sz w:val="21"/>
          <w:szCs w:val="21"/>
          <w:highlight w:val="none"/>
          <w:lang w:val="zh-CN"/>
        </w:rPr>
        <w:t>90</w:t>
      </w:r>
      <w:r>
        <w:rPr>
          <w:rFonts w:hint="eastAsia" w:ascii="宋体"/>
          <w:color w:val="auto"/>
          <w:sz w:val="21"/>
          <w:szCs w:val="21"/>
          <w:highlight w:val="none"/>
          <w:lang w:val="zh-CN"/>
        </w:rPr>
        <w:t>天磋商响应文件应保持有效。有效期短于这个规定期限的磋商响应文件将被拒绝。</w:t>
      </w:r>
      <w:r>
        <w:rPr>
          <w:rFonts w:hint="eastAsia" w:ascii="宋体" w:eastAsia="宋体"/>
          <w:color w:val="auto"/>
          <w:sz w:val="21"/>
          <w:szCs w:val="21"/>
          <w:highlight w:val="none"/>
          <w:lang w:val="en-US" w:eastAsia="zh-CN"/>
        </w:rPr>
        <w:t>成交</w:t>
      </w:r>
      <w:r>
        <w:rPr>
          <w:rFonts w:hint="eastAsia" w:ascii="宋体"/>
          <w:color w:val="auto"/>
          <w:sz w:val="21"/>
          <w:szCs w:val="21"/>
          <w:highlight w:val="none"/>
          <w:lang w:val="zh-CN"/>
        </w:rPr>
        <w:t>磋商响应文件有</w:t>
      </w:r>
      <w:r>
        <w:rPr>
          <w:rFonts w:hint="eastAsia" w:ascii="宋体" w:hAnsi="宋体"/>
          <w:color w:val="auto"/>
          <w:sz w:val="21"/>
          <w:szCs w:val="21"/>
          <w:highlight w:val="none"/>
          <w:lang w:val="en-GB"/>
        </w:rPr>
        <w:t>效期顺延至合同履行完毕，在此有效期内未经同意，</w:t>
      </w:r>
      <w:r>
        <w:rPr>
          <w:rFonts w:hint="eastAsia" w:ascii="宋体"/>
          <w:color w:val="auto"/>
          <w:sz w:val="21"/>
          <w:szCs w:val="21"/>
          <w:highlight w:val="none"/>
          <w:lang w:val="zh-CN"/>
        </w:rPr>
        <w:t>磋商响应</w:t>
      </w:r>
      <w:r>
        <w:rPr>
          <w:rFonts w:hint="eastAsia" w:ascii="宋体" w:hAnsi="宋体"/>
          <w:color w:val="auto"/>
          <w:sz w:val="21"/>
          <w:szCs w:val="21"/>
          <w:highlight w:val="none"/>
          <w:lang w:val="en-GB"/>
        </w:rPr>
        <w:t>文件的一切内容和补充承诺均为持续有效且不予改变。</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2、在特殊情况下，采购人可与磋商供应商协商延长磋商响应文件的有效期，这种要求和答复均以书面形式进行。</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 xml:space="preserve">3、磋商供应商可拒绝接受延期要求。同意延长有效期的磋商不能修改磋商响应文件。 </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4、成交供应商的磋商响应文件自磋商之日起至合同履行完毕均应保持有效。</w:t>
      </w:r>
    </w:p>
    <w:p>
      <w:pPr>
        <w:tabs>
          <w:tab w:val="left" w:pos="1418"/>
        </w:tabs>
        <w:autoSpaceDE w:val="0"/>
        <w:autoSpaceDN w:val="0"/>
        <w:adjustRightInd w:val="0"/>
        <w:snapToGrid w:val="0"/>
        <w:spacing w:beforeLines="0" w:afterLines="0" w:line="360" w:lineRule="auto"/>
        <w:ind w:firstLine="210" w:firstLineChars="100"/>
        <w:rPr>
          <w:rFonts w:hint="eastAsia" w:ascii="宋体" w:hAnsi="宋体"/>
          <w:b/>
          <w:color w:val="auto"/>
          <w:kern w:val="0"/>
          <w:sz w:val="21"/>
          <w:highlight w:val="none"/>
        </w:rPr>
      </w:pPr>
      <w:r>
        <w:rPr>
          <w:rFonts w:hint="eastAsia" w:ascii="宋体" w:hAnsi="宋体"/>
          <w:b/>
          <w:color w:val="auto"/>
          <w:kern w:val="0"/>
          <w:sz w:val="21"/>
          <w:highlight w:val="none"/>
          <w:lang w:eastAsia="zh-CN"/>
        </w:rPr>
        <w:t>（四）</w:t>
      </w:r>
      <w:r>
        <w:rPr>
          <w:rFonts w:hint="eastAsia" w:ascii="宋体" w:hAnsi="宋体"/>
          <w:b/>
          <w:color w:val="auto"/>
          <w:kern w:val="0"/>
          <w:sz w:val="21"/>
          <w:highlight w:val="none"/>
        </w:rPr>
        <w:t>、磋商保证金</w:t>
      </w:r>
    </w:p>
    <w:p>
      <w:pPr>
        <w:tabs>
          <w:tab w:val="left" w:pos="1418"/>
        </w:tabs>
        <w:autoSpaceDE w:val="0"/>
        <w:autoSpaceDN w:val="0"/>
        <w:adjustRightInd w:val="0"/>
        <w:snapToGrid w:val="0"/>
        <w:spacing w:beforeLines="0" w:afterLines="0" w:line="360" w:lineRule="auto"/>
        <w:rPr>
          <w:rFonts w:hint="eastAsia" w:ascii="宋体" w:hAnsi="宋体"/>
          <w:color w:val="auto"/>
          <w:sz w:val="21"/>
          <w:highlight w:val="none"/>
        </w:rPr>
      </w:pPr>
      <w:r>
        <w:rPr>
          <w:rFonts w:hint="eastAsia" w:ascii="宋体" w:hAnsi="宋体"/>
          <w:color w:val="auto"/>
          <w:kern w:val="0"/>
          <w:sz w:val="21"/>
          <w:highlight w:val="none"/>
        </w:rPr>
        <w:t xml:space="preserve">    无</w:t>
      </w:r>
    </w:p>
    <w:p>
      <w:pPr>
        <w:numPr>
          <w:ilvl w:val="0"/>
          <w:numId w:val="0"/>
        </w:numPr>
        <w:tabs>
          <w:tab w:val="left" w:pos="1418"/>
        </w:tabs>
        <w:autoSpaceDE w:val="0"/>
        <w:autoSpaceDN w:val="0"/>
        <w:adjustRightInd w:val="0"/>
        <w:snapToGrid w:val="0"/>
        <w:spacing w:beforeLines="0" w:afterLines="0" w:line="360" w:lineRule="auto"/>
        <w:ind w:left="60" w:leftChars="0"/>
        <w:jc w:val="left"/>
        <w:rPr>
          <w:rFonts w:hint="eastAsia" w:ascii="宋体" w:hAnsi="宋体"/>
          <w:b/>
          <w:color w:val="auto"/>
          <w:kern w:val="0"/>
          <w:sz w:val="21"/>
          <w:highlight w:val="none"/>
        </w:rPr>
      </w:pPr>
      <w:r>
        <w:rPr>
          <w:rFonts w:hint="eastAsia" w:ascii="宋体" w:hAnsi="宋体" w:eastAsia="宋体"/>
          <w:b/>
          <w:color w:val="auto"/>
          <w:kern w:val="0"/>
          <w:sz w:val="21"/>
          <w:highlight w:val="none"/>
          <w:lang w:val="en-US" w:eastAsia="zh-CN"/>
        </w:rPr>
        <w:t>四、</w:t>
      </w:r>
      <w:r>
        <w:rPr>
          <w:rFonts w:hint="eastAsia" w:ascii="宋体" w:hAnsi="宋体"/>
          <w:b/>
          <w:color w:val="auto"/>
          <w:kern w:val="0"/>
          <w:sz w:val="21"/>
          <w:highlight w:val="none"/>
        </w:rPr>
        <w:t>磋商</w:t>
      </w:r>
    </w:p>
    <w:p>
      <w:pPr>
        <w:pStyle w:val="8"/>
        <w:numPr>
          <w:ilvl w:val="0"/>
          <w:numId w:val="0"/>
        </w:numPr>
        <w:spacing w:line="360" w:lineRule="auto"/>
        <w:ind w:left="60" w:leftChars="0" w:firstLine="420" w:firstLineChars="200"/>
        <w:rPr>
          <w:rFonts w:hint="eastAsia"/>
          <w:color w:val="auto"/>
          <w:highlight w:val="none"/>
        </w:rPr>
      </w:pPr>
      <w:r>
        <w:rPr>
          <w:rFonts w:hint="eastAsia"/>
          <w:color w:val="auto"/>
          <w:highlight w:val="none"/>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pPr>
        <w:autoSpaceDE w:val="0"/>
        <w:autoSpaceDN w:val="0"/>
        <w:adjustRightInd w:val="0"/>
        <w:snapToGrid w:val="0"/>
        <w:spacing w:beforeLines="0" w:afterLines="0" w:line="360" w:lineRule="auto"/>
        <w:rPr>
          <w:rFonts w:hint="eastAsia" w:ascii="宋体" w:hAnsi="宋体" w:eastAsia="宋体"/>
          <w:b/>
          <w:color w:val="auto"/>
          <w:sz w:val="21"/>
          <w:highlight w:val="none"/>
          <w:lang w:eastAsia="zh-CN"/>
        </w:rPr>
      </w:pPr>
      <w:r>
        <w:rPr>
          <w:rFonts w:hint="eastAsia" w:ascii="宋体" w:hAnsi="宋体"/>
          <w:color w:val="auto"/>
          <w:kern w:val="0"/>
          <w:sz w:val="21"/>
          <w:highlight w:val="none"/>
        </w:rPr>
        <w:t xml:space="preserve">   </w:t>
      </w:r>
      <w:r>
        <w:rPr>
          <w:rFonts w:hint="eastAsia" w:ascii="宋体" w:hAnsi="宋体"/>
          <w:b/>
          <w:color w:val="auto"/>
          <w:sz w:val="21"/>
          <w:highlight w:val="none"/>
        </w:rPr>
        <w:t>（一）</w:t>
      </w:r>
      <w:r>
        <w:rPr>
          <w:rFonts w:hint="eastAsia" w:ascii="宋体" w:hAnsi="宋体"/>
          <w:b/>
          <w:color w:val="auto"/>
          <w:sz w:val="21"/>
          <w:highlight w:val="none"/>
          <w:lang w:eastAsia="zh-CN"/>
        </w:rPr>
        <w:t>磋商事项</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1、采购代理机构在“磋商公告”规定的时间和地点进行开标。供应商的供应商代表应当在线参加，否则视同认可开标结果，事后不得对采购相关人员、开标过程和开标结果提出质疑。</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2、评标委员会成员不得参加开标活动。</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color w:val="auto"/>
          <w:sz w:val="21"/>
          <w:szCs w:val="21"/>
          <w:highlight w:val="none"/>
        </w:rPr>
      </w:pPr>
      <w:r>
        <w:rPr>
          <w:rFonts w:hint="eastAsia" w:ascii="宋体" w:hAnsi="宋体" w:eastAsia="宋体" w:cs="宋体"/>
          <w:color w:val="auto"/>
          <w:sz w:val="21"/>
          <w:szCs w:val="21"/>
          <w:highlight w:val="none"/>
          <w:lang w:val="zh-CN"/>
        </w:rPr>
        <w:t>3、本次开标采用先评审资格证明文件和商务与技术文件，后评审报价文件的方式进行。</w:t>
      </w:r>
    </w:p>
    <w:p>
      <w:pPr>
        <w:autoSpaceDE w:val="0"/>
        <w:autoSpaceDN w:val="0"/>
        <w:adjustRightInd w:val="0"/>
        <w:snapToGrid w:val="0"/>
        <w:spacing w:beforeLines="0" w:afterLines="0" w:line="360" w:lineRule="auto"/>
        <w:ind w:firstLine="210" w:firstLineChars="100"/>
        <w:rPr>
          <w:rFonts w:hint="eastAsia" w:ascii="宋体" w:hAnsi="宋体"/>
          <w:color w:val="auto"/>
          <w:kern w:val="0"/>
          <w:sz w:val="21"/>
          <w:highlight w:val="none"/>
        </w:rPr>
      </w:pPr>
      <w:r>
        <w:rPr>
          <w:rFonts w:hint="eastAsia" w:ascii="宋体" w:hAnsi="宋体"/>
          <w:b/>
          <w:color w:val="auto"/>
          <w:sz w:val="21"/>
          <w:highlight w:val="none"/>
          <w:lang w:eastAsia="zh-CN"/>
        </w:rPr>
        <w:t>（二）</w:t>
      </w:r>
      <w:r>
        <w:rPr>
          <w:rFonts w:hint="eastAsia" w:ascii="宋体" w:hAnsi="宋体"/>
          <w:b/>
          <w:color w:val="auto"/>
          <w:sz w:val="21"/>
          <w:highlight w:val="none"/>
        </w:rPr>
        <w:t>磋商程序</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1、开启开标场地的录音录像采集设备，并确保其正常运行。</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2、对</w:t>
      </w:r>
      <w:r>
        <w:rPr>
          <w:rFonts w:hint="eastAsia" w:ascii="宋体" w:hAnsi="宋体"/>
          <w:color w:val="auto"/>
          <w:sz w:val="21"/>
          <w:highlight w:val="none"/>
          <w:lang w:eastAsia="zh-CN"/>
        </w:rPr>
        <w:t>提交了电子</w:t>
      </w:r>
      <w:r>
        <w:rPr>
          <w:rFonts w:hint="eastAsia" w:ascii="宋体" w:hAnsi="宋体"/>
          <w:color w:val="auto"/>
          <w:sz w:val="21"/>
          <w:highlight w:val="none"/>
        </w:rPr>
        <w:t>备份</w:t>
      </w:r>
      <w:r>
        <w:rPr>
          <w:rFonts w:hint="eastAsia" w:ascii="宋体" w:hAnsi="宋体"/>
          <w:color w:val="auto"/>
          <w:sz w:val="21"/>
          <w:highlight w:val="none"/>
          <w:lang w:eastAsia="zh-CN"/>
        </w:rPr>
        <w:t>磋商</w:t>
      </w:r>
      <w:r>
        <w:rPr>
          <w:rFonts w:hint="eastAsia" w:ascii="宋体" w:hAnsi="宋体"/>
          <w:color w:val="auto"/>
          <w:sz w:val="21"/>
          <w:highlight w:val="none"/>
        </w:rPr>
        <w:t>文件</w:t>
      </w:r>
      <w:r>
        <w:rPr>
          <w:rFonts w:hint="eastAsia" w:ascii="宋体" w:hAnsi="宋体"/>
          <w:color w:val="auto"/>
          <w:sz w:val="21"/>
          <w:highlight w:val="none"/>
          <w:lang w:eastAsia="zh-CN"/>
        </w:rPr>
        <w:t>的磋商供应商</w:t>
      </w:r>
      <w:r>
        <w:rPr>
          <w:rFonts w:hint="eastAsia" w:ascii="宋体" w:hAnsi="宋体"/>
          <w:color w:val="auto"/>
          <w:sz w:val="21"/>
          <w:highlight w:val="none"/>
        </w:rPr>
        <w:t>，代理机构工作人员应做好</w:t>
      </w:r>
      <w:r>
        <w:rPr>
          <w:rFonts w:hint="eastAsia" w:ascii="宋体" w:hAnsi="宋体"/>
          <w:color w:val="auto"/>
          <w:sz w:val="21"/>
          <w:highlight w:val="none"/>
          <w:lang w:eastAsia="zh-CN"/>
        </w:rPr>
        <w:t>磋商响应文件</w:t>
      </w:r>
      <w:r>
        <w:rPr>
          <w:rFonts w:hint="eastAsia" w:ascii="宋体" w:hAnsi="宋体"/>
          <w:color w:val="auto"/>
          <w:sz w:val="21"/>
          <w:highlight w:val="none"/>
        </w:rPr>
        <w:t>签收记录并通过发送网络形式及时告知供应商。</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3、主持人宣布开标，介绍开标现场的人员情况，宣读递交</w:t>
      </w:r>
      <w:r>
        <w:rPr>
          <w:rFonts w:hint="eastAsia" w:ascii="宋体" w:hAnsi="宋体"/>
          <w:color w:val="auto"/>
          <w:sz w:val="21"/>
          <w:highlight w:val="none"/>
          <w:lang w:eastAsia="zh-CN"/>
        </w:rPr>
        <w:t>磋商响应</w:t>
      </w:r>
      <w:r>
        <w:rPr>
          <w:rFonts w:hint="eastAsia" w:ascii="宋体" w:hAnsi="宋体"/>
          <w:color w:val="auto"/>
          <w:sz w:val="21"/>
          <w:highlight w:val="none"/>
        </w:rPr>
        <w:t xml:space="preserve">文件的供应商名单、开标纪律、应当回避的情形等注意事项。 </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4、</w:t>
      </w:r>
      <w:r>
        <w:rPr>
          <w:rFonts w:hint="eastAsia" w:ascii="宋体" w:hAnsi="宋体"/>
          <w:color w:val="auto"/>
          <w:sz w:val="21"/>
          <w:highlight w:val="none"/>
          <w:lang w:val="en-US" w:eastAsia="zh-CN"/>
        </w:rPr>
        <w:t>向各供应商发出电子加密响应文件【开始解密】通知，由供应商按采购文件中前附表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r>
        <w:rPr>
          <w:rFonts w:hint="eastAsia" w:ascii="宋体" w:hAnsi="宋体"/>
          <w:color w:val="auto"/>
          <w:sz w:val="21"/>
          <w:highlight w:val="none"/>
        </w:rPr>
        <w:t>。</w:t>
      </w:r>
    </w:p>
    <w:p>
      <w:pPr>
        <w:snapToGrid w:val="0"/>
        <w:spacing w:beforeLines="0" w:afterLines="0" w:line="360" w:lineRule="auto"/>
        <w:ind w:firstLine="420" w:firstLineChars="200"/>
        <w:rPr>
          <w:rFonts w:hint="eastAsia" w:ascii="宋体" w:hAnsi="宋体"/>
          <w:b/>
          <w:bCs/>
          <w:color w:val="auto"/>
          <w:sz w:val="21"/>
          <w:highlight w:val="none"/>
        </w:rPr>
      </w:pPr>
      <w:r>
        <w:rPr>
          <w:rFonts w:hint="eastAsia" w:ascii="宋体" w:hAnsi="宋体"/>
          <w:b/>
          <w:bCs/>
          <w:color w:val="auto"/>
          <w:sz w:val="21"/>
          <w:highlight w:val="none"/>
        </w:rPr>
        <w:t>5、</w:t>
      </w:r>
      <w:r>
        <w:rPr>
          <w:rFonts w:hint="eastAsia" w:ascii="宋体" w:hAnsi="宋体" w:eastAsia="宋体" w:cs="宋体"/>
          <w:b/>
          <w:bCs/>
          <w:color w:val="auto"/>
          <w:sz w:val="21"/>
          <w:szCs w:val="21"/>
          <w:highlight w:val="none"/>
          <w:lang w:val="zh-CN"/>
        </w:rPr>
        <w:t>解密结束后，供应商签署不存在影响公平竞争的《政府采购活动现场确认声明书》。各供应商代表应提前打印《政府采购活动现场确认声明书》（见附件），签署完毕后</w:t>
      </w:r>
      <w:r>
        <w:rPr>
          <w:rFonts w:hint="eastAsia" w:ascii="宋体" w:hAnsi="宋体" w:eastAsia="宋体" w:cs="宋体"/>
          <w:b/>
          <w:bCs/>
          <w:color w:val="auto"/>
          <w:sz w:val="21"/>
          <w:szCs w:val="21"/>
          <w:highlight w:val="none"/>
          <w:lang w:val="en-US" w:eastAsia="zh-CN"/>
        </w:rPr>
        <w:t>发送</w:t>
      </w:r>
      <w:r>
        <w:rPr>
          <w:rFonts w:hint="eastAsia" w:ascii="宋体" w:hAnsi="宋体" w:eastAsia="宋体" w:cs="宋体"/>
          <w:b/>
          <w:bCs/>
          <w:color w:val="auto"/>
          <w:sz w:val="21"/>
          <w:szCs w:val="21"/>
          <w:highlight w:val="none"/>
          <w:lang w:val="zh-CN"/>
        </w:rPr>
        <w:t>至</w:t>
      </w:r>
      <w:r>
        <w:rPr>
          <w:rFonts w:hint="eastAsia" w:ascii="宋体" w:hAnsi="宋体" w:eastAsia="宋体" w:cs="宋体"/>
          <w:b/>
          <w:bCs/>
          <w:color w:val="auto"/>
          <w:sz w:val="21"/>
          <w:szCs w:val="21"/>
          <w:highlight w:val="none"/>
          <w:lang w:val="en-US" w:eastAsia="zh-CN"/>
        </w:rPr>
        <w:t>邮箱3050868501@qq.com</w:t>
      </w:r>
      <w:r>
        <w:rPr>
          <w:rFonts w:hint="eastAsia" w:ascii="宋体" w:hAnsi="宋体" w:eastAsia="宋体" w:cs="宋体"/>
          <w:b/>
          <w:bCs/>
          <w:color w:val="auto"/>
          <w:sz w:val="21"/>
          <w:szCs w:val="21"/>
          <w:highlight w:val="none"/>
          <w:lang w:val="zh-CN"/>
        </w:rPr>
        <w:t>。</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lang w:val="en-US" w:eastAsia="zh-CN"/>
        </w:rPr>
        <w:t>6</w:t>
      </w:r>
      <w:r>
        <w:rPr>
          <w:rFonts w:hint="eastAsia" w:ascii="宋体" w:hAnsi="宋体"/>
          <w:color w:val="auto"/>
          <w:sz w:val="21"/>
          <w:highlight w:val="none"/>
        </w:rPr>
        <w:t>、</w:t>
      </w:r>
      <w:r>
        <w:rPr>
          <w:rFonts w:hint="eastAsia" w:ascii="宋体"/>
          <w:color w:val="auto"/>
          <w:sz w:val="21"/>
          <w:szCs w:val="21"/>
          <w:highlight w:val="none"/>
          <w:lang w:val="zh-CN"/>
        </w:rPr>
        <w:t>采购人或采购机构依法对资格证明文件进行审查，</w:t>
      </w:r>
      <w:r>
        <w:rPr>
          <w:rFonts w:hint="eastAsia" w:ascii="宋体" w:hAnsi="宋体"/>
          <w:color w:val="auto"/>
          <w:sz w:val="21"/>
          <w:highlight w:val="none"/>
        </w:rPr>
        <w:t>磋商小组</w:t>
      </w:r>
      <w:r>
        <w:rPr>
          <w:rFonts w:hint="eastAsia" w:ascii="宋体"/>
          <w:color w:val="auto"/>
          <w:sz w:val="21"/>
          <w:szCs w:val="21"/>
          <w:highlight w:val="none"/>
          <w:lang w:val="zh-CN"/>
        </w:rPr>
        <w:t>对商务与技术文件进行评审</w:t>
      </w:r>
      <w:r>
        <w:rPr>
          <w:rFonts w:hint="eastAsia" w:ascii="宋体" w:hAnsi="宋体"/>
          <w:color w:val="auto"/>
          <w:sz w:val="21"/>
          <w:highlight w:val="none"/>
          <w:lang w:val="en-US" w:eastAsia="zh-CN"/>
        </w:rPr>
        <w:t>。</w:t>
      </w:r>
      <w:r>
        <w:rPr>
          <w:rFonts w:hint="eastAsia" w:ascii="宋体" w:hAnsi="宋体"/>
          <w:color w:val="auto"/>
          <w:sz w:val="21"/>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7、磋商小组所有成员集中与单一供应商分别进行磋商，并给予所有参加磋商的供应商平等的磋商机会。</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8、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b/>
          <w:bCs/>
          <w:color w:val="auto"/>
          <w:sz w:val="21"/>
          <w:highlight w:val="none"/>
        </w:rPr>
        <w:t>通过政府采购云平台通知所有参加磋商的供应商</w:t>
      </w:r>
      <w:r>
        <w:rPr>
          <w:rFonts w:hint="eastAsia" w:ascii="宋体" w:hAnsi="宋体"/>
          <w:color w:val="auto"/>
          <w:sz w:val="21"/>
          <w:highlight w:val="none"/>
        </w:rPr>
        <w:t>。供应商应当按照磋商文件的变动情况和磋商小组的要求重新提交响应文件，并加盖单位CA签章，上传政府采购云平台。</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 xml:space="preserve">9、磋商文件能够详细列明采购标的的技术、服务要求的，磋商结束后，磋商小组将要求所有实质性响应的供应商在规定时间内提交最后报价，最后报价是供应商响应文件的有效组成部分。 </w:t>
      </w:r>
    </w:p>
    <w:p>
      <w:pPr>
        <w:snapToGrid w:val="0"/>
        <w:spacing w:beforeLines="0" w:afterLines="0" w:line="360" w:lineRule="auto"/>
        <w:ind w:firstLine="420" w:firstLineChars="200"/>
        <w:rPr>
          <w:rFonts w:hint="eastAsia" w:ascii="宋体" w:hAnsi="宋体"/>
          <w:color w:val="auto"/>
          <w:sz w:val="21"/>
          <w:highlight w:val="none"/>
        </w:rPr>
      </w:pPr>
      <w:r>
        <w:rPr>
          <w:rFonts w:hint="eastAsia" w:hAnsi="宋体"/>
          <w:color w:val="auto"/>
          <w:sz w:val="21"/>
          <w:highlight w:val="none"/>
        </w:rPr>
        <w:t>10、</w:t>
      </w:r>
      <w:r>
        <w:rPr>
          <w:rFonts w:hint="eastAsia" w:ascii="宋体" w:hAnsi="宋体"/>
          <w:color w:val="auto"/>
          <w:sz w:val="21"/>
          <w:highlight w:val="none"/>
        </w:rPr>
        <w:t>经磋商确定最终采购需求和提交最后报价的供应商后，由磋商小组采用综合评分法对提交最后报价的供应商的响应文件和最后报价进行综合评分。</w:t>
      </w:r>
    </w:p>
    <w:p>
      <w:pPr>
        <w:pStyle w:val="2"/>
        <w:snapToGrid w:val="0"/>
        <w:spacing w:beforeLines="0" w:afterLines="0" w:line="360" w:lineRule="auto"/>
        <w:ind w:firstLine="420" w:firstLineChars="200"/>
        <w:rPr>
          <w:rFonts w:hint="eastAsia" w:hAnsi="宋体"/>
          <w:color w:val="auto"/>
          <w:sz w:val="21"/>
          <w:highlight w:val="none"/>
        </w:rPr>
      </w:pPr>
      <w:r>
        <w:rPr>
          <w:rFonts w:hint="eastAsia" w:hAnsi="宋体"/>
          <w:color w:val="auto"/>
          <w:sz w:val="21"/>
          <w:highlight w:val="none"/>
        </w:rPr>
        <w:t>11、磋商小组根据综合评分情况，按照评审得分由高到低顺序确定预成交供应商，编写评审报告。</w:t>
      </w:r>
    </w:p>
    <w:p>
      <w:pPr>
        <w:pStyle w:val="2"/>
        <w:snapToGrid w:val="0"/>
        <w:spacing w:beforeLines="0" w:afterLines="0" w:line="360" w:lineRule="auto"/>
        <w:ind w:firstLine="420" w:firstLineChars="200"/>
        <w:rPr>
          <w:rFonts w:hint="eastAsia" w:hAnsi="宋体"/>
          <w:color w:val="auto"/>
          <w:sz w:val="21"/>
          <w:highlight w:val="none"/>
        </w:rPr>
      </w:pPr>
      <w:r>
        <w:rPr>
          <w:rFonts w:hint="eastAsia" w:hAnsi="宋体"/>
          <w:color w:val="auto"/>
          <w:sz w:val="21"/>
          <w:highlight w:val="none"/>
        </w:rPr>
        <w:t>12、采购组织机构对磋商小组专家成员进行评价；</w:t>
      </w:r>
    </w:p>
    <w:p>
      <w:pPr>
        <w:pStyle w:val="2"/>
        <w:snapToGrid w:val="0"/>
        <w:spacing w:beforeLines="0" w:afterLines="0" w:line="360" w:lineRule="auto"/>
        <w:ind w:firstLine="420" w:firstLineChars="200"/>
        <w:rPr>
          <w:rFonts w:hint="eastAsia" w:hAnsi="宋体"/>
          <w:color w:val="auto"/>
          <w:sz w:val="21"/>
          <w:highlight w:val="none"/>
        </w:rPr>
      </w:pPr>
      <w:r>
        <w:rPr>
          <w:rFonts w:hint="eastAsia" w:hAnsi="宋体"/>
          <w:color w:val="auto"/>
          <w:sz w:val="21"/>
          <w:highlight w:val="none"/>
          <w:lang w:val="en-US" w:eastAsia="zh-CN"/>
        </w:rPr>
        <w:t>13、</w:t>
      </w:r>
      <w:r>
        <w:rPr>
          <w:rFonts w:hint="eastAsia" w:hAnsi="宋体"/>
          <w:color w:val="auto"/>
          <w:sz w:val="21"/>
          <w:highlight w:val="none"/>
        </w:rPr>
        <w:t>主持人到磋商采购会现场宣布磋商结果（含技术得分、最后报价、报价得分及总得分），磋商采购会议结束。</w:t>
      </w:r>
    </w:p>
    <w:p>
      <w:pPr>
        <w:pStyle w:val="2"/>
        <w:snapToGrid w:val="0"/>
        <w:spacing w:beforeLines="0" w:afterLines="0" w:line="360" w:lineRule="auto"/>
        <w:ind w:firstLine="420" w:firstLineChars="200"/>
        <w:rPr>
          <w:rFonts w:hint="eastAsia" w:hAnsi="宋体"/>
          <w:color w:val="auto"/>
          <w:sz w:val="21"/>
          <w:highlight w:val="none"/>
        </w:rPr>
      </w:pPr>
      <w:r>
        <w:rPr>
          <w:rFonts w:hint="eastAsia" w:hAnsi="宋体"/>
          <w:b/>
          <w:color w:val="auto"/>
          <w:sz w:val="21"/>
          <w:highlight w:val="none"/>
        </w:rPr>
        <w:t>（</w:t>
      </w:r>
      <w:r>
        <w:rPr>
          <w:rFonts w:hint="eastAsia" w:hAnsi="宋体" w:eastAsia="宋体"/>
          <w:b/>
          <w:color w:val="auto"/>
          <w:sz w:val="21"/>
          <w:highlight w:val="none"/>
          <w:lang w:val="en-US" w:eastAsia="zh-CN"/>
        </w:rPr>
        <w:t>三</w:t>
      </w:r>
      <w:r>
        <w:rPr>
          <w:rFonts w:hint="eastAsia" w:hAnsi="宋体"/>
          <w:b/>
          <w:color w:val="auto"/>
          <w:sz w:val="21"/>
          <w:highlight w:val="none"/>
        </w:rPr>
        <w:t>）澄清问题的形式</w:t>
      </w:r>
    </w:p>
    <w:p>
      <w:pPr>
        <w:snapToGrid w:val="0"/>
        <w:spacing w:beforeLines="0" w:afterLines="0" w:line="360" w:lineRule="auto"/>
        <w:ind w:firstLine="420" w:firstLineChars="200"/>
        <w:rPr>
          <w:rFonts w:hint="eastAsia" w:ascii="宋体" w:hAnsi="宋体"/>
          <w:color w:val="auto"/>
          <w:sz w:val="21"/>
          <w:highlight w:val="none"/>
          <w:lang w:eastAsia="zh-CN"/>
        </w:rPr>
      </w:pPr>
      <w:r>
        <w:rPr>
          <w:rFonts w:hint="eastAsia" w:ascii="宋体" w:hAnsi="宋体"/>
          <w:color w:val="auto"/>
          <w:sz w:val="21"/>
          <w:highlight w:val="none"/>
          <w:lang w:eastAsia="zh-CN"/>
        </w:rPr>
        <w:t>（</w:t>
      </w:r>
      <w:r>
        <w:rPr>
          <w:rFonts w:hint="eastAsia" w:ascii="宋体" w:hAnsi="宋体"/>
          <w:color w:val="auto"/>
          <w:sz w:val="21"/>
          <w:highlight w:val="none"/>
          <w:lang w:val="en-US" w:eastAsia="zh-CN"/>
        </w:rPr>
        <w:t>1</w:t>
      </w:r>
      <w:r>
        <w:rPr>
          <w:rFonts w:hint="eastAsia" w:ascii="宋体" w:hAnsi="宋体"/>
          <w:color w:val="auto"/>
          <w:sz w:val="21"/>
          <w:highlight w:val="none"/>
          <w:lang w:eastAsia="zh-CN"/>
        </w:rPr>
        <w:t>）</w:t>
      </w:r>
      <w:r>
        <w:rPr>
          <w:rFonts w:hint="eastAsia" w:ascii="宋体" w:hAnsi="宋体"/>
          <w:color w:val="auto"/>
          <w:sz w:val="21"/>
          <w:highlight w:val="none"/>
        </w:rPr>
        <w:t>评审中需要</w:t>
      </w:r>
      <w:r>
        <w:rPr>
          <w:rFonts w:hint="eastAsia" w:ascii="宋体" w:hAnsi="宋体"/>
          <w:color w:val="auto"/>
          <w:sz w:val="21"/>
          <w:highlight w:val="none"/>
          <w:lang w:val="en-US" w:eastAsia="zh-CN"/>
        </w:rPr>
        <w:t>供应商</w:t>
      </w:r>
      <w:r>
        <w:rPr>
          <w:rFonts w:hint="eastAsia" w:ascii="宋体" w:hAnsi="宋体"/>
          <w:color w:val="auto"/>
          <w:sz w:val="21"/>
          <w:highlight w:val="none"/>
        </w:rPr>
        <w:t>对</w:t>
      </w:r>
      <w:r>
        <w:rPr>
          <w:rFonts w:hint="eastAsia" w:ascii="宋体" w:hAnsi="宋体"/>
          <w:color w:val="auto"/>
          <w:sz w:val="21"/>
          <w:highlight w:val="none"/>
          <w:lang w:eastAsia="zh-CN"/>
        </w:rPr>
        <w:t>磋商响应</w:t>
      </w:r>
      <w:r>
        <w:rPr>
          <w:rFonts w:hint="eastAsia" w:ascii="宋体" w:hAnsi="宋体"/>
          <w:color w:val="auto"/>
          <w:sz w:val="21"/>
          <w:highlight w:val="none"/>
        </w:rPr>
        <w:t>文件作出澄清、说明或者补正的，评</w:t>
      </w:r>
      <w:r>
        <w:rPr>
          <w:rFonts w:hint="eastAsia" w:ascii="宋体" w:hAnsi="宋体"/>
          <w:color w:val="auto"/>
          <w:sz w:val="21"/>
          <w:highlight w:val="none"/>
          <w:lang w:val="en-US" w:eastAsia="zh-CN"/>
        </w:rPr>
        <w:t>标委员会</w:t>
      </w:r>
      <w:r>
        <w:rPr>
          <w:rFonts w:hint="eastAsia" w:ascii="宋体" w:hAnsi="宋体"/>
          <w:color w:val="auto"/>
          <w:sz w:val="21"/>
          <w:highlight w:val="none"/>
          <w:lang w:eastAsia="zh-CN"/>
        </w:rPr>
        <w:t>将以书面形式（或</w:t>
      </w:r>
      <w:r>
        <w:rPr>
          <w:rFonts w:hint="eastAsia" w:ascii="宋体" w:hAnsi="宋体"/>
          <w:color w:val="auto"/>
          <w:sz w:val="21"/>
          <w:highlight w:val="none"/>
        </w:rPr>
        <w:t>通过</w:t>
      </w:r>
      <w:r>
        <w:rPr>
          <w:rFonts w:hint="eastAsia" w:ascii="宋体" w:hAnsi="宋体"/>
          <w:color w:val="auto"/>
          <w:sz w:val="21"/>
          <w:highlight w:val="none"/>
          <w:lang w:val="en-US" w:eastAsia="zh-CN"/>
        </w:rPr>
        <w:t>“政府采购云平台”</w:t>
      </w:r>
      <w:r>
        <w:rPr>
          <w:rFonts w:hint="eastAsia" w:ascii="宋体" w:hAnsi="宋体"/>
          <w:color w:val="auto"/>
          <w:sz w:val="21"/>
          <w:highlight w:val="none"/>
          <w:lang w:eastAsia="zh-CN"/>
        </w:rPr>
        <w:t>）进行询标</w:t>
      </w:r>
      <w:r>
        <w:rPr>
          <w:rFonts w:hint="eastAsia" w:ascii="宋体" w:hAnsi="宋体"/>
          <w:color w:val="auto"/>
          <w:sz w:val="21"/>
          <w:highlight w:val="none"/>
        </w:rPr>
        <w:t>。给予</w:t>
      </w:r>
      <w:r>
        <w:rPr>
          <w:rFonts w:hint="eastAsia" w:ascii="宋体" w:hAnsi="宋体"/>
          <w:color w:val="auto"/>
          <w:sz w:val="21"/>
          <w:highlight w:val="none"/>
          <w:lang w:val="en-US" w:eastAsia="zh-CN"/>
        </w:rPr>
        <w:t>供应商</w:t>
      </w:r>
      <w:r>
        <w:rPr>
          <w:rFonts w:hint="eastAsia" w:ascii="宋体" w:hAnsi="宋体"/>
          <w:color w:val="auto"/>
          <w:sz w:val="21"/>
          <w:highlight w:val="none"/>
        </w:rPr>
        <w:t>提交澄清说明或补正的时间不得少于半小时，</w:t>
      </w:r>
      <w:r>
        <w:rPr>
          <w:rFonts w:hint="eastAsia" w:ascii="宋体" w:hAnsi="宋体"/>
          <w:color w:val="auto"/>
          <w:sz w:val="21"/>
          <w:highlight w:val="none"/>
          <w:lang w:val="en-US" w:eastAsia="zh-CN"/>
        </w:rPr>
        <w:t>供应商</w:t>
      </w:r>
      <w:r>
        <w:rPr>
          <w:rFonts w:hint="eastAsia" w:ascii="宋体" w:hAnsi="宋体"/>
          <w:color w:val="auto"/>
          <w:sz w:val="21"/>
          <w:highlight w:val="none"/>
        </w:rPr>
        <w:t>已经明确表示澄清说明或补正完毕的除外。</w:t>
      </w:r>
      <w:r>
        <w:rPr>
          <w:rFonts w:hint="eastAsia" w:ascii="宋体" w:hAnsi="宋体"/>
          <w:color w:val="auto"/>
          <w:sz w:val="21"/>
          <w:highlight w:val="none"/>
          <w:lang w:eastAsia="zh-CN"/>
        </w:rPr>
        <w:t>供应商</w:t>
      </w:r>
      <w:r>
        <w:rPr>
          <w:rFonts w:hint="eastAsia" w:ascii="宋体" w:hAnsi="宋体"/>
          <w:color w:val="auto"/>
          <w:sz w:val="21"/>
          <w:highlight w:val="none"/>
        </w:rPr>
        <w:t>务必在线等待，留意手机短信，及时在线澄清、说明或补正</w:t>
      </w:r>
      <w:r>
        <w:rPr>
          <w:rFonts w:hint="eastAsia" w:ascii="宋体" w:hAnsi="宋体"/>
          <w:color w:val="auto"/>
          <w:sz w:val="21"/>
          <w:highlight w:val="none"/>
          <w:lang w:eastAsia="zh-CN"/>
        </w:rPr>
        <w:t>。</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lang w:val="en-US" w:eastAsia="zh-CN"/>
        </w:rPr>
        <w:t>（2）供应商的的澄清、说明或补正将作为磋商响应文件的一部分</w:t>
      </w:r>
      <w:r>
        <w:rPr>
          <w:rFonts w:hint="eastAsia" w:ascii="宋体" w:hAnsi="宋体"/>
          <w:color w:val="auto"/>
          <w:sz w:val="21"/>
          <w:highlight w:val="none"/>
        </w:rPr>
        <w:t>。</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b/>
          <w:color w:val="auto"/>
          <w:sz w:val="21"/>
          <w:highlight w:val="none"/>
        </w:rPr>
        <w:t>（</w:t>
      </w:r>
      <w:r>
        <w:rPr>
          <w:rFonts w:hint="eastAsia" w:ascii="宋体" w:hAnsi="宋体" w:eastAsia="宋体"/>
          <w:b/>
          <w:color w:val="auto"/>
          <w:sz w:val="21"/>
          <w:highlight w:val="none"/>
          <w:lang w:val="en-US" w:eastAsia="zh-CN"/>
        </w:rPr>
        <w:t>四</w:t>
      </w:r>
      <w:r>
        <w:rPr>
          <w:rFonts w:hint="eastAsia" w:ascii="宋体" w:hAnsi="宋体"/>
          <w:b/>
          <w:color w:val="auto"/>
          <w:sz w:val="21"/>
          <w:highlight w:val="none"/>
        </w:rPr>
        <w:t>）错误修正</w:t>
      </w:r>
    </w:p>
    <w:p>
      <w:pPr>
        <w:pStyle w:val="20"/>
        <w:snapToGrid w:val="0"/>
        <w:spacing w:before="0" w:beforeLines="0" w:beforeAutospacing="0" w:after="0" w:afterLines="0" w:afterAutospacing="0" w:line="360" w:lineRule="auto"/>
        <w:ind w:firstLine="420" w:firstLineChars="200"/>
        <w:jc w:val="both"/>
        <w:rPr>
          <w:rFonts w:hint="eastAsia"/>
          <w:color w:val="auto"/>
          <w:sz w:val="21"/>
          <w:highlight w:val="none"/>
        </w:rPr>
      </w:pPr>
      <w:r>
        <w:rPr>
          <w:rFonts w:hint="eastAsia"/>
          <w:color w:val="auto"/>
          <w:sz w:val="21"/>
          <w:highlight w:val="none"/>
        </w:rPr>
        <w:t>磋商响应文件报价出现前后不一致的，除磋商采购文件另有规定外，按照下列规定修正：</w:t>
      </w:r>
    </w:p>
    <w:p>
      <w:pPr>
        <w:pStyle w:val="20"/>
        <w:snapToGrid w:val="0"/>
        <w:spacing w:before="0" w:beforeLines="0" w:beforeAutospacing="0" w:after="0" w:afterLines="0" w:afterAutospacing="0" w:line="360" w:lineRule="auto"/>
        <w:jc w:val="both"/>
        <w:rPr>
          <w:rFonts w:hint="eastAsia"/>
          <w:color w:val="auto"/>
          <w:sz w:val="21"/>
          <w:highlight w:val="none"/>
        </w:rPr>
      </w:pPr>
      <w:r>
        <w:rPr>
          <w:rFonts w:hint="eastAsia"/>
          <w:color w:val="auto"/>
          <w:sz w:val="21"/>
          <w:highlight w:val="none"/>
        </w:rPr>
        <w:t>　　1、磋商响应文件中首次报价一览表内容与磋商响应文件中相应内容不一致的，以首次报价一览表为准；</w:t>
      </w:r>
    </w:p>
    <w:p>
      <w:pPr>
        <w:pStyle w:val="20"/>
        <w:snapToGrid w:val="0"/>
        <w:spacing w:before="0" w:beforeLines="0" w:beforeAutospacing="0" w:after="0" w:afterLines="0" w:afterAutospacing="0" w:line="360" w:lineRule="auto"/>
        <w:jc w:val="both"/>
        <w:rPr>
          <w:rFonts w:hint="eastAsia"/>
          <w:color w:val="auto"/>
          <w:sz w:val="21"/>
          <w:highlight w:val="none"/>
        </w:rPr>
      </w:pPr>
      <w:r>
        <w:rPr>
          <w:rFonts w:hint="eastAsia"/>
          <w:color w:val="auto"/>
          <w:sz w:val="21"/>
          <w:highlight w:val="none"/>
        </w:rPr>
        <w:t>　　2、大写金额和小写金额不一致的，以大写金额为准；</w:t>
      </w:r>
    </w:p>
    <w:p>
      <w:pPr>
        <w:pStyle w:val="20"/>
        <w:snapToGrid w:val="0"/>
        <w:spacing w:before="0" w:beforeLines="0" w:beforeAutospacing="0" w:after="0" w:afterLines="0" w:afterAutospacing="0" w:line="360" w:lineRule="auto"/>
        <w:jc w:val="both"/>
        <w:rPr>
          <w:rFonts w:hint="eastAsia"/>
          <w:color w:val="auto"/>
          <w:sz w:val="21"/>
          <w:highlight w:val="none"/>
        </w:rPr>
      </w:pPr>
      <w:r>
        <w:rPr>
          <w:rFonts w:hint="eastAsia"/>
          <w:color w:val="auto"/>
          <w:sz w:val="21"/>
          <w:highlight w:val="none"/>
        </w:rPr>
        <w:t>　　3、单价金额小数点或者百分比有明显错位的，以首次报价一览表的总价为准，并修改单价；</w:t>
      </w:r>
    </w:p>
    <w:p>
      <w:pPr>
        <w:pStyle w:val="20"/>
        <w:snapToGrid w:val="0"/>
        <w:spacing w:before="0" w:beforeLines="0" w:beforeAutospacing="0" w:after="0" w:afterLines="0" w:afterAutospacing="0" w:line="360" w:lineRule="auto"/>
        <w:jc w:val="both"/>
        <w:rPr>
          <w:rFonts w:hint="eastAsia"/>
          <w:color w:val="auto"/>
          <w:sz w:val="21"/>
          <w:highlight w:val="none"/>
        </w:rPr>
      </w:pPr>
      <w:r>
        <w:rPr>
          <w:rFonts w:hint="eastAsia"/>
          <w:color w:val="auto"/>
          <w:sz w:val="21"/>
          <w:highlight w:val="none"/>
        </w:rPr>
        <w:t>　　4、总价金额与按单价汇总金额不一致的，以单价金额计算结果为准。</w:t>
      </w:r>
    </w:p>
    <w:p>
      <w:pPr>
        <w:pStyle w:val="20"/>
        <w:snapToGrid w:val="0"/>
        <w:spacing w:before="0" w:beforeLines="0" w:beforeAutospacing="0" w:after="0" w:afterLines="0" w:afterAutospacing="0" w:line="360" w:lineRule="auto"/>
        <w:ind w:firstLine="480"/>
        <w:jc w:val="both"/>
        <w:rPr>
          <w:rFonts w:hint="eastAsia"/>
          <w:color w:val="auto"/>
          <w:sz w:val="21"/>
          <w:highlight w:val="none"/>
        </w:rPr>
      </w:pPr>
      <w:r>
        <w:rPr>
          <w:rFonts w:hint="eastAsia"/>
          <w:color w:val="auto"/>
          <w:sz w:val="21"/>
          <w:highlight w:val="none"/>
        </w:rPr>
        <w:t>同时出现两种以上不一致的，按照前款规定的顺序修正。修正应当采用书面形式，并加盖公章，或者由法定代表人或其授权的代表签字</w:t>
      </w:r>
      <w:r>
        <w:rPr>
          <w:rFonts w:hint="eastAsia"/>
          <w:color w:val="auto"/>
          <w:sz w:val="21"/>
          <w:highlight w:val="none"/>
          <w:lang w:eastAsia="zh-CN"/>
        </w:rPr>
        <w:t>。</w:t>
      </w:r>
      <w:r>
        <w:rPr>
          <w:rFonts w:hint="eastAsia"/>
          <w:color w:val="auto"/>
          <w:sz w:val="21"/>
          <w:highlight w:val="none"/>
        </w:rPr>
        <w:t>修正后的报价经磋商供应商确认后产生约束力，磋商供应商不确认的，将终止磋商。</w:t>
      </w:r>
    </w:p>
    <w:p>
      <w:pPr>
        <w:pStyle w:val="20"/>
        <w:snapToGrid w:val="0"/>
        <w:spacing w:before="0" w:beforeLines="0" w:beforeAutospacing="0" w:after="0" w:afterLines="0" w:afterAutospacing="0" w:line="360" w:lineRule="auto"/>
        <w:ind w:firstLine="480"/>
        <w:rPr>
          <w:rFonts w:hint="default"/>
          <w:b/>
          <w:color w:val="auto"/>
          <w:sz w:val="21"/>
          <w:highlight w:val="none"/>
          <w:lang w:val="en-US" w:eastAsia="zh-CN"/>
        </w:rPr>
      </w:pPr>
      <w:r>
        <w:rPr>
          <w:rFonts w:hint="eastAsia"/>
          <w:b/>
          <w:color w:val="auto"/>
          <w:sz w:val="21"/>
          <w:highlight w:val="none"/>
          <w:lang w:val="en-US" w:eastAsia="zh-CN"/>
        </w:rPr>
        <w:t>（五）磋商</w:t>
      </w:r>
      <w:r>
        <w:rPr>
          <w:rFonts w:hint="default"/>
          <w:b/>
          <w:color w:val="auto"/>
          <w:sz w:val="21"/>
          <w:highlight w:val="none"/>
          <w:lang w:val="en-US" w:eastAsia="zh-CN"/>
        </w:rPr>
        <w:t>过程中出现以下情形，导致电子交易平台无法正常运行，或者无法保证电子交易的公平、公正和安全时，采购组织机构可中止电子交易活动：</w:t>
      </w:r>
    </w:p>
    <w:p>
      <w:pPr>
        <w:adjustRightInd w:val="0"/>
        <w:snapToGrid w:val="0"/>
        <w:spacing w:beforeLines="0" w:afterLines="0" w:line="360" w:lineRule="auto"/>
        <w:ind w:firstLine="420" w:firstLineChars="200"/>
        <w:jc w:val="left"/>
        <w:rPr>
          <w:rFonts w:hint="eastAsia" w:ascii="宋体" w:hAnsi="宋体"/>
          <w:color w:val="auto"/>
          <w:kern w:val="0"/>
          <w:sz w:val="21"/>
          <w:highlight w:val="none"/>
          <w:lang w:val="en-US" w:eastAsia="zh-CN"/>
        </w:rPr>
      </w:pPr>
      <w:r>
        <w:rPr>
          <w:rFonts w:hint="eastAsia" w:ascii="宋体" w:hAnsi="宋体"/>
          <w:color w:val="auto"/>
          <w:kern w:val="0"/>
          <w:sz w:val="21"/>
          <w:highlight w:val="none"/>
          <w:lang w:val="en-US" w:eastAsia="zh-CN"/>
        </w:rPr>
        <w:t>1、</w:t>
      </w:r>
      <w:r>
        <w:rPr>
          <w:rFonts w:hint="default" w:ascii="宋体" w:hAnsi="宋体"/>
          <w:color w:val="auto"/>
          <w:kern w:val="0"/>
          <w:sz w:val="21"/>
          <w:highlight w:val="none"/>
          <w:lang w:val="en-US" w:eastAsia="zh-CN"/>
        </w:rPr>
        <w:t>电子交易平台发生故障而无法登录访问的； </w:t>
      </w:r>
    </w:p>
    <w:p>
      <w:pPr>
        <w:adjustRightInd w:val="0"/>
        <w:snapToGrid w:val="0"/>
        <w:spacing w:beforeLines="0" w:afterLines="0" w:line="360" w:lineRule="auto"/>
        <w:ind w:firstLine="420" w:firstLineChars="200"/>
        <w:jc w:val="left"/>
        <w:rPr>
          <w:rFonts w:hint="eastAsia" w:ascii="宋体" w:hAnsi="宋体"/>
          <w:color w:val="auto"/>
          <w:kern w:val="0"/>
          <w:sz w:val="21"/>
          <w:highlight w:val="none"/>
          <w:lang w:val="en-US" w:eastAsia="zh-CN"/>
        </w:rPr>
      </w:pPr>
      <w:r>
        <w:rPr>
          <w:rFonts w:hint="eastAsia" w:ascii="宋体" w:hAnsi="宋体"/>
          <w:color w:val="auto"/>
          <w:kern w:val="0"/>
          <w:sz w:val="21"/>
          <w:highlight w:val="none"/>
          <w:lang w:val="en-US" w:eastAsia="zh-CN"/>
        </w:rPr>
        <w:t>2、</w:t>
      </w:r>
      <w:r>
        <w:rPr>
          <w:rFonts w:hint="default" w:ascii="宋体" w:hAnsi="宋体"/>
          <w:color w:val="auto"/>
          <w:kern w:val="0"/>
          <w:sz w:val="21"/>
          <w:highlight w:val="none"/>
          <w:lang w:val="en-US" w:eastAsia="zh-CN"/>
        </w:rPr>
        <w:t>电子交易平台应用或数据库出现错误，不能进行正常操作的；</w:t>
      </w:r>
    </w:p>
    <w:p>
      <w:pPr>
        <w:adjustRightInd w:val="0"/>
        <w:snapToGrid w:val="0"/>
        <w:spacing w:beforeLines="0" w:afterLines="0" w:line="360" w:lineRule="auto"/>
        <w:ind w:firstLine="420" w:firstLineChars="200"/>
        <w:jc w:val="left"/>
        <w:rPr>
          <w:rFonts w:hint="eastAsia" w:ascii="宋体" w:hAnsi="宋体"/>
          <w:color w:val="auto"/>
          <w:kern w:val="0"/>
          <w:sz w:val="21"/>
          <w:highlight w:val="none"/>
          <w:lang w:val="en-US" w:eastAsia="zh-CN"/>
        </w:rPr>
      </w:pPr>
      <w:r>
        <w:rPr>
          <w:rFonts w:hint="eastAsia" w:ascii="宋体" w:hAnsi="宋体"/>
          <w:color w:val="auto"/>
          <w:kern w:val="0"/>
          <w:sz w:val="21"/>
          <w:highlight w:val="none"/>
          <w:lang w:val="en-US" w:eastAsia="zh-CN"/>
        </w:rPr>
        <w:t>3、</w:t>
      </w:r>
      <w:r>
        <w:rPr>
          <w:rFonts w:hint="default" w:ascii="宋体" w:hAnsi="宋体"/>
          <w:color w:val="auto"/>
          <w:kern w:val="0"/>
          <w:sz w:val="21"/>
          <w:highlight w:val="none"/>
          <w:lang w:val="en-US" w:eastAsia="zh-CN"/>
        </w:rPr>
        <w:t>电子交易平台发现严重安全漏洞，有潜在泄密危险的；</w:t>
      </w:r>
    </w:p>
    <w:p>
      <w:pPr>
        <w:adjustRightInd w:val="0"/>
        <w:snapToGrid w:val="0"/>
        <w:spacing w:beforeLines="0" w:afterLines="0" w:line="360" w:lineRule="auto"/>
        <w:ind w:firstLine="420" w:firstLineChars="200"/>
        <w:jc w:val="left"/>
        <w:rPr>
          <w:rFonts w:hint="eastAsia" w:ascii="宋体" w:hAnsi="宋体"/>
          <w:color w:val="auto"/>
          <w:kern w:val="0"/>
          <w:sz w:val="21"/>
          <w:highlight w:val="none"/>
          <w:lang w:val="en-US" w:eastAsia="zh-CN"/>
        </w:rPr>
      </w:pPr>
      <w:r>
        <w:rPr>
          <w:rFonts w:hint="eastAsia" w:ascii="宋体" w:hAnsi="宋体"/>
          <w:color w:val="auto"/>
          <w:kern w:val="0"/>
          <w:sz w:val="21"/>
          <w:highlight w:val="none"/>
          <w:lang w:val="en-US" w:eastAsia="zh-CN"/>
        </w:rPr>
        <w:t>4、</w:t>
      </w:r>
      <w:r>
        <w:rPr>
          <w:rFonts w:hint="default" w:ascii="宋体" w:hAnsi="宋体"/>
          <w:color w:val="auto"/>
          <w:kern w:val="0"/>
          <w:sz w:val="21"/>
          <w:highlight w:val="none"/>
          <w:lang w:val="en-US" w:eastAsia="zh-CN"/>
        </w:rPr>
        <w:t>病毒发作导致不能进行正常操作的； </w:t>
      </w:r>
    </w:p>
    <w:p>
      <w:pPr>
        <w:adjustRightInd w:val="0"/>
        <w:snapToGrid w:val="0"/>
        <w:spacing w:beforeLines="0" w:afterLines="0" w:line="360" w:lineRule="auto"/>
        <w:ind w:firstLine="420" w:firstLineChars="200"/>
        <w:jc w:val="left"/>
        <w:rPr>
          <w:rFonts w:hint="eastAsia" w:ascii="宋体" w:hAnsi="宋体"/>
          <w:color w:val="auto"/>
          <w:kern w:val="0"/>
          <w:sz w:val="21"/>
          <w:highlight w:val="none"/>
          <w:lang w:val="en-US" w:eastAsia="zh-CN"/>
        </w:rPr>
      </w:pPr>
      <w:r>
        <w:rPr>
          <w:rFonts w:hint="eastAsia" w:ascii="宋体" w:hAnsi="宋体"/>
          <w:color w:val="auto"/>
          <w:kern w:val="0"/>
          <w:sz w:val="21"/>
          <w:highlight w:val="none"/>
          <w:lang w:val="en-US" w:eastAsia="zh-CN"/>
        </w:rPr>
        <w:t>5、</w:t>
      </w:r>
      <w:r>
        <w:rPr>
          <w:rFonts w:hint="default" w:ascii="宋体" w:hAnsi="宋体"/>
          <w:color w:val="auto"/>
          <w:kern w:val="0"/>
          <w:sz w:val="21"/>
          <w:highlight w:val="none"/>
          <w:lang w:val="en-US" w:eastAsia="zh-CN"/>
        </w:rPr>
        <w:t>其他无法保证电子交易的公平、公正和安全的情况。</w:t>
      </w:r>
    </w:p>
    <w:p>
      <w:pPr>
        <w:adjustRightInd w:val="0"/>
        <w:snapToGrid w:val="0"/>
        <w:spacing w:beforeLines="0" w:afterLines="0" w:line="360" w:lineRule="auto"/>
        <w:ind w:firstLine="420" w:firstLineChars="200"/>
        <w:jc w:val="left"/>
        <w:rPr>
          <w:rFonts w:hint="eastAsia"/>
          <w:color w:val="auto"/>
          <w:sz w:val="21"/>
          <w:highlight w:val="none"/>
        </w:rPr>
      </w:pPr>
      <w:r>
        <w:rPr>
          <w:rFonts w:hint="default" w:ascii="宋体" w:hAnsi="宋体"/>
          <w:color w:val="auto"/>
          <w:kern w:val="0"/>
          <w:sz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20"/>
        <w:snapToGrid w:val="0"/>
        <w:spacing w:before="0" w:beforeLines="0" w:beforeAutospacing="0" w:after="0" w:afterLines="0" w:afterAutospacing="0" w:line="360" w:lineRule="auto"/>
        <w:ind w:firstLine="480"/>
        <w:rPr>
          <w:rFonts w:hint="eastAsia"/>
          <w:color w:val="auto"/>
          <w:sz w:val="21"/>
          <w:highlight w:val="none"/>
        </w:rPr>
      </w:pPr>
      <w:r>
        <w:rPr>
          <w:rFonts w:hint="eastAsia"/>
          <w:b/>
          <w:color w:val="auto"/>
          <w:sz w:val="21"/>
          <w:highlight w:val="none"/>
        </w:rPr>
        <w:t>（</w:t>
      </w:r>
      <w:r>
        <w:rPr>
          <w:rFonts w:hint="eastAsia"/>
          <w:b/>
          <w:color w:val="auto"/>
          <w:sz w:val="21"/>
          <w:highlight w:val="none"/>
          <w:lang w:val="en-US" w:eastAsia="zh-CN"/>
        </w:rPr>
        <w:t>六</w:t>
      </w:r>
      <w:r>
        <w:rPr>
          <w:rFonts w:hint="eastAsia"/>
          <w:b/>
          <w:color w:val="auto"/>
          <w:sz w:val="21"/>
          <w:highlight w:val="none"/>
        </w:rPr>
        <w:t>）磋商供应商存在下列情况之一的，响应无效，终止磋商</w:t>
      </w:r>
    </w:p>
    <w:p>
      <w:pPr>
        <w:adjustRightInd w:val="0"/>
        <w:snapToGrid w:val="0"/>
        <w:spacing w:line="360" w:lineRule="auto"/>
        <w:ind w:firstLine="420" w:firstLineChars="200"/>
        <w:jc w:val="left"/>
        <w:rPr>
          <w:rFonts w:hint="default" w:hAnsi="宋体"/>
          <w:b/>
          <w:color w:val="auto"/>
          <w:sz w:val="21"/>
          <w:highlight w:val="none"/>
        </w:rPr>
      </w:pPr>
      <w:r>
        <w:rPr>
          <w:rFonts w:hint="eastAsia" w:ascii="宋体" w:hAnsi="宋体"/>
          <w:color w:val="auto"/>
          <w:kern w:val="0"/>
          <w:sz w:val="21"/>
          <w:highlight w:val="none"/>
        </w:rPr>
        <w:t>1、</w:t>
      </w:r>
      <w:r>
        <w:rPr>
          <w:rFonts w:hint="eastAsia" w:hAnsi="宋体"/>
          <w:color w:val="auto"/>
          <w:kern w:val="0"/>
          <w:sz w:val="21"/>
          <w:highlight w:val="none"/>
          <w:lang w:val="en-US" w:eastAsia="zh-CN"/>
        </w:rPr>
        <w:t>资格证明文件或商务与技术文件跟报价文件出现混装或在资格证明文件或商务与技术文件中出现投标报价的，或者报价文件中</w:t>
      </w:r>
      <w:r>
        <w:rPr>
          <w:rFonts w:hint="default" w:hAnsi="宋体"/>
          <w:color w:val="auto"/>
          <w:kern w:val="0"/>
          <w:sz w:val="21"/>
          <w:highlight w:val="none"/>
        </w:rPr>
        <w:t>的报价货物跟商务与技术内容中的供应货物出现重大偏差的。</w:t>
      </w:r>
    </w:p>
    <w:p>
      <w:pPr>
        <w:pStyle w:val="20"/>
        <w:tabs>
          <w:tab w:val="left" w:pos="7380"/>
        </w:tabs>
        <w:adjustRightInd w:val="0"/>
        <w:snapToGrid w:val="0"/>
        <w:spacing w:before="0" w:beforeAutospacing="0" w:after="0" w:afterAutospacing="0" w:line="360" w:lineRule="auto"/>
        <w:ind w:firstLine="420" w:firstLineChars="200"/>
        <w:rPr>
          <w:rFonts w:hint="default"/>
          <w:color w:val="auto"/>
          <w:sz w:val="21"/>
          <w:highlight w:val="none"/>
        </w:rPr>
      </w:pPr>
      <w:r>
        <w:rPr>
          <w:rFonts w:hint="default"/>
          <w:color w:val="auto"/>
          <w:sz w:val="21"/>
          <w:highlight w:val="none"/>
        </w:rPr>
        <w:t>2、不具备磋商采购文件中规定的资格要求的。</w:t>
      </w:r>
    </w:p>
    <w:p>
      <w:pPr>
        <w:pStyle w:val="20"/>
        <w:adjustRightInd w:val="0"/>
        <w:snapToGrid w:val="0"/>
        <w:spacing w:before="0" w:beforeAutospacing="0" w:after="0" w:afterAutospacing="0" w:line="360" w:lineRule="auto"/>
        <w:ind w:firstLine="420" w:firstLineChars="200"/>
        <w:rPr>
          <w:rFonts w:hint="default"/>
          <w:color w:val="auto"/>
          <w:sz w:val="21"/>
          <w:highlight w:val="none"/>
        </w:rPr>
      </w:pPr>
      <w:r>
        <w:rPr>
          <w:rFonts w:hint="default"/>
          <w:color w:val="auto"/>
          <w:sz w:val="21"/>
          <w:highlight w:val="none"/>
        </w:rPr>
        <w:t>3、未实质性响应磋商文件中打“</w:t>
      </w:r>
      <w:r>
        <w:rPr>
          <w:rFonts w:hint="default"/>
          <w:color w:val="auto"/>
          <w:sz w:val="21"/>
          <w:highlight w:val="none"/>
          <w:lang w:val="zh-CN"/>
        </w:rPr>
        <w:t>▲</w:t>
      </w:r>
      <w:r>
        <w:rPr>
          <w:rFonts w:hint="default"/>
          <w:color w:val="auto"/>
          <w:sz w:val="21"/>
          <w:highlight w:val="none"/>
        </w:rPr>
        <w:t>”条款或者磋商响应文件含有采购人不能接受的附加条件的。</w:t>
      </w:r>
    </w:p>
    <w:p>
      <w:pPr>
        <w:adjustRightInd w:val="0"/>
        <w:snapToGrid w:val="0"/>
        <w:spacing w:line="360" w:lineRule="auto"/>
        <w:ind w:firstLine="420" w:firstLineChars="200"/>
        <w:jc w:val="left"/>
        <w:rPr>
          <w:rFonts w:hint="default" w:hAnsi="宋体"/>
          <w:color w:val="auto"/>
          <w:kern w:val="0"/>
          <w:sz w:val="21"/>
          <w:highlight w:val="none"/>
        </w:rPr>
      </w:pPr>
      <w:r>
        <w:rPr>
          <w:rFonts w:hint="default" w:hAnsi="宋体"/>
          <w:color w:val="auto"/>
          <w:kern w:val="0"/>
          <w:sz w:val="21"/>
          <w:highlight w:val="none"/>
        </w:rPr>
        <w:t>4</w:t>
      </w:r>
      <w:r>
        <w:rPr>
          <w:rFonts w:hint="default" w:hAnsi="宋体"/>
          <w:color w:val="auto"/>
          <w:sz w:val="21"/>
          <w:highlight w:val="none"/>
        </w:rPr>
        <w:t>、磋商响应文件实质性内容填写不全或模糊不清，无法辨认的。</w:t>
      </w:r>
    </w:p>
    <w:p>
      <w:pPr>
        <w:pStyle w:val="20"/>
        <w:adjustRightInd w:val="0"/>
        <w:snapToGrid w:val="0"/>
        <w:spacing w:before="0" w:beforeAutospacing="0" w:after="0" w:afterAutospacing="0" w:line="360" w:lineRule="auto"/>
        <w:ind w:firstLine="420" w:firstLineChars="200"/>
        <w:rPr>
          <w:rFonts w:hint="default"/>
          <w:color w:val="auto"/>
          <w:sz w:val="21"/>
          <w:highlight w:val="none"/>
        </w:rPr>
      </w:pPr>
      <w:r>
        <w:rPr>
          <w:rFonts w:hint="default"/>
          <w:color w:val="auto"/>
          <w:sz w:val="21"/>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pStyle w:val="20"/>
        <w:adjustRightInd w:val="0"/>
        <w:snapToGrid w:val="0"/>
        <w:spacing w:before="0" w:beforeAutospacing="0" w:after="0" w:afterAutospacing="0" w:line="360" w:lineRule="auto"/>
        <w:ind w:firstLine="420" w:firstLineChars="200"/>
        <w:rPr>
          <w:rFonts w:hint="default"/>
          <w:color w:val="auto"/>
          <w:sz w:val="21"/>
          <w:highlight w:val="none"/>
        </w:rPr>
      </w:pPr>
      <w:r>
        <w:rPr>
          <w:rFonts w:hint="default"/>
          <w:color w:val="auto"/>
          <w:sz w:val="21"/>
          <w:highlight w:val="none"/>
        </w:rPr>
        <w:t>6、报价超过磋商文件中规定的</w:t>
      </w:r>
      <w:r>
        <w:rPr>
          <w:rFonts w:hint="eastAsia" w:ascii="宋体" w:hAnsi="宋体"/>
          <w:color w:val="auto"/>
          <w:sz w:val="21"/>
          <w:szCs w:val="21"/>
          <w:highlight w:val="none"/>
        </w:rPr>
        <w:t>预算金额</w:t>
      </w:r>
      <w:r>
        <w:rPr>
          <w:rFonts w:hint="default"/>
          <w:color w:val="auto"/>
          <w:sz w:val="21"/>
          <w:highlight w:val="none"/>
        </w:rPr>
        <w:t>或者最高限价的。</w:t>
      </w:r>
    </w:p>
    <w:p>
      <w:pPr>
        <w:pStyle w:val="20"/>
        <w:adjustRightInd w:val="0"/>
        <w:snapToGrid w:val="0"/>
        <w:spacing w:before="0" w:beforeAutospacing="0" w:after="0" w:afterAutospacing="0" w:line="312" w:lineRule="auto"/>
        <w:ind w:firstLine="420" w:firstLineChars="200"/>
        <w:rPr>
          <w:rFonts w:hint="default"/>
          <w:color w:val="auto"/>
          <w:sz w:val="21"/>
          <w:highlight w:val="none"/>
        </w:rPr>
      </w:pPr>
      <w:r>
        <w:rPr>
          <w:rFonts w:hint="default"/>
          <w:color w:val="auto"/>
          <w:sz w:val="21"/>
          <w:highlight w:val="none"/>
        </w:rPr>
        <w:t>7、最终报价高于首次报价的；</w:t>
      </w:r>
    </w:p>
    <w:p>
      <w:pPr>
        <w:pStyle w:val="20"/>
        <w:adjustRightInd w:val="0"/>
        <w:snapToGrid w:val="0"/>
        <w:spacing w:before="0" w:beforeAutospacing="0" w:after="0" w:afterAutospacing="0" w:line="312" w:lineRule="auto"/>
        <w:ind w:firstLine="420" w:firstLineChars="200"/>
        <w:rPr>
          <w:rFonts w:hint="default"/>
          <w:color w:val="auto"/>
          <w:sz w:val="21"/>
          <w:highlight w:val="none"/>
        </w:rPr>
      </w:pPr>
      <w:r>
        <w:rPr>
          <w:rFonts w:hint="default"/>
          <w:color w:val="auto"/>
          <w:sz w:val="21"/>
          <w:highlight w:val="none"/>
        </w:rPr>
        <w:t>8、磋商供应商仅提交备份磋商响应文件的；</w:t>
      </w:r>
    </w:p>
    <w:p>
      <w:pPr>
        <w:pStyle w:val="20"/>
        <w:adjustRightInd w:val="0"/>
        <w:snapToGrid w:val="0"/>
        <w:spacing w:before="0" w:beforeAutospacing="0" w:after="0" w:afterAutospacing="0" w:line="312" w:lineRule="auto"/>
        <w:ind w:firstLine="420" w:firstLineChars="200"/>
        <w:rPr>
          <w:rFonts w:hint="default"/>
          <w:color w:val="auto"/>
          <w:sz w:val="21"/>
          <w:highlight w:val="none"/>
        </w:rPr>
      </w:pPr>
      <w:r>
        <w:rPr>
          <w:rFonts w:hint="default"/>
          <w:color w:val="auto"/>
          <w:sz w:val="21"/>
          <w:highlight w:val="none"/>
        </w:rPr>
        <w:t>9、电子加密磋商响应文件解密失败或未按时解密的，且未在规定时间内提交备份磋商响应文件的（包括未在解密规定时间内提供备份磋商响应文件解密密码或密码错误的）；</w:t>
      </w:r>
    </w:p>
    <w:p>
      <w:pPr>
        <w:tabs>
          <w:tab w:val="left" w:pos="1898"/>
        </w:tabs>
        <w:autoSpaceDE w:val="0"/>
        <w:autoSpaceDN w:val="0"/>
        <w:adjustRightInd w:val="0"/>
        <w:snapToGrid w:val="0"/>
        <w:spacing w:line="360" w:lineRule="auto"/>
        <w:ind w:firstLine="420" w:firstLineChars="200"/>
        <w:jc w:val="left"/>
        <w:rPr>
          <w:rFonts w:hint="default" w:hAnsi="宋体"/>
          <w:color w:val="auto"/>
          <w:kern w:val="0"/>
          <w:sz w:val="21"/>
          <w:highlight w:val="none"/>
        </w:rPr>
      </w:pPr>
      <w:r>
        <w:rPr>
          <w:rFonts w:hint="default" w:ascii="宋体" w:hAnsi="宋体" w:eastAsia="宋体"/>
          <w:color w:val="auto"/>
          <w:kern w:val="0"/>
          <w:sz w:val="21"/>
          <w:highlight w:val="none"/>
        </w:rPr>
        <w:t>10</w:t>
      </w:r>
      <w:r>
        <w:rPr>
          <w:rFonts w:hint="default" w:hAnsi="宋体"/>
          <w:color w:val="auto"/>
          <w:kern w:val="0"/>
          <w:sz w:val="21"/>
          <w:highlight w:val="none"/>
        </w:rPr>
        <w:t>、磋商参数未如实填写，完全复制粘贴磋商采购参数的。</w:t>
      </w:r>
    </w:p>
    <w:p>
      <w:pPr>
        <w:tabs>
          <w:tab w:val="left" w:pos="1898"/>
        </w:tabs>
        <w:autoSpaceDE w:val="0"/>
        <w:autoSpaceDN w:val="0"/>
        <w:adjustRightInd w:val="0"/>
        <w:snapToGrid w:val="0"/>
        <w:spacing w:line="360" w:lineRule="auto"/>
        <w:ind w:firstLine="420" w:firstLineChars="200"/>
        <w:jc w:val="left"/>
        <w:rPr>
          <w:rFonts w:hint="default" w:hAnsi="宋体"/>
          <w:color w:val="auto"/>
          <w:kern w:val="0"/>
          <w:sz w:val="21"/>
          <w:highlight w:val="none"/>
        </w:rPr>
      </w:pPr>
      <w:r>
        <w:rPr>
          <w:rFonts w:hint="default" w:ascii="宋体" w:hAnsi="宋体" w:eastAsia="宋体"/>
          <w:color w:val="auto"/>
          <w:kern w:val="0"/>
          <w:sz w:val="21"/>
          <w:highlight w:val="none"/>
        </w:rPr>
        <w:t>11</w:t>
      </w:r>
      <w:r>
        <w:rPr>
          <w:rFonts w:hint="default" w:hAnsi="宋体"/>
          <w:color w:val="auto"/>
          <w:kern w:val="0"/>
          <w:sz w:val="21"/>
          <w:highlight w:val="none"/>
        </w:rPr>
        <w:t>、</w:t>
      </w:r>
      <w:r>
        <w:rPr>
          <w:rFonts w:hint="default" w:hAnsi="宋体"/>
          <w:color w:val="auto"/>
          <w:sz w:val="21"/>
          <w:highlight w:val="none"/>
        </w:rPr>
        <w:t>磋商响应文件中技术方案不明确，存在一个或一个以上备选（替代）方案的</w:t>
      </w:r>
      <w:r>
        <w:rPr>
          <w:rFonts w:hint="default" w:hAnsi="宋体"/>
          <w:color w:val="auto"/>
          <w:kern w:val="0"/>
          <w:sz w:val="21"/>
          <w:highlight w:val="none"/>
        </w:rPr>
        <w:t>。</w:t>
      </w:r>
    </w:p>
    <w:p>
      <w:pPr>
        <w:tabs>
          <w:tab w:val="left" w:pos="1898"/>
        </w:tabs>
        <w:autoSpaceDE w:val="0"/>
        <w:autoSpaceDN w:val="0"/>
        <w:adjustRightInd w:val="0"/>
        <w:snapToGrid w:val="0"/>
        <w:spacing w:line="360" w:lineRule="auto"/>
        <w:ind w:firstLine="420" w:firstLineChars="200"/>
        <w:jc w:val="left"/>
        <w:rPr>
          <w:rFonts w:hint="default" w:hAnsi="宋体"/>
          <w:color w:val="auto"/>
          <w:kern w:val="0"/>
          <w:sz w:val="21"/>
          <w:highlight w:val="none"/>
        </w:rPr>
      </w:pPr>
      <w:r>
        <w:rPr>
          <w:rFonts w:hint="default" w:hAnsi="宋体"/>
          <w:color w:val="auto"/>
          <w:kern w:val="0"/>
          <w:sz w:val="21"/>
          <w:highlight w:val="none"/>
        </w:rPr>
        <w:t>12、磋商响应文件提供虚假材料的。</w:t>
      </w:r>
    </w:p>
    <w:p>
      <w:pPr>
        <w:autoSpaceDE w:val="0"/>
        <w:autoSpaceDN w:val="0"/>
        <w:adjustRightInd w:val="0"/>
        <w:snapToGrid w:val="0"/>
        <w:spacing w:line="360" w:lineRule="auto"/>
        <w:ind w:firstLine="420" w:firstLineChars="200"/>
        <w:jc w:val="left"/>
        <w:rPr>
          <w:rFonts w:hint="default" w:ascii="宋体" w:hAnsi="宋体" w:eastAsia="宋体"/>
          <w:color w:val="auto"/>
          <w:kern w:val="0"/>
          <w:sz w:val="21"/>
          <w:highlight w:val="none"/>
        </w:rPr>
      </w:pPr>
      <w:r>
        <w:rPr>
          <w:rFonts w:hint="default" w:ascii="宋体" w:hAnsi="宋体" w:eastAsia="宋体"/>
          <w:color w:val="auto"/>
          <w:kern w:val="0"/>
          <w:sz w:val="21"/>
          <w:highlight w:val="none"/>
        </w:rPr>
        <w:t>13、不同供应商的磋商响应文件由同一单位或者个人编制；</w:t>
      </w:r>
    </w:p>
    <w:p>
      <w:pPr>
        <w:autoSpaceDE w:val="0"/>
        <w:autoSpaceDN w:val="0"/>
        <w:adjustRightInd w:val="0"/>
        <w:snapToGrid w:val="0"/>
        <w:spacing w:line="360" w:lineRule="auto"/>
        <w:ind w:firstLine="420" w:firstLineChars="200"/>
        <w:jc w:val="left"/>
        <w:rPr>
          <w:rFonts w:hint="default" w:ascii="宋体" w:hAnsi="宋体" w:eastAsia="宋体"/>
          <w:color w:val="auto"/>
          <w:kern w:val="0"/>
          <w:sz w:val="21"/>
          <w:highlight w:val="none"/>
        </w:rPr>
      </w:pPr>
      <w:r>
        <w:rPr>
          <w:rFonts w:hint="default" w:ascii="宋体" w:hAnsi="宋体" w:eastAsia="宋体"/>
          <w:color w:val="auto"/>
          <w:kern w:val="0"/>
          <w:sz w:val="21"/>
          <w:highlight w:val="none"/>
        </w:rPr>
        <w:t>14、不同供应商委托同一单位或者个人办理磋商事宜；</w:t>
      </w:r>
    </w:p>
    <w:p>
      <w:pPr>
        <w:autoSpaceDE w:val="0"/>
        <w:autoSpaceDN w:val="0"/>
        <w:adjustRightInd w:val="0"/>
        <w:snapToGrid w:val="0"/>
        <w:spacing w:line="360" w:lineRule="auto"/>
        <w:ind w:firstLine="420" w:firstLineChars="200"/>
        <w:jc w:val="left"/>
        <w:rPr>
          <w:rFonts w:hint="default" w:ascii="宋体" w:hAnsi="宋体" w:eastAsia="宋体"/>
          <w:color w:val="auto"/>
          <w:kern w:val="0"/>
          <w:sz w:val="21"/>
          <w:highlight w:val="none"/>
        </w:rPr>
      </w:pPr>
      <w:r>
        <w:rPr>
          <w:rFonts w:hint="default" w:ascii="宋体" w:hAnsi="宋体" w:eastAsia="宋体"/>
          <w:color w:val="auto"/>
          <w:kern w:val="0"/>
          <w:sz w:val="21"/>
          <w:highlight w:val="none"/>
        </w:rPr>
        <w:t>15、不同供应商的磋商响应文件载明的项目管理成员或者联系人员为同一人；</w:t>
      </w:r>
    </w:p>
    <w:p>
      <w:pPr>
        <w:autoSpaceDE w:val="0"/>
        <w:autoSpaceDN w:val="0"/>
        <w:adjustRightInd w:val="0"/>
        <w:snapToGrid w:val="0"/>
        <w:spacing w:line="360" w:lineRule="auto"/>
        <w:ind w:firstLine="420" w:firstLineChars="200"/>
        <w:jc w:val="left"/>
        <w:rPr>
          <w:rFonts w:hint="default" w:ascii="宋体" w:hAnsi="宋体" w:eastAsia="宋体"/>
          <w:color w:val="auto"/>
          <w:kern w:val="0"/>
          <w:sz w:val="21"/>
          <w:highlight w:val="none"/>
        </w:rPr>
      </w:pPr>
      <w:r>
        <w:rPr>
          <w:rFonts w:hint="default" w:ascii="宋体" w:hAnsi="宋体" w:eastAsia="宋体"/>
          <w:color w:val="auto"/>
          <w:kern w:val="0"/>
          <w:sz w:val="21"/>
          <w:highlight w:val="none"/>
        </w:rPr>
        <w:t>16、不同供应商的磋商响应文件异常一致或者报价呈规律性差异；</w:t>
      </w:r>
    </w:p>
    <w:p>
      <w:pPr>
        <w:autoSpaceDE w:val="0"/>
        <w:autoSpaceDN w:val="0"/>
        <w:adjustRightInd w:val="0"/>
        <w:snapToGrid w:val="0"/>
        <w:spacing w:beforeLines="0" w:afterLines="0" w:line="360" w:lineRule="auto"/>
        <w:ind w:firstLine="420" w:firstLineChars="200"/>
        <w:jc w:val="left"/>
        <w:rPr>
          <w:rFonts w:hint="eastAsia" w:ascii="宋体" w:hAnsi="宋体"/>
          <w:color w:val="auto"/>
          <w:kern w:val="0"/>
          <w:sz w:val="21"/>
          <w:highlight w:val="none"/>
        </w:rPr>
      </w:pPr>
      <w:r>
        <w:rPr>
          <w:rFonts w:hint="default" w:ascii="宋体" w:hAnsi="宋体" w:eastAsia="宋体"/>
          <w:color w:val="auto"/>
          <w:kern w:val="0"/>
          <w:sz w:val="21"/>
          <w:highlight w:val="none"/>
        </w:rPr>
        <w:t>17、不符合法律、法规和磋商采购文件中规定的其他实质性要求的（磋商采购文件中打“▲”内容及被拒绝的条款）</w:t>
      </w:r>
      <w:r>
        <w:rPr>
          <w:rFonts w:hint="eastAsia" w:ascii="宋体" w:hAnsi="宋体"/>
          <w:color w:val="auto"/>
          <w:kern w:val="0"/>
          <w:sz w:val="21"/>
          <w:highlight w:val="none"/>
        </w:rPr>
        <w:t>。</w:t>
      </w:r>
    </w:p>
    <w:p>
      <w:pPr>
        <w:autoSpaceDE w:val="0"/>
        <w:autoSpaceDN w:val="0"/>
        <w:adjustRightInd w:val="0"/>
        <w:snapToGrid w:val="0"/>
        <w:spacing w:beforeLines="0" w:afterLines="0" w:line="360" w:lineRule="auto"/>
        <w:ind w:firstLine="420" w:firstLineChars="200"/>
        <w:jc w:val="left"/>
        <w:rPr>
          <w:rFonts w:hint="eastAsia" w:ascii="宋体" w:hAnsi="宋体"/>
          <w:color w:val="auto"/>
          <w:kern w:val="0"/>
          <w:sz w:val="21"/>
          <w:highlight w:val="none"/>
        </w:rPr>
      </w:pPr>
      <w:r>
        <w:rPr>
          <w:rFonts w:hint="eastAsia" w:ascii="宋体" w:hAnsi="宋体"/>
          <w:b/>
          <w:color w:val="auto"/>
          <w:kern w:val="0"/>
          <w:sz w:val="21"/>
          <w:highlight w:val="none"/>
        </w:rPr>
        <w:t>（</w:t>
      </w:r>
      <w:r>
        <w:rPr>
          <w:rFonts w:hint="eastAsia" w:ascii="宋体" w:hAnsi="宋体"/>
          <w:b/>
          <w:color w:val="auto"/>
          <w:kern w:val="0"/>
          <w:sz w:val="21"/>
          <w:highlight w:val="none"/>
          <w:lang w:val="en-US" w:eastAsia="zh-CN"/>
        </w:rPr>
        <w:t>七</w:t>
      </w:r>
      <w:r>
        <w:rPr>
          <w:rFonts w:hint="eastAsia" w:ascii="宋体" w:hAnsi="宋体"/>
          <w:b/>
          <w:color w:val="auto"/>
          <w:kern w:val="0"/>
          <w:sz w:val="21"/>
          <w:highlight w:val="none"/>
        </w:rPr>
        <w:t>）有下列情况之一的，本次磋商终止。</w:t>
      </w:r>
    </w:p>
    <w:p>
      <w:pPr>
        <w:autoSpaceDE w:val="0"/>
        <w:autoSpaceDN w:val="0"/>
        <w:spacing w:line="360" w:lineRule="auto"/>
        <w:ind w:firstLine="420" w:firstLineChars="200"/>
        <w:textAlignment w:val="bottom"/>
        <w:rPr>
          <w:rFonts w:hint="eastAsia"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出现影响采购公正的违法、违规</w:t>
      </w:r>
      <w:r>
        <w:rPr>
          <w:rFonts w:hint="eastAsia" w:ascii="宋体" w:hAnsi="宋体"/>
          <w:color w:val="auto"/>
          <w:sz w:val="21"/>
          <w:szCs w:val="21"/>
          <w:highlight w:val="none"/>
        </w:rPr>
        <w:t>、欺骗行为</w:t>
      </w:r>
      <w:r>
        <w:rPr>
          <w:rFonts w:ascii="宋体" w:hAnsi="宋体"/>
          <w:color w:val="auto"/>
          <w:sz w:val="21"/>
          <w:szCs w:val="21"/>
          <w:highlight w:val="none"/>
        </w:rPr>
        <w:t>的；</w:t>
      </w:r>
    </w:p>
    <w:p>
      <w:pPr>
        <w:autoSpaceDE w:val="0"/>
        <w:autoSpaceDN w:val="0"/>
        <w:spacing w:line="360" w:lineRule="auto"/>
        <w:ind w:firstLine="420" w:firstLineChars="200"/>
        <w:textAlignment w:val="bottom"/>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因重大变故，采购任务取消的；</w:t>
      </w:r>
    </w:p>
    <w:p>
      <w:pPr>
        <w:autoSpaceDE w:val="0"/>
        <w:autoSpaceDN w:val="0"/>
        <w:adjustRightInd w:val="0"/>
        <w:spacing w:line="360" w:lineRule="auto"/>
        <w:ind w:firstLine="420" w:firstLineChars="200"/>
        <w:rPr>
          <w:rFonts w:hint="eastAsia"/>
          <w:color w:val="auto"/>
          <w:sz w:val="21"/>
          <w:highlight w:val="none"/>
        </w:rPr>
      </w:pPr>
      <w:r>
        <w:rPr>
          <w:rFonts w:hint="eastAsia" w:ascii="宋体" w:hAnsi="宋体"/>
          <w:color w:val="auto"/>
          <w:sz w:val="21"/>
          <w:szCs w:val="21"/>
          <w:highlight w:val="none"/>
        </w:rPr>
        <w:t>（3）提交</w:t>
      </w:r>
      <w:r>
        <w:rPr>
          <w:rFonts w:hint="eastAsia" w:ascii="宋体" w:hAnsi="宋体"/>
          <w:color w:val="auto"/>
          <w:sz w:val="21"/>
          <w:szCs w:val="21"/>
          <w:highlight w:val="none"/>
          <w:lang w:val="en-US" w:eastAsia="zh-CN"/>
        </w:rPr>
        <w:t>磋商响应</w:t>
      </w:r>
      <w:r>
        <w:rPr>
          <w:rFonts w:hint="eastAsia" w:ascii="宋体" w:hAnsi="宋体"/>
          <w:color w:val="auto"/>
          <w:sz w:val="21"/>
          <w:szCs w:val="21"/>
          <w:highlight w:val="none"/>
        </w:rPr>
        <w:t>文件供应商或符合资格条件供应商或实质性响应供应商不足三家的。</w:t>
      </w:r>
    </w:p>
    <w:p>
      <w:pPr>
        <w:pStyle w:val="20"/>
        <w:snapToGrid w:val="0"/>
        <w:spacing w:before="0" w:beforeAutospacing="0" w:after="0" w:afterAutospacing="0" w:line="312" w:lineRule="auto"/>
        <w:ind w:firstLine="420" w:firstLineChars="200"/>
        <w:jc w:val="both"/>
        <w:rPr>
          <w:color w:val="auto"/>
          <w:sz w:val="21"/>
          <w:szCs w:val="21"/>
          <w:highlight w:val="none"/>
        </w:rPr>
      </w:pPr>
      <w:r>
        <w:rPr>
          <w:rFonts w:hint="eastAsia" w:ascii="宋体" w:hAnsi="宋体"/>
          <w:color w:val="auto"/>
          <w:sz w:val="21"/>
          <w:szCs w:val="21"/>
          <w:highlight w:val="none"/>
        </w:rPr>
        <w:t>（</w:t>
      </w:r>
      <w:r>
        <w:rPr>
          <w:rFonts w:hint="eastAsia" w:eastAsia="宋体"/>
          <w:color w:val="auto"/>
          <w:sz w:val="21"/>
          <w:szCs w:val="21"/>
          <w:highlight w:val="none"/>
          <w:lang w:val="en-US" w:eastAsia="zh-CN"/>
        </w:rPr>
        <w:t>4</w:t>
      </w:r>
      <w:r>
        <w:rPr>
          <w:rFonts w:hint="eastAsia" w:ascii="宋体" w:hAnsi="宋体"/>
          <w:color w:val="auto"/>
          <w:sz w:val="21"/>
          <w:szCs w:val="21"/>
          <w:highlight w:val="none"/>
        </w:rPr>
        <w:t>）</w:t>
      </w:r>
      <w:r>
        <w:rPr>
          <w:color w:val="auto"/>
          <w:sz w:val="21"/>
          <w:szCs w:val="21"/>
          <w:highlight w:val="none"/>
        </w:rPr>
        <w:t>法律、法规和磋商文件规定的其他导致评审结果无效的。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beforeLines="0" w:afterLines="0" w:line="360" w:lineRule="auto"/>
        <w:ind w:right="25" w:firstLine="420" w:firstLineChars="200"/>
        <w:jc w:val="left"/>
        <w:rPr>
          <w:rFonts w:hint="eastAsia" w:ascii="宋体" w:hAnsi="宋体"/>
          <w:b/>
          <w:color w:val="auto"/>
          <w:kern w:val="0"/>
          <w:sz w:val="21"/>
          <w:highlight w:val="none"/>
        </w:rPr>
      </w:pPr>
      <w:r>
        <w:rPr>
          <w:rFonts w:hint="eastAsia" w:ascii="宋体" w:hAnsi="宋体"/>
          <w:b/>
          <w:color w:val="auto"/>
          <w:kern w:val="0"/>
          <w:sz w:val="21"/>
          <w:highlight w:val="none"/>
        </w:rPr>
        <w:t>（</w:t>
      </w:r>
      <w:r>
        <w:rPr>
          <w:rFonts w:hint="eastAsia" w:ascii="宋体" w:hAnsi="宋体"/>
          <w:b/>
          <w:color w:val="auto"/>
          <w:kern w:val="0"/>
          <w:sz w:val="21"/>
          <w:highlight w:val="none"/>
          <w:lang w:val="en-US" w:eastAsia="zh-CN"/>
        </w:rPr>
        <w:t>八</w:t>
      </w:r>
      <w:r>
        <w:rPr>
          <w:rFonts w:hint="eastAsia" w:ascii="宋体" w:hAnsi="宋体"/>
          <w:b/>
          <w:color w:val="auto"/>
          <w:kern w:val="0"/>
          <w:sz w:val="21"/>
          <w:highlight w:val="none"/>
        </w:rPr>
        <w:t>）磋商原则和方法</w:t>
      </w:r>
    </w:p>
    <w:p>
      <w:pPr>
        <w:pStyle w:val="2"/>
        <w:snapToGrid w:val="0"/>
        <w:spacing w:beforeLines="0" w:afterLines="0" w:line="360" w:lineRule="auto"/>
        <w:ind w:firstLine="525" w:firstLineChars="250"/>
        <w:rPr>
          <w:rFonts w:hint="eastAsia" w:hAnsi="宋体"/>
          <w:color w:val="auto"/>
          <w:sz w:val="21"/>
          <w:highlight w:val="none"/>
        </w:rPr>
      </w:pPr>
      <w:r>
        <w:rPr>
          <w:rFonts w:hint="eastAsia" w:hAnsi="宋体"/>
          <w:color w:val="auto"/>
          <w:sz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pPr>
        <w:pStyle w:val="2"/>
        <w:snapToGrid w:val="0"/>
        <w:spacing w:beforeLines="0" w:afterLines="0" w:line="360" w:lineRule="auto"/>
        <w:ind w:firstLine="525" w:firstLineChars="250"/>
        <w:rPr>
          <w:rFonts w:hint="eastAsia" w:hAnsi="宋体"/>
          <w:color w:val="auto"/>
          <w:sz w:val="21"/>
          <w:highlight w:val="none"/>
        </w:rPr>
      </w:pPr>
      <w:r>
        <w:rPr>
          <w:rFonts w:hint="eastAsia" w:hAnsi="宋体"/>
          <w:color w:val="auto"/>
          <w:sz w:val="21"/>
          <w:highlight w:val="none"/>
        </w:rPr>
        <w:t>2、磋商办法。具体磋商内容及评分标准等详见《评审方法及评分标准》。</w:t>
      </w:r>
    </w:p>
    <w:p>
      <w:pPr>
        <w:pStyle w:val="2"/>
        <w:snapToGrid w:val="0"/>
        <w:spacing w:beforeLines="0" w:afterLines="0" w:line="360" w:lineRule="auto"/>
        <w:ind w:firstLine="420" w:firstLineChars="200"/>
        <w:rPr>
          <w:rFonts w:hint="eastAsia" w:hAnsi="宋体"/>
          <w:color w:val="auto"/>
          <w:sz w:val="21"/>
          <w:highlight w:val="none"/>
        </w:rPr>
      </w:pPr>
      <w:r>
        <w:rPr>
          <w:rFonts w:hint="eastAsia" w:hAnsi="宋体"/>
          <w:b/>
          <w:color w:val="auto"/>
          <w:sz w:val="21"/>
          <w:highlight w:val="none"/>
        </w:rPr>
        <w:t>（</w:t>
      </w:r>
      <w:r>
        <w:rPr>
          <w:rFonts w:hint="eastAsia" w:hAnsi="宋体" w:eastAsia="宋体"/>
          <w:b/>
          <w:color w:val="auto"/>
          <w:sz w:val="21"/>
          <w:highlight w:val="none"/>
          <w:lang w:val="en-US" w:eastAsia="zh-CN"/>
        </w:rPr>
        <w:t>九</w:t>
      </w:r>
      <w:r>
        <w:rPr>
          <w:rFonts w:hint="eastAsia" w:hAnsi="宋体"/>
          <w:b/>
          <w:color w:val="auto"/>
          <w:sz w:val="21"/>
          <w:highlight w:val="none"/>
        </w:rPr>
        <w:t>）评审过程的监控</w:t>
      </w:r>
    </w:p>
    <w:p>
      <w:pPr>
        <w:pStyle w:val="20"/>
        <w:snapToGrid w:val="0"/>
        <w:spacing w:before="0" w:beforeLines="0" w:beforeAutospacing="0" w:after="0" w:afterLines="0" w:afterAutospacing="0" w:line="360" w:lineRule="auto"/>
        <w:ind w:firstLine="420" w:firstLineChars="200"/>
        <w:jc w:val="both"/>
        <w:rPr>
          <w:rFonts w:hint="eastAsia"/>
          <w:color w:val="auto"/>
          <w:sz w:val="21"/>
          <w:highlight w:val="none"/>
        </w:rPr>
      </w:pPr>
      <w:r>
        <w:rPr>
          <w:rFonts w:hint="eastAsia"/>
          <w:color w:val="auto"/>
          <w:sz w:val="21"/>
          <w:highlight w:val="none"/>
        </w:rPr>
        <w:t>本项目评审过程实行全程录音、录像监控，政府采购监管部门视情进行现场监督，供应商在评审过程中所进行的试图影响评审结果的不公正活动，可能导致其被拒绝磋商。</w:t>
      </w:r>
    </w:p>
    <w:p>
      <w:pPr>
        <w:pStyle w:val="20"/>
        <w:snapToGrid w:val="0"/>
        <w:spacing w:before="0" w:beforeLines="0" w:beforeAutospacing="0" w:after="0" w:afterLines="0" w:afterAutospacing="0" w:line="360" w:lineRule="auto"/>
        <w:ind w:firstLine="420" w:firstLineChars="200"/>
        <w:jc w:val="left"/>
        <w:rPr>
          <w:rFonts w:hint="eastAsia"/>
          <w:color w:val="auto"/>
          <w:sz w:val="21"/>
          <w:highlight w:val="none"/>
        </w:rPr>
      </w:pPr>
      <w:r>
        <w:rPr>
          <w:rFonts w:hint="eastAsia"/>
          <w:b/>
          <w:color w:val="auto"/>
          <w:sz w:val="21"/>
          <w:highlight w:val="none"/>
        </w:rPr>
        <w:t>五、磋商结果确定</w:t>
      </w:r>
    </w:p>
    <w:p>
      <w:pPr>
        <w:pStyle w:val="20"/>
        <w:snapToGrid w:val="0"/>
        <w:spacing w:before="0" w:beforeLines="0" w:beforeAutospacing="0" w:after="0" w:afterLines="0" w:afterAutospacing="0" w:line="360" w:lineRule="auto"/>
        <w:ind w:firstLine="525" w:firstLineChars="250"/>
        <w:jc w:val="both"/>
        <w:rPr>
          <w:rFonts w:hint="eastAsia"/>
          <w:color w:val="auto"/>
          <w:sz w:val="21"/>
          <w:highlight w:val="none"/>
        </w:rPr>
      </w:pPr>
      <w:r>
        <w:rPr>
          <w:rFonts w:hint="eastAsia"/>
          <w:color w:val="auto"/>
          <w:sz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napToGrid w:val="0"/>
        <w:spacing w:beforeLines="0" w:afterLines="0" w:line="360" w:lineRule="auto"/>
        <w:ind w:firstLine="420" w:firstLineChars="200"/>
        <w:rPr>
          <w:rFonts w:hint="eastAsia" w:ascii="宋体" w:hAnsi="宋体"/>
          <w:color w:val="auto"/>
          <w:kern w:val="0"/>
          <w:sz w:val="21"/>
          <w:highlight w:val="none"/>
        </w:rPr>
      </w:pPr>
      <w:r>
        <w:rPr>
          <w:rFonts w:hint="eastAsia" w:ascii="宋体" w:hAnsi="宋体"/>
          <w:color w:val="auto"/>
          <w:kern w:val="0"/>
          <w:sz w:val="21"/>
          <w:highlight w:val="none"/>
        </w:rPr>
        <w:t>2、发布成交结果公告。采购组织机构应当在成交供应商确定后2个工作日内，在省级以上财政部门指定的政府采购信息发布媒体及相关网站上公告成交结果，并将磋商文件随同公告。</w:t>
      </w:r>
    </w:p>
    <w:p>
      <w:pPr>
        <w:snapToGrid w:val="0"/>
        <w:spacing w:beforeLines="0" w:afterLines="0" w:line="360" w:lineRule="auto"/>
        <w:ind w:firstLine="420" w:firstLineChars="200"/>
        <w:rPr>
          <w:rFonts w:hint="eastAsia" w:ascii="宋体" w:hAnsi="宋体"/>
          <w:color w:val="auto"/>
          <w:kern w:val="0"/>
          <w:sz w:val="21"/>
          <w:highlight w:val="none"/>
        </w:rPr>
      </w:pPr>
      <w:r>
        <w:rPr>
          <w:rFonts w:hint="eastAsia" w:ascii="宋体" w:hAnsi="宋体"/>
          <w:color w:val="auto"/>
          <w:kern w:val="0"/>
          <w:sz w:val="21"/>
          <w:highlight w:val="none"/>
        </w:rPr>
        <w:t>3、发出成交通知书。采购组织机构在发布成交结果同时，向成交供应商发出成交通知书。</w:t>
      </w:r>
    </w:p>
    <w:p>
      <w:pPr>
        <w:snapToGrid w:val="0"/>
        <w:spacing w:beforeLines="0" w:afterLines="0" w:line="360" w:lineRule="auto"/>
        <w:ind w:firstLine="420" w:firstLineChars="200"/>
        <w:rPr>
          <w:rFonts w:hint="eastAsia" w:ascii="宋体" w:hAnsi="宋体"/>
          <w:b/>
          <w:color w:val="auto"/>
          <w:kern w:val="0"/>
          <w:sz w:val="21"/>
          <w:highlight w:val="none"/>
        </w:rPr>
      </w:pPr>
      <w:r>
        <w:rPr>
          <w:rFonts w:hint="eastAsia" w:ascii="宋体" w:hAnsi="宋体"/>
          <w:b/>
          <w:color w:val="auto"/>
          <w:kern w:val="0"/>
          <w:sz w:val="21"/>
          <w:highlight w:val="none"/>
        </w:rPr>
        <w:t>六、合同签订及公告</w:t>
      </w:r>
    </w:p>
    <w:p>
      <w:pPr>
        <w:pStyle w:val="9"/>
        <w:snapToGrid w:val="0"/>
        <w:spacing w:beforeLines="0" w:after="0" w:afterLines="0"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（一）签订合同</w:t>
      </w:r>
    </w:p>
    <w:p>
      <w:pPr>
        <w:pStyle w:val="20"/>
        <w:snapToGrid w:val="0"/>
        <w:spacing w:before="0" w:beforeLines="0" w:beforeAutospacing="0" w:after="0" w:afterLines="0" w:afterAutospacing="0" w:line="360" w:lineRule="auto"/>
        <w:ind w:firstLine="525" w:firstLineChars="250"/>
        <w:jc w:val="both"/>
        <w:rPr>
          <w:rFonts w:hint="eastAsia"/>
          <w:color w:val="auto"/>
          <w:sz w:val="21"/>
          <w:highlight w:val="none"/>
        </w:rPr>
      </w:pPr>
      <w:r>
        <w:rPr>
          <w:rFonts w:hint="eastAsia"/>
          <w:color w:val="auto"/>
          <w:sz w:val="21"/>
          <w:highlight w:val="none"/>
        </w:rPr>
        <w:t>1、采购人应当自成交通知书发出之日起30日内，按照磋商采购文件确定的合同文本以及采购标的、规格型号、采购金额、采购数量和服务要求等事项签订政府采购合同。</w:t>
      </w:r>
    </w:p>
    <w:p>
      <w:pPr>
        <w:pStyle w:val="20"/>
        <w:snapToGrid w:val="0"/>
        <w:spacing w:before="0" w:beforeLines="0" w:beforeAutospacing="0" w:after="0" w:afterLines="0" w:afterAutospacing="0" w:line="360" w:lineRule="auto"/>
        <w:ind w:firstLine="525" w:firstLineChars="250"/>
        <w:jc w:val="both"/>
        <w:rPr>
          <w:rFonts w:hint="eastAsia"/>
          <w:color w:val="auto"/>
          <w:sz w:val="21"/>
          <w:highlight w:val="none"/>
        </w:rPr>
      </w:pPr>
      <w:r>
        <w:rPr>
          <w:rFonts w:hint="eastAsia"/>
          <w:color w:val="auto"/>
          <w:sz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20"/>
        <w:snapToGrid w:val="0"/>
        <w:spacing w:before="0" w:beforeLines="0" w:beforeAutospacing="0" w:after="0" w:afterLines="0" w:afterAutospacing="0" w:line="360" w:lineRule="auto"/>
        <w:ind w:firstLine="525" w:firstLineChars="250"/>
        <w:jc w:val="both"/>
        <w:rPr>
          <w:rFonts w:hint="eastAsia"/>
          <w:color w:val="auto"/>
          <w:sz w:val="21"/>
          <w:highlight w:val="none"/>
        </w:rPr>
      </w:pPr>
      <w:r>
        <w:rPr>
          <w:rFonts w:hint="eastAsia"/>
          <w:color w:val="auto"/>
          <w:sz w:val="21"/>
          <w:highlight w:val="none"/>
        </w:rPr>
        <w:t>3、成交供应商无故拖延、拒签合同的,取消成交资格。</w:t>
      </w:r>
    </w:p>
    <w:p>
      <w:pPr>
        <w:pStyle w:val="20"/>
        <w:snapToGrid w:val="0"/>
        <w:spacing w:before="0" w:beforeLines="0" w:beforeAutospacing="0" w:after="0" w:afterLines="0" w:afterAutospacing="0" w:line="360" w:lineRule="auto"/>
        <w:ind w:firstLine="525" w:firstLineChars="250"/>
        <w:jc w:val="both"/>
        <w:rPr>
          <w:rFonts w:hint="eastAsia"/>
          <w:color w:val="auto"/>
          <w:sz w:val="21"/>
          <w:highlight w:val="none"/>
        </w:rPr>
      </w:pPr>
      <w:r>
        <w:rPr>
          <w:rFonts w:hint="eastAsia"/>
          <w:color w:val="auto"/>
          <w:sz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0"/>
        <w:snapToGrid w:val="0"/>
        <w:spacing w:before="0" w:beforeLines="0" w:beforeAutospacing="0" w:after="0" w:afterLines="0" w:afterAutospacing="0" w:line="360" w:lineRule="auto"/>
        <w:ind w:firstLine="525" w:firstLineChars="250"/>
        <w:jc w:val="both"/>
        <w:rPr>
          <w:rFonts w:hint="eastAsia"/>
          <w:color w:val="auto"/>
          <w:sz w:val="21"/>
          <w:highlight w:val="none"/>
        </w:rPr>
      </w:pPr>
      <w:r>
        <w:rPr>
          <w:rFonts w:hint="eastAsia"/>
          <w:color w:val="auto"/>
          <w:sz w:val="21"/>
          <w:highlight w:val="none"/>
        </w:rPr>
        <w:t>5、询问或者质疑事项可能影响成交结果的，采购人应当暂停签订合同，已经签订合同的，应当中止履行合同（成交结果的质疑期为成交结果公告期限届满之日起七个工作日）。</w:t>
      </w:r>
    </w:p>
    <w:p>
      <w:pPr>
        <w:pStyle w:val="20"/>
        <w:snapToGrid w:val="0"/>
        <w:spacing w:before="0" w:beforeLines="0" w:beforeAutospacing="0" w:after="0" w:afterLines="0" w:afterAutospacing="0" w:line="360" w:lineRule="auto"/>
        <w:ind w:firstLine="525" w:firstLineChars="250"/>
        <w:jc w:val="both"/>
        <w:rPr>
          <w:rFonts w:hint="eastAsia"/>
          <w:b/>
          <w:color w:val="auto"/>
          <w:sz w:val="21"/>
          <w:highlight w:val="none"/>
        </w:rPr>
      </w:pPr>
      <w:r>
        <w:rPr>
          <w:rFonts w:hint="eastAsia"/>
          <w:b/>
          <w:color w:val="auto"/>
          <w:sz w:val="21"/>
          <w:highlight w:val="none"/>
        </w:rPr>
        <w:t>（二）合同公告及备案</w:t>
      </w:r>
    </w:p>
    <w:p>
      <w:pPr>
        <w:pStyle w:val="20"/>
        <w:snapToGrid w:val="0"/>
        <w:spacing w:before="0" w:beforeLines="0" w:beforeAutospacing="0" w:after="0" w:afterLines="0" w:afterAutospacing="0" w:line="360" w:lineRule="auto"/>
        <w:ind w:firstLine="525" w:firstLineChars="250"/>
        <w:jc w:val="both"/>
        <w:rPr>
          <w:rFonts w:hint="eastAsia" w:ascii="宋体" w:hAnsi="宋体" w:eastAsia="宋体" w:cs="宋体"/>
          <w:b/>
          <w:color w:val="auto"/>
          <w:sz w:val="30"/>
          <w:szCs w:val="30"/>
          <w:highlight w:val="none"/>
          <w:lang w:eastAsia="zh-CN"/>
        </w:rPr>
      </w:pPr>
      <w:r>
        <w:rPr>
          <w:rFonts w:hint="eastAsia"/>
          <w:color w:val="auto"/>
          <w:sz w:val="21"/>
          <w:highlight w:val="none"/>
        </w:rPr>
        <w:t>采购人应当自政府采购合同签订之日起2个工作日内，在省级以上财政部门指定的政府采购信息发布媒体及相关网站上公告。</w:t>
      </w:r>
      <w:bookmarkEnd w:id="27"/>
      <w:bookmarkStart w:id="85" w:name="_Toc306901457"/>
      <w:bookmarkStart w:id="86" w:name="_Toc173810699"/>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0" w:afterLines="0" w:line="360" w:lineRule="auto"/>
        <w:ind w:firstLine="454"/>
        <w:rPr>
          <w:rFonts w:hint="eastAsia" w:ascii="宋体" w:hAnsi="宋体"/>
          <w:b/>
          <w:color w:val="auto"/>
          <w:sz w:val="21"/>
          <w:highlight w:val="none"/>
        </w:rPr>
      </w:pPr>
      <w:r>
        <w:rPr>
          <w:rFonts w:hint="eastAsia" w:ascii="宋体" w:hAnsi="宋体"/>
          <w:b/>
          <w:color w:val="auto"/>
          <w:sz w:val="21"/>
          <w:highlight w:val="none"/>
          <w:lang w:val="en-US" w:eastAsia="zh-CN"/>
        </w:rPr>
        <w:t>七、</w:t>
      </w:r>
      <w:r>
        <w:rPr>
          <w:rFonts w:hint="eastAsia" w:ascii="宋体" w:hAnsi="宋体"/>
          <w:b/>
          <w:color w:val="auto"/>
          <w:sz w:val="21"/>
          <w:highlight w:val="none"/>
        </w:rPr>
        <w:t>中标服务费</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1、中标人须向招标代理机构按如下标准和规定交纳中标服务费。</w:t>
      </w:r>
    </w:p>
    <w:p>
      <w:pPr>
        <w:autoSpaceDE w:val="0"/>
        <w:autoSpaceDN w:val="0"/>
        <w:adjustRightInd w:val="0"/>
        <w:spacing w:line="36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color w:val="auto"/>
          <w:kern w:val="0"/>
          <w:sz w:val="21"/>
          <w:szCs w:val="21"/>
          <w:highlight w:val="none"/>
          <w:lang w:val="zh-CN"/>
        </w:rPr>
        <w:t>招标代理服务费按中标金额作为收费的计算基数，按差额定率累进法计算后打7折（不足</w:t>
      </w:r>
      <w:r>
        <w:rPr>
          <w:rFonts w:hint="eastAsia" w:ascii="宋体" w:hAnsi="宋体" w:eastAsia="宋体" w:cs="宋体"/>
          <w:color w:val="auto"/>
          <w:kern w:val="0"/>
          <w:sz w:val="21"/>
          <w:szCs w:val="21"/>
          <w:highlight w:val="none"/>
          <w:lang w:val="en-US" w:eastAsia="zh-CN"/>
        </w:rPr>
        <w:t>4000按4000元计算</w:t>
      </w:r>
      <w:r>
        <w:rPr>
          <w:rFonts w:hint="eastAsia" w:ascii="宋体" w:hAnsi="宋体" w:eastAsia="宋体" w:cs="宋体"/>
          <w:color w:val="auto"/>
          <w:kern w:val="0"/>
          <w:sz w:val="21"/>
          <w:szCs w:val="21"/>
          <w:highlight w:val="none"/>
          <w:lang w:val="zh-CN"/>
        </w:rPr>
        <w:t>），由</w:t>
      </w:r>
      <w:r>
        <w:rPr>
          <w:rFonts w:hint="eastAsia" w:ascii="宋体" w:hAnsi="宋体" w:eastAsia="宋体" w:cs="宋体"/>
          <w:b w:val="0"/>
          <w:bCs w:val="0"/>
          <w:color w:val="auto"/>
          <w:sz w:val="21"/>
          <w:szCs w:val="21"/>
          <w:highlight w:val="none"/>
          <w:lang w:val="en-US" w:eastAsia="zh-CN"/>
        </w:rPr>
        <w:t>中标（成交）人须在领取中标（成交）通知书的同时一次性向代理机构缴清</w:t>
      </w:r>
      <w:r>
        <w:rPr>
          <w:rFonts w:hint="eastAsia" w:ascii="宋体" w:hAnsi="宋体" w:eastAsia="宋体" w:cs="宋体"/>
          <w:color w:val="auto"/>
          <w:kern w:val="0"/>
          <w:sz w:val="21"/>
          <w:szCs w:val="21"/>
          <w:highlight w:val="none"/>
          <w:lang w:val="zh-CN"/>
        </w:rPr>
        <w:t>，具体计算方法如下：</w:t>
      </w:r>
    </w:p>
    <w:tbl>
      <w:tblPr>
        <w:tblStyle w:val="24"/>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6"/>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706" w:type="dxa"/>
            <w:noWrap w:val="0"/>
            <w:vAlign w:val="top"/>
          </w:tcPr>
          <w:p>
            <w:pPr>
              <w:keepNext w:val="0"/>
              <w:keepLines w:val="0"/>
              <w:suppressLineNumbers w:val="0"/>
              <w:spacing w:before="0" w:beforeAutospacing="0" w:after="0" w:afterAutospacing="0" w:line="240" w:lineRule="auto"/>
              <w:ind w:left="0" w:right="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
                <w:bCs/>
                <w:i w:val="0"/>
                <w:iCs w:val="0"/>
                <w:caps w:val="0"/>
                <w:color w:val="auto"/>
                <w:spacing w:val="0"/>
                <w:kern w:val="0"/>
                <w:sz w:val="21"/>
                <w:szCs w:val="21"/>
                <w:highlight w:val="none"/>
                <w:lang w:val="en-US" w:eastAsia="zh-CN" w:bidi="ar"/>
              </w:rPr>
              <w:t>中标金额（万元）</w:t>
            </w:r>
          </w:p>
        </w:tc>
        <w:tc>
          <w:tcPr>
            <w:tcW w:w="4493" w:type="dxa"/>
            <w:noWrap w:val="0"/>
            <w:vAlign w:val="center"/>
          </w:tcPr>
          <w:p>
            <w:pPr>
              <w:keepNext w:val="0"/>
              <w:keepLines w:val="0"/>
              <w:widowControl/>
              <w:suppressLineNumbers w:val="0"/>
              <w:spacing w:before="100" w:beforeAutospacing="1" w:after="100" w:afterAutospacing="1" w:line="240" w:lineRule="auto"/>
              <w:ind w:left="0" w:leftChars="0" w:right="0" w:rightChars="0"/>
              <w:jc w:val="center"/>
              <w:rPr>
                <w:rFonts w:hint="eastAsia" w:ascii="宋体" w:hAnsi="宋体" w:eastAsia="宋体" w:cs="宋体"/>
                <w:b/>
                <w:bCs/>
                <w:i w:val="0"/>
                <w:iCs w:val="0"/>
                <w:caps w:val="0"/>
                <w:color w:val="auto"/>
                <w:spacing w:val="0"/>
                <w:kern w:val="0"/>
                <w:sz w:val="21"/>
                <w:szCs w:val="21"/>
                <w:highlight w:val="none"/>
                <w:lang w:val="en-US" w:eastAsia="zh-CN" w:bidi="ar-SA"/>
              </w:rPr>
            </w:pPr>
            <w:r>
              <w:rPr>
                <w:rFonts w:hint="eastAsia" w:ascii="宋体" w:hAnsi="宋体" w:eastAsia="宋体" w:cs="宋体"/>
                <w:b/>
                <w:bCs/>
                <w:i w:val="0"/>
                <w:iCs w:val="0"/>
                <w:caps w:val="0"/>
                <w:color w:val="auto"/>
                <w:spacing w:val="0"/>
                <w:kern w:val="0"/>
                <w:sz w:val="21"/>
                <w:szCs w:val="21"/>
                <w:highlight w:val="none"/>
                <w:lang w:val="en-US" w:eastAsia="zh-CN" w:bidi="ar-SA"/>
              </w:rPr>
              <w:t>工程招标</w:t>
            </w:r>
            <w:r>
              <w:rPr>
                <w:rFonts w:hint="eastAsia" w:ascii="宋体" w:hAnsi="宋体" w:eastAsia="宋体" w:cs="宋体"/>
                <w:color w:val="auto"/>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706" w:type="dxa"/>
            <w:noWrap w:val="0"/>
            <w:vAlign w:val="top"/>
          </w:tcPr>
          <w:p>
            <w:pPr>
              <w:keepNext w:val="0"/>
              <w:keepLines w:val="0"/>
              <w:suppressLineNumbers w:val="0"/>
              <w:spacing w:before="0" w:beforeAutospacing="0" w:after="0" w:afterAutospacing="0" w:line="240" w:lineRule="auto"/>
              <w:ind w:left="0" w:right="0"/>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100以下</w:t>
            </w:r>
          </w:p>
        </w:tc>
        <w:tc>
          <w:tcPr>
            <w:tcW w:w="4493" w:type="dxa"/>
            <w:noWrap w:val="0"/>
            <w:vAlign w:val="top"/>
          </w:tcPr>
          <w:p>
            <w:pPr>
              <w:keepNext w:val="0"/>
              <w:keepLines w:val="0"/>
              <w:suppressLineNumbers w:val="0"/>
              <w:spacing w:before="0" w:beforeAutospacing="0" w:after="0" w:afterAutospacing="0" w:line="240" w:lineRule="auto"/>
              <w:ind w:left="0" w:right="0"/>
              <w:jc w:val="cente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1.0</w:t>
            </w:r>
            <w:r>
              <w:rPr>
                <w:rFonts w:hint="eastAsia" w:ascii="宋体" w:hAnsi="宋体" w:eastAsia="宋体" w:cs="宋体"/>
                <w:snapToGrid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trPr>
        <w:tc>
          <w:tcPr>
            <w:tcW w:w="4706" w:type="dxa"/>
            <w:noWrap w:val="0"/>
            <w:vAlign w:val="top"/>
          </w:tcPr>
          <w:p>
            <w:pPr>
              <w:keepNext w:val="0"/>
              <w:keepLines w:val="0"/>
              <w:suppressLineNumbers w:val="0"/>
              <w:spacing w:before="0" w:beforeAutospacing="0" w:after="0" w:afterAutospacing="0" w:line="240" w:lineRule="auto"/>
              <w:ind w:left="0" w:right="0"/>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100-500</w:t>
            </w:r>
            <w:r>
              <w:rPr>
                <w:rFonts w:hint="eastAsia" w:ascii="宋体" w:hAnsi="宋体" w:eastAsia="宋体" w:cs="宋体"/>
                <w:color w:val="auto"/>
                <w:kern w:val="0"/>
                <w:sz w:val="21"/>
                <w:szCs w:val="21"/>
                <w:highlight w:val="none"/>
              </w:rPr>
              <w:t>（含）</w:t>
            </w:r>
          </w:p>
        </w:tc>
        <w:tc>
          <w:tcPr>
            <w:tcW w:w="4493" w:type="dxa"/>
            <w:noWrap w:val="0"/>
            <w:vAlign w:val="top"/>
          </w:tcPr>
          <w:p>
            <w:pPr>
              <w:keepNext w:val="0"/>
              <w:keepLines w:val="0"/>
              <w:suppressLineNumbers w:val="0"/>
              <w:spacing w:before="0" w:beforeAutospacing="0" w:after="0" w:afterAutospacing="0" w:line="240" w:lineRule="auto"/>
              <w:ind w:left="0" w:right="0"/>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rPr>
              <w:t>0.7</w:t>
            </w:r>
            <w:r>
              <w:rPr>
                <w:rFonts w:hint="eastAsia" w:ascii="宋体" w:hAnsi="宋体" w:eastAsia="宋体" w:cs="宋体"/>
                <w:snapToGrid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trPr>
        <w:tc>
          <w:tcPr>
            <w:tcW w:w="9199" w:type="dxa"/>
            <w:gridSpan w:val="2"/>
            <w:noWrap w:val="0"/>
            <w:vAlign w:val="top"/>
          </w:tcPr>
          <w:p>
            <w:pPr>
              <w:keepNext w:val="0"/>
              <w:keepLines w:val="0"/>
              <w:suppressLineNumbers w:val="0"/>
              <w:spacing w:before="0" w:beforeAutospacing="0" w:after="0" w:afterAutospacing="0" w:line="240" w:lineRule="auto"/>
              <w:ind w:left="0" w:right="0"/>
              <w:jc w:val="cente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注：如中标金额为300万元，100</w:t>
            </w:r>
            <w:r>
              <w:rPr>
                <w:rFonts w:hint="eastAsia" w:ascii="宋体" w:hAnsi="宋体" w:eastAsia="宋体" w:cs="宋体"/>
                <w:snapToGrid w:val="0"/>
                <w:color w:val="auto"/>
                <w:sz w:val="21"/>
                <w:szCs w:val="21"/>
                <w:highlight w:val="none"/>
              </w:rPr>
              <w:t>万元×1.</w:t>
            </w:r>
            <w:r>
              <w:rPr>
                <w:rFonts w:hint="eastAsia" w:ascii="宋体" w:hAnsi="宋体" w:eastAsia="宋体" w:cs="宋体"/>
                <w:snapToGrid w:val="0"/>
                <w:color w:val="auto"/>
                <w:sz w:val="21"/>
                <w:szCs w:val="21"/>
                <w:highlight w:val="none"/>
                <w:lang w:val="en-US" w:eastAsia="zh-CN"/>
              </w:rPr>
              <w:t>0</w:t>
            </w:r>
            <w:r>
              <w:rPr>
                <w:rFonts w:hint="eastAsia" w:ascii="宋体" w:hAnsi="宋体" w:eastAsia="宋体" w:cs="宋体"/>
                <w:snapToGrid w:val="0"/>
                <w:color w:val="auto"/>
                <w:sz w:val="21"/>
                <w:szCs w:val="21"/>
                <w:highlight w:val="none"/>
              </w:rPr>
              <w:t>％＝10</w:t>
            </w:r>
            <w:r>
              <w:rPr>
                <w:rFonts w:hint="eastAsia" w:ascii="宋体" w:hAnsi="宋体" w:eastAsia="宋体" w:cs="宋体"/>
                <w:snapToGrid w:val="0"/>
                <w:color w:val="auto"/>
                <w:sz w:val="21"/>
                <w:szCs w:val="21"/>
                <w:highlight w:val="none"/>
                <w:lang w:val="en-US" w:eastAsia="zh-CN"/>
              </w:rPr>
              <w:t>0</w:t>
            </w:r>
            <w:r>
              <w:rPr>
                <w:rFonts w:hint="eastAsia" w:ascii="宋体" w:hAnsi="宋体" w:eastAsia="宋体" w:cs="宋体"/>
                <w:snapToGrid w:val="0"/>
                <w:color w:val="auto"/>
                <w:sz w:val="21"/>
                <w:szCs w:val="21"/>
                <w:highlight w:val="none"/>
              </w:rPr>
              <w:t>00.00元</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val="en-US" w:eastAsia="zh-CN"/>
              </w:rPr>
              <w:t>200</w:t>
            </w:r>
            <w:r>
              <w:rPr>
                <w:rFonts w:hint="eastAsia" w:ascii="宋体" w:hAnsi="宋体" w:eastAsia="宋体" w:cs="宋体"/>
                <w:snapToGrid w:val="0"/>
                <w:color w:val="auto"/>
                <w:sz w:val="21"/>
                <w:szCs w:val="21"/>
                <w:highlight w:val="none"/>
              </w:rPr>
              <w:t>万元×</w:t>
            </w:r>
            <w:r>
              <w:rPr>
                <w:rFonts w:hint="eastAsia" w:ascii="宋体" w:hAnsi="宋体" w:eastAsia="宋体" w:cs="宋体"/>
                <w:snapToGrid w:val="0"/>
                <w:color w:val="auto"/>
                <w:sz w:val="21"/>
                <w:szCs w:val="21"/>
                <w:highlight w:val="none"/>
                <w:lang w:val="en-US" w:eastAsia="zh-CN"/>
              </w:rPr>
              <w:t>0.7</w:t>
            </w:r>
            <w:r>
              <w:rPr>
                <w:rFonts w:hint="eastAsia" w:ascii="宋体" w:hAnsi="宋体" w:eastAsia="宋体" w:cs="宋体"/>
                <w:snapToGrid w:val="0"/>
                <w:color w:val="auto"/>
                <w:sz w:val="21"/>
                <w:szCs w:val="21"/>
                <w:highlight w:val="none"/>
              </w:rPr>
              <w:t>％＝1</w:t>
            </w:r>
            <w:r>
              <w:rPr>
                <w:rFonts w:hint="eastAsia" w:ascii="宋体" w:hAnsi="宋体" w:eastAsia="宋体" w:cs="宋体"/>
                <w:snapToGrid w:val="0"/>
                <w:color w:val="auto"/>
                <w:sz w:val="21"/>
                <w:szCs w:val="21"/>
                <w:highlight w:val="none"/>
                <w:lang w:val="en-US" w:eastAsia="zh-CN"/>
              </w:rPr>
              <w:t>40</w:t>
            </w:r>
            <w:r>
              <w:rPr>
                <w:rFonts w:hint="eastAsia" w:ascii="宋体" w:hAnsi="宋体" w:eastAsia="宋体" w:cs="宋体"/>
                <w:snapToGrid w:val="0"/>
                <w:color w:val="auto"/>
                <w:sz w:val="21"/>
                <w:szCs w:val="21"/>
                <w:highlight w:val="none"/>
              </w:rPr>
              <w:t>00.00元按70％计算得：</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val="en-US" w:eastAsia="zh-CN"/>
              </w:rPr>
              <w:t>10000+14000）*70%=16800</w:t>
            </w:r>
            <w:r>
              <w:rPr>
                <w:rFonts w:hint="eastAsia" w:ascii="宋体" w:hAnsi="宋体" w:eastAsia="宋体" w:cs="宋体"/>
                <w:snapToGrid w:val="0"/>
                <w:color w:val="auto"/>
                <w:sz w:val="21"/>
                <w:szCs w:val="21"/>
                <w:highlight w:val="none"/>
              </w:rPr>
              <w:t>元</w:t>
            </w:r>
            <w:r>
              <w:rPr>
                <w:rFonts w:hint="eastAsia" w:ascii="宋体" w:hAnsi="宋体" w:eastAsia="宋体" w:cs="宋体"/>
                <w:snapToGrid w:val="0"/>
                <w:color w:val="auto"/>
                <w:sz w:val="21"/>
                <w:szCs w:val="21"/>
                <w:highlight w:val="none"/>
                <w:lang w:eastAsia="zh-CN"/>
              </w:rPr>
              <w:t>。</w:t>
            </w:r>
          </w:p>
        </w:tc>
      </w:tr>
    </w:tbl>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both"/>
        <w:rPr>
          <w:rFonts w:hint="eastAsia" w:ascii="宋体" w:hAnsi="宋体" w:eastAsia="宋体" w:cs="宋体"/>
          <w:b/>
          <w:color w:val="auto"/>
          <w:sz w:val="30"/>
          <w:szCs w:val="30"/>
          <w:highlight w:val="none"/>
          <w:lang w:eastAsia="zh-CN"/>
        </w:rPr>
      </w:pP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第四部分</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评标办法及评分标准</w:t>
      </w:r>
      <w:bookmarkEnd w:id="85"/>
    </w:p>
    <w:p>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b/>
          <w:i/>
          <w:color w:val="auto"/>
          <w:sz w:val="21"/>
          <w:highlight w:val="none"/>
        </w:rPr>
      </w:pPr>
      <w:r>
        <w:rPr>
          <w:rFonts w:hint="default" w:ascii="宋体" w:hAnsi="宋体" w:eastAsia="宋体"/>
          <w:color w:val="auto"/>
          <w:sz w:val="21"/>
          <w:highlight w:val="none"/>
        </w:rPr>
        <w:t xml:space="preserve">一、采购组织机构将组织磋商小组，对供应商提供的磋商响应文件进行综合评审。   </w:t>
      </w:r>
    </w:p>
    <w:p>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highlight w:val="none"/>
        </w:rPr>
      </w:pPr>
      <w:r>
        <w:rPr>
          <w:rFonts w:hint="default" w:ascii="宋体" w:hAnsi="宋体" w:eastAsia="宋体"/>
          <w:color w:val="auto"/>
          <w:sz w:val="21"/>
          <w:highlight w:val="none"/>
        </w:rPr>
        <w:t>二、本次磋商项目的评审方法为</w:t>
      </w:r>
      <w:r>
        <w:rPr>
          <w:rFonts w:hint="default" w:ascii="宋体" w:hAnsi="宋体" w:eastAsia="宋体"/>
          <w:b/>
          <w:color w:val="auto"/>
          <w:sz w:val="21"/>
          <w:highlight w:val="none"/>
        </w:rPr>
        <w:t>综合评分法</w:t>
      </w:r>
      <w:r>
        <w:rPr>
          <w:rFonts w:hint="default" w:ascii="宋体" w:hAnsi="宋体" w:eastAsia="宋体"/>
          <w:color w:val="auto"/>
          <w:sz w:val="21"/>
          <w:highlight w:val="none"/>
        </w:rPr>
        <w:t>，总计100分</w:t>
      </w:r>
      <w:r>
        <w:rPr>
          <w:rFonts w:hint="default" w:ascii="宋体" w:hAnsi="宋体" w:eastAsia="宋体"/>
          <w:color w:val="auto"/>
          <w:sz w:val="21"/>
          <w:highlight w:val="none"/>
          <w:lang w:val="zh-CN"/>
        </w:rPr>
        <w:t>(商务与技术文件为</w:t>
      </w:r>
      <w:r>
        <w:rPr>
          <w:rFonts w:hint="eastAsia" w:ascii="宋体" w:hAnsi="宋体" w:eastAsia="宋体"/>
          <w:b/>
          <w:color w:val="auto"/>
          <w:sz w:val="21"/>
          <w:highlight w:val="none"/>
          <w:lang w:val="en-US" w:eastAsia="zh-CN"/>
        </w:rPr>
        <w:t>60</w:t>
      </w:r>
      <w:r>
        <w:rPr>
          <w:rFonts w:hint="default" w:ascii="宋体" w:hAnsi="宋体" w:eastAsia="宋体"/>
          <w:color w:val="auto"/>
          <w:sz w:val="21"/>
          <w:highlight w:val="none"/>
          <w:lang w:val="zh-CN"/>
        </w:rPr>
        <w:t>分，报价文件为</w:t>
      </w:r>
      <w:r>
        <w:rPr>
          <w:rFonts w:hint="eastAsia" w:ascii="宋体" w:hAnsi="宋体" w:eastAsia="宋体"/>
          <w:b/>
          <w:color w:val="auto"/>
          <w:sz w:val="21"/>
          <w:highlight w:val="none"/>
          <w:lang w:val="en-US" w:eastAsia="zh-CN"/>
        </w:rPr>
        <w:t>40</w:t>
      </w:r>
      <w:r>
        <w:rPr>
          <w:rFonts w:hint="default" w:ascii="宋体" w:hAnsi="宋体" w:eastAsia="宋体"/>
          <w:color w:val="auto"/>
          <w:sz w:val="21"/>
          <w:highlight w:val="none"/>
          <w:lang w:val="zh-CN"/>
        </w:rPr>
        <w:t>分)</w:t>
      </w:r>
      <w:r>
        <w:rPr>
          <w:rFonts w:hint="default" w:ascii="宋体" w:hAnsi="宋体" w:eastAsia="宋体"/>
          <w:color w:val="auto"/>
          <w:sz w:val="21"/>
          <w:highlight w:val="none"/>
        </w:rPr>
        <w:t>。</w:t>
      </w:r>
    </w:p>
    <w:p>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highlight w:val="none"/>
        </w:rPr>
      </w:pPr>
      <w:r>
        <w:rPr>
          <w:rFonts w:hint="default" w:ascii="宋体" w:hAnsi="宋体" w:eastAsia="宋体"/>
          <w:color w:val="auto"/>
          <w:sz w:val="21"/>
          <w:highlight w:val="none"/>
        </w:rPr>
        <w:t>（一）商务与技术文件中的客观分由磋商小组讨论后统一打分；其余在规定的分值内单独评定打分。</w:t>
      </w:r>
    </w:p>
    <w:p>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highlight w:val="none"/>
        </w:rPr>
      </w:pPr>
      <w:r>
        <w:rPr>
          <w:rFonts w:hint="default" w:ascii="宋体" w:hAnsi="宋体" w:eastAsia="宋体"/>
          <w:color w:val="auto"/>
          <w:sz w:val="21"/>
          <w:highlight w:val="none"/>
        </w:rPr>
        <w:t>（二）各磋商供应商商务与技术文件得分按照磋商小组成员的独立评分结果汇总后的算术平均分计算，计算公式为：</w:t>
      </w:r>
    </w:p>
    <w:p>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highlight w:val="none"/>
        </w:rPr>
      </w:pPr>
      <w:r>
        <w:rPr>
          <w:rFonts w:hint="default" w:ascii="宋体" w:hAnsi="宋体" w:eastAsia="宋体"/>
          <w:color w:val="auto"/>
          <w:sz w:val="21"/>
          <w:highlight w:val="none"/>
        </w:rPr>
        <w:t>商务与技术文件得分=磋商小组所有成员评分合计数/磋商小组组成人员数。</w:t>
      </w:r>
    </w:p>
    <w:p>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highlight w:val="none"/>
        </w:rPr>
      </w:pPr>
      <w:r>
        <w:rPr>
          <w:rFonts w:hint="default" w:ascii="宋体" w:hAnsi="宋体" w:eastAsia="宋体"/>
          <w:b w:val="0"/>
          <w:bCs/>
          <w:color w:val="auto"/>
          <w:sz w:val="21"/>
          <w:highlight w:val="none"/>
          <w:lang w:val="zh-CN"/>
        </w:rPr>
        <w:t>（三）</w:t>
      </w:r>
      <w:r>
        <w:rPr>
          <w:rFonts w:hint="default" w:ascii="宋体" w:hAnsi="宋体" w:eastAsia="宋体"/>
          <w:b w:val="0"/>
          <w:bCs/>
          <w:color w:val="auto"/>
          <w:sz w:val="21"/>
          <w:highlight w:val="none"/>
        </w:rPr>
        <w:t>综合</w:t>
      </w:r>
      <w:r>
        <w:rPr>
          <w:rFonts w:hint="default" w:ascii="宋体" w:hAnsi="宋体" w:eastAsia="宋体"/>
          <w:color w:val="auto"/>
          <w:sz w:val="21"/>
          <w:highlight w:val="none"/>
        </w:rPr>
        <w:t>评分法中的价格分统一采用低价优先法计算，即满足磋商文件要求且最终报价最低的供应商的价格作为磋商基准价，其报价得满分。其他供应商的价格分统一按照下列公式计算：</w:t>
      </w:r>
    </w:p>
    <w:p>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color w:val="auto"/>
          <w:sz w:val="36"/>
          <w:highlight w:val="none"/>
        </w:rPr>
      </w:pPr>
      <w:r>
        <w:rPr>
          <w:rFonts w:hint="default" w:ascii="宋体" w:hAnsi="宋体" w:eastAsia="宋体"/>
          <w:color w:val="auto"/>
          <w:sz w:val="21"/>
          <w:highlight w:val="none"/>
        </w:rPr>
        <w:t>磋商报价得分=(磋商基准价／最终磋商报价)×</w:t>
      </w:r>
      <w:r>
        <w:rPr>
          <w:rFonts w:hint="eastAsia" w:ascii="宋体" w:hAnsi="宋体" w:eastAsia="宋体"/>
          <w:color w:val="auto"/>
          <w:sz w:val="21"/>
          <w:highlight w:val="none"/>
          <w:lang w:val="en-US" w:eastAsia="zh-CN"/>
        </w:rPr>
        <w:t>40</w:t>
      </w:r>
      <w:r>
        <w:rPr>
          <w:rFonts w:hint="default" w:ascii="宋体" w:hAnsi="宋体" w:eastAsia="宋体"/>
          <w:color w:val="auto"/>
          <w:sz w:val="21"/>
          <w:highlight w:val="none"/>
        </w:rPr>
        <w:t>%×100 。</w:t>
      </w:r>
    </w:p>
    <w:p>
      <w:pPr>
        <w:keepNext w:val="0"/>
        <w:keepLines w:val="0"/>
        <w:pageBreakBefore w:val="0"/>
        <w:widowControl w:val="0"/>
        <w:kinsoku/>
        <w:wordWrap/>
        <w:overflowPunct/>
        <w:topLinePunct w:val="0"/>
        <w:bidi w:val="0"/>
        <w:snapToGrid w:val="0"/>
        <w:spacing w:beforeLines="0" w:afterLines="0" w:line="350" w:lineRule="exact"/>
        <w:ind w:firstLine="420" w:firstLineChars="200"/>
        <w:textAlignment w:val="auto"/>
        <w:rPr>
          <w:rFonts w:hint="default" w:ascii="宋体" w:hAnsi="宋体" w:eastAsia="宋体"/>
          <w:color w:val="auto"/>
          <w:sz w:val="21"/>
          <w:highlight w:val="none"/>
        </w:rPr>
      </w:pPr>
      <w:r>
        <w:rPr>
          <w:rFonts w:hint="default" w:ascii="宋体" w:hAnsi="宋体" w:eastAsia="宋体"/>
          <w:color w:val="auto"/>
          <w:sz w:val="21"/>
          <w:highlight w:val="none"/>
        </w:rPr>
        <w:t>注：评分过程中采用四舍五入法，并保留小数2位（以政采云系统计算为准）。</w:t>
      </w:r>
    </w:p>
    <w:p>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highlight w:val="none"/>
        </w:rPr>
      </w:pPr>
      <w:r>
        <w:rPr>
          <w:rFonts w:hint="default" w:ascii="宋体" w:hAnsi="宋体" w:eastAsia="宋体"/>
          <w:color w:val="auto"/>
          <w:sz w:val="21"/>
          <w:highlight w:val="none"/>
        </w:rPr>
        <w:t>三、在最大限度地满足磋商文件实质性要求前提下，磋商小组按照磋商文件中规定的各项因素进行综合评审后，以评审总得分最高的供应商为成交候选供应商。</w:t>
      </w:r>
    </w:p>
    <w:p>
      <w:pPr>
        <w:keepNext w:val="0"/>
        <w:keepLines w:val="0"/>
        <w:pageBreakBefore w:val="0"/>
        <w:widowControl w:val="0"/>
        <w:kinsoku/>
        <w:wordWrap/>
        <w:overflowPunct/>
        <w:topLinePunct w:val="0"/>
        <w:autoSpaceDE w:val="0"/>
        <w:autoSpaceDN w:val="0"/>
        <w:bidi w:val="0"/>
        <w:adjustRightInd w:val="0"/>
        <w:snapToGrid w:val="0"/>
        <w:spacing w:beforeLines="0" w:afterLines="0" w:line="350" w:lineRule="exact"/>
        <w:ind w:firstLine="315" w:firstLineChars="150"/>
        <w:textAlignment w:val="auto"/>
        <w:rPr>
          <w:rFonts w:hint="default"/>
          <w:color w:val="auto"/>
          <w:sz w:val="36"/>
          <w:highlight w:val="none"/>
        </w:rPr>
      </w:pPr>
      <w:r>
        <w:rPr>
          <w:rFonts w:hint="default" w:ascii="宋体" w:hAnsi="宋体" w:eastAsia="宋体"/>
          <w:color w:val="auto"/>
          <w:sz w:val="21"/>
          <w:highlight w:val="none"/>
        </w:rPr>
        <w:t xml:space="preserve">四、按评审后综合得分由高到低顺序排列。综合得分相同的，按磋商报价由低到高顺序排列；综合得分且磋商报价相同的，按技术分得分由高到低顺序排列。排名第一的供应商为第一中标候选人，排名第二的供应商为第二中标候选人，并以此类推（如有效供应商超过三家，原则上推荐三家）。    </w:t>
      </w:r>
    </w:p>
    <w:p>
      <w:pPr>
        <w:keepNext w:val="0"/>
        <w:keepLines w:val="0"/>
        <w:pageBreakBefore w:val="0"/>
        <w:widowControl w:val="0"/>
        <w:kinsoku/>
        <w:wordWrap/>
        <w:overflowPunct/>
        <w:topLinePunct w:val="0"/>
        <w:autoSpaceDE w:val="0"/>
        <w:autoSpaceDN w:val="0"/>
        <w:bidi w:val="0"/>
        <w:adjustRightInd w:val="0"/>
        <w:snapToGrid w:val="0"/>
        <w:spacing w:line="350" w:lineRule="exact"/>
        <w:ind w:firstLine="315" w:firstLineChars="150"/>
        <w:textAlignment w:val="auto"/>
        <w:rPr>
          <w:rFonts w:hint="eastAsia"/>
          <w:color w:val="auto"/>
          <w:highlight w:val="none"/>
        </w:rPr>
      </w:pPr>
      <w:r>
        <w:rPr>
          <w:rFonts w:hint="eastAsia" w:ascii="宋体" w:hAnsi="宋体" w:eastAsia="宋体" w:cs="宋体"/>
          <w:color w:val="auto"/>
          <w:sz w:val="21"/>
          <w:szCs w:val="21"/>
          <w:highlight w:val="none"/>
        </w:rPr>
        <w:t>五、本次评分具体分值细化条款如下表:</w:t>
      </w:r>
    </w:p>
    <w:bookmarkEnd w:id="86"/>
    <w:tbl>
      <w:tblPr>
        <w:tblStyle w:val="24"/>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30"/>
        <w:gridCol w:w="6276"/>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73"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highlight w:val="none"/>
              </w:rPr>
            </w:pPr>
            <w:bookmarkStart w:id="87" w:name="_Toc306901461"/>
            <w:r>
              <w:rPr>
                <w:rFonts w:hint="eastAsia" w:ascii="宋体" w:hAnsi="宋体" w:eastAsia="宋体" w:cs="宋体"/>
                <w:b/>
                <w:bCs/>
                <w:color w:val="auto"/>
                <w:sz w:val="21"/>
                <w:szCs w:val="21"/>
                <w:highlight w:val="none"/>
              </w:rPr>
              <w:t>序号</w:t>
            </w:r>
          </w:p>
        </w:tc>
        <w:tc>
          <w:tcPr>
            <w:tcW w:w="1730" w:type="dxa"/>
            <w:vAlign w:val="center"/>
          </w:tcPr>
          <w:p>
            <w:pPr>
              <w:pStyle w:val="18"/>
              <w:keepNext w:val="0"/>
              <w:keepLines w:val="0"/>
              <w:suppressLineNumbers w:val="0"/>
              <w:spacing w:before="0" w:beforeAutospacing="0" w:after="0" w:afterAutospacing="0"/>
              <w:ind w:left="0" w:leftChars="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6276" w:type="dxa"/>
            <w:vAlign w:val="center"/>
          </w:tcPr>
          <w:p>
            <w:pPr>
              <w:pStyle w:val="18"/>
              <w:keepNext w:val="0"/>
              <w:keepLines w:val="0"/>
              <w:suppressLineNumbers w:val="0"/>
              <w:spacing w:before="0" w:beforeAutospacing="0" w:after="0" w:afterAutospacing="0"/>
              <w:ind w:left="720" w:right="0" w:firstLine="482"/>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119" w:type="dxa"/>
            <w:vAlign w:val="center"/>
          </w:tcPr>
          <w:p>
            <w:pPr>
              <w:pStyle w:val="18"/>
              <w:keepNext w:val="0"/>
              <w:keepLines w:val="0"/>
              <w:suppressLineNumbers w:val="0"/>
              <w:spacing w:before="0" w:beforeAutospacing="0" w:after="0" w:afterAutospacing="0"/>
              <w:ind w:left="0" w:leftChars="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8779" w:type="dxa"/>
            <w:gridSpan w:val="3"/>
            <w:vAlign w:val="center"/>
          </w:tcPr>
          <w:p>
            <w:pPr>
              <w:pStyle w:val="18"/>
              <w:keepNext w:val="0"/>
              <w:keepLines w:val="0"/>
              <w:suppressLineNumbers w:val="0"/>
              <w:spacing w:before="0" w:beforeAutospacing="0" w:afterAutospacing="0"/>
              <w:ind w:left="720" w:right="0"/>
              <w:jc w:val="center"/>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bCs/>
                <w:color w:val="auto"/>
                <w:sz w:val="21"/>
                <w:szCs w:val="21"/>
                <w:highlight w:val="none"/>
              </w:rPr>
              <w:t>商务分</w:t>
            </w:r>
          </w:p>
        </w:tc>
        <w:tc>
          <w:tcPr>
            <w:tcW w:w="1119" w:type="dxa"/>
            <w:vAlign w:val="center"/>
          </w:tcPr>
          <w:p>
            <w:pPr>
              <w:pStyle w:val="18"/>
              <w:keepNext w:val="0"/>
              <w:keepLines w:val="0"/>
              <w:suppressLineNumbers w:val="0"/>
              <w:spacing w:before="0" w:beforeAutospacing="0" w:afterAutospacing="0"/>
              <w:ind w:left="0" w:leftChars="0" w:right="0"/>
              <w:jc w:val="center"/>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773"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30" w:type="dxa"/>
            <w:vAlign w:val="center"/>
          </w:tcPr>
          <w:p>
            <w:pPr>
              <w:pStyle w:val="18"/>
              <w:keepNext w:val="0"/>
              <w:keepLines w:val="0"/>
              <w:suppressLineNumbers w:val="0"/>
              <w:spacing w:before="0" w:beforeAutospacing="0" w:afterAutospacing="0"/>
              <w:ind w:left="0" w:leftChars="0" w:right="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标书质量</w:t>
            </w:r>
          </w:p>
        </w:tc>
        <w:tc>
          <w:tcPr>
            <w:tcW w:w="6276" w:type="dxa"/>
            <w:vAlign w:val="center"/>
          </w:tcPr>
          <w:p>
            <w:pPr>
              <w:keepNext w:val="0"/>
              <w:keepLines w:val="0"/>
              <w:suppressLineNumbers w:val="0"/>
              <w:spacing w:before="0" w:beforeAutospacing="0" w:after="0" w:afterAutospacing="0"/>
              <w:ind w:left="0" w:right="0"/>
              <w:rPr>
                <w:rFonts w:hint="default" w:ascii="宋体" w:hAnsi="宋体" w:eastAsia="宋体" w:cs="宋体"/>
                <w:b/>
                <w:color w:val="auto"/>
                <w:sz w:val="21"/>
                <w:szCs w:val="21"/>
                <w:highlight w:val="none"/>
              </w:rPr>
            </w:pPr>
            <w:r>
              <w:rPr>
                <w:rFonts w:hint="eastAsia" w:ascii="宋体" w:hAnsi="宋体"/>
                <w:color w:val="auto"/>
                <w:sz w:val="21"/>
                <w:szCs w:val="21"/>
                <w:highlight w:val="none"/>
              </w:rPr>
              <w:t>根据磋商响应文件编制是否完整、电子磋商响应文件关联点设置是否定位准确、磋商响应文件内容简洁明确程度及针对性等情况酌情评分，最高得2分；磋商响应文件有关内容前后矛盾、与采购文件要求不一致等，评审小组允许且需要通过询标等程序进行澄清的，该项不得分。</w:t>
            </w:r>
          </w:p>
        </w:tc>
        <w:tc>
          <w:tcPr>
            <w:tcW w:w="1119" w:type="dxa"/>
            <w:vAlign w:val="center"/>
          </w:tcPr>
          <w:p>
            <w:pPr>
              <w:pStyle w:val="18"/>
              <w:keepNext w:val="0"/>
              <w:keepLines w:val="0"/>
              <w:suppressLineNumbers w:val="0"/>
              <w:spacing w:before="0" w:beforeAutospacing="0" w:afterAutospacing="0"/>
              <w:ind w:left="0" w:leftChars="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773" w:type="dxa"/>
            <w:vMerge w:val="restart"/>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30" w:type="dxa"/>
            <w:vMerge w:val="restart"/>
            <w:vAlign w:val="center"/>
          </w:tcPr>
          <w:p>
            <w:pPr>
              <w:pStyle w:val="18"/>
              <w:keepNext w:val="0"/>
              <w:keepLines w:val="0"/>
              <w:suppressLineNumbers w:val="0"/>
              <w:spacing w:before="0" w:beforeAutospacing="0" w:afterAutospacing="0"/>
              <w:ind w:left="0" w:leftChars="0" w:right="0" w:firstLine="630" w:firstLineChars="30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6276" w:type="dxa"/>
            <w:vAlign w:val="center"/>
          </w:tcPr>
          <w:p>
            <w:pPr>
              <w:keepNext w:val="0"/>
              <w:keepLines w:val="0"/>
              <w:suppressLineNumbers w:val="0"/>
              <w:spacing w:before="0" w:beforeAutospacing="0" w:after="0" w:afterAutospacing="0"/>
              <w:ind w:left="0" w:right="0"/>
              <w:rPr>
                <w:rFonts w:hint="default" w:ascii="宋体" w:hAnsi="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color w:val="auto"/>
                <w:sz w:val="21"/>
                <w:szCs w:val="21"/>
                <w:highlight w:val="none"/>
              </w:rPr>
              <w:t>自202</w:t>
            </w:r>
            <w:r>
              <w:rPr>
                <w:rFonts w:hint="eastAsia" w:ascii="宋体" w:hAnsi="宋体" w:eastAsiaTheme="minorEastAsia"/>
                <w:color w:val="auto"/>
                <w:sz w:val="21"/>
                <w:szCs w:val="21"/>
                <w:highlight w:val="none"/>
              </w:rPr>
              <w:t>1</w:t>
            </w:r>
            <w:r>
              <w:rPr>
                <w:rFonts w:hint="eastAsia" w:ascii="宋体" w:hAnsi="宋体"/>
                <w:color w:val="auto"/>
                <w:sz w:val="21"/>
                <w:szCs w:val="21"/>
                <w:highlight w:val="none"/>
              </w:rPr>
              <w:t>年</w:t>
            </w:r>
            <w:r>
              <w:rPr>
                <w:rFonts w:hint="eastAsia" w:ascii="宋体" w:hAnsi="宋体" w:eastAsiaTheme="minorEastAsia"/>
                <w:color w:val="auto"/>
                <w:sz w:val="21"/>
                <w:szCs w:val="21"/>
                <w:highlight w:val="none"/>
              </w:rPr>
              <w:t>1</w:t>
            </w:r>
            <w:r>
              <w:rPr>
                <w:rFonts w:hint="eastAsia" w:ascii="宋体" w:hAnsi="宋体"/>
                <w:color w:val="auto"/>
                <w:sz w:val="21"/>
                <w:szCs w:val="21"/>
                <w:highlight w:val="none"/>
              </w:rPr>
              <w:t>月1日（以合同签订时间为准）以来，承担过类似项目施工业绩的，每项得1分，最高得</w:t>
            </w:r>
            <w:r>
              <w:rPr>
                <w:rFonts w:hint="eastAsia" w:ascii="宋体" w:hAnsi="宋体" w:eastAsiaTheme="minorEastAsia"/>
                <w:color w:val="auto"/>
                <w:sz w:val="21"/>
                <w:szCs w:val="21"/>
                <w:highlight w:val="none"/>
              </w:rPr>
              <w:t>1</w:t>
            </w:r>
            <w:r>
              <w:rPr>
                <w:rFonts w:hint="eastAsia" w:ascii="宋体" w:hAnsi="宋体"/>
                <w:color w:val="auto"/>
                <w:sz w:val="21"/>
                <w:szCs w:val="21"/>
                <w:highlight w:val="none"/>
              </w:rPr>
              <w:t>分。</w:t>
            </w:r>
          </w:p>
          <w:p>
            <w:pPr>
              <w:keepNext w:val="0"/>
              <w:keepLines w:val="0"/>
              <w:suppressLineNumbers w:val="0"/>
              <w:spacing w:before="0" w:beforeAutospacing="0" w:after="0" w:afterAutospacing="0"/>
              <w:ind w:left="0" w:right="0"/>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val="0"/>
                <w:color w:val="auto"/>
                <w:kern w:val="2"/>
                <w:sz w:val="21"/>
                <w:szCs w:val="21"/>
                <w:highlight w:val="none"/>
                <w:lang w:val="en-US" w:eastAsia="zh-CN" w:bidi="ar-SA"/>
              </w:rPr>
              <w:t>须提供的资料有：①合同（只需提供首页、清晰表明项目内容的页以及盖章页）；②提供中标通知书（必须有招标监管机构或项目的招标单位盖章）；③竣工验收记录（或交工验收证书或竣工验收证书），上述①②③项的资料扫描件或复印件或打印件或网页截图须编入商务与技术标中，三者缺一不可，否则不得分。</w:t>
            </w:r>
          </w:p>
        </w:tc>
        <w:tc>
          <w:tcPr>
            <w:tcW w:w="1119" w:type="dxa"/>
            <w:vAlign w:val="center"/>
          </w:tcPr>
          <w:p>
            <w:pPr>
              <w:pStyle w:val="18"/>
              <w:keepNext w:val="0"/>
              <w:keepLines w:val="0"/>
              <w:suppressLineNumbers w:val="0"/>
              <w:spacing w:before="0" w:beforeAutospacing="0" w:afterAutospacing="0"/>
              <w:ind w:left="0" w:leftChars="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773" w:type="dxa"/>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730" w:type="dxa"/>
            <w:vMerge w:val="continue"/>
            <w:vAlign w:val="center"/>
          </w:tcPr>
          <w:p>
            <w:pPr>
              <w:pStyle w:val="18"/>
              <w:keepNext w:val="0"/>
              <w:keepLines w:val="0"/>
              <w:suppressLineNumbers w:val="0"/>
              <w:spacing w:before="0" w:beforeAutospacing="0" w:afterAutospacing="0"/>
              <w:ind w:left="0" w:leftChars="0" w:right="0" w:firstLine="420" w:firstLineChars="200"/>
              <w:jc w:val="left"/>
              <w:rPr>
                <w:rFonts w:hint="default" w:ascii="宋体" w:hAnsi="宋体" w:cs="宋体"/>
                <w:color w:val="auto"/>
                <w:sz w:val="21"/>
                <w:szCs w:val="21"/>
                <w:highlight w:val="none"/>
              </w:rPr>
            </w:pPr>
          </w:p>
        </w:tc>
        <w:tc>
          <w:tcPr>
            <w:tcW w:w="6276" w:type="dxa"/>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供应商拟派项目经理自2021年1月1日</w:t>
            </w:r>
            <w:r>
              <w:rPr>
                <w:rFonts w:hint="eastAsia" w:ascii="宋体" w:hAnsi="宋体"/>
                <w:color w:val="auto"/>
                <w:sz w:val="21"/>
                <w:szCs w:val="21"/>
                <w:highlight w:val="none"/>
              </w:rPr>
              <w:t>（以合同签订时间为准）</w:t>
            </w:r>
            <w:r>
              <w:rPr>
                <w:rFonts w:hint="eastAsia" w:ascii="宋体" w:hAnsi="宋体" w:eastAsia="宋体" w:cs="宋体"/>
                <w:color w:val="auto"/>
                <w:sz w:val="21"/>
                <w:szCs w:val="21"/>
                <w:highlight w:val="none"/>
              </w:rPr>
              <w:t>以来,完成过</w:t>
            </w:r>
            <w:r>
              <w:rPr>
                <w:rFonts w:hint="eastAsia" w:ascii="宋体" w:hAnsi="宋体"/>
                <w:color w:val="auto"/>
                <w:sz w:val="21"/>
                <w:szCs w:val="21"/>
                <w:highlight w:val="none"/>
              </w:rPr>
              <w:t>类似项目</w:t>
            </w:r>
            <w:r>
              <w:rPr>
                <w:rFonts w:hint="eastAsia" w:ascii="宋体" w:hAnsi="宋体" w:eastAsia="宋体" w:cs="宋体"/>
                <w:color w:val="auto"/>
                <w:sz w:val="21"/>
                <w:szCs w:val="21"/>
                <w:highlight w:val="none"/>
              </w:rPr>
              <w:t>施工业绩，每项得1分，最高得1分。</w:t>
            </w:r>
          </w:p>
          <w:p>
            <w:pPr>
              <w:keepNext w:val="0"/>
              <w:keepLines w:val="0"/>
              <w:suppressLineNumbers w:val="0"/>
              <w:spacing w:before="0" w:beforeAutospacing="0" w:after="0" w:afterAutospacing="0"/>
              <w:ind w:left="0" w:right="0"/>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须提供的资料有：①合同（只需提供首页、清晰表明项目内容的页以及盖章页）；②提供中标通知书（必须有招标监管机构或项目的招标单位盖章）；③竣工验收记录（或交工验收证书或竣工验收证书），上述①②③项的资料扫描件或复印件或打印件或网页截图须编入商务与技术标中，三者缺一不可，否则不得分。</w:t>
            </w:r>
          </w:p>
        </w:tc>
        <w:tc>
          <w:tcPr>
            <w:tcW w:w="1119" w:type="dxa"/>
            <w:vAlign w:val="center"/>
          </w:tcPr>
          <w:p>
            <w:pPr>
              <w:pStyle w:val="18"/>
              <w:keepNext w:val="0"/>
              <w:keepLines w:val="0"/>
              <w:suppressLineNumbers w:val="0"/>
              <w:spacing w:before="0" w:beforeAutospacing="0" w:afterAutospacing="0"/>
              <w:ind w:left="0" w:leftChars="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773" w:type="dxa"/>
            <w:vMerge w:val="restart"/>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30" w:type="dxa"/>
            <w:vMerge w:val="restart"/>
            <w:vAlign w:val="center"/>
          </w:tcPr>
          <w:p>
            <w:pPr>
              <w:pStyle w:val="18"/>
              <w:keepNext w:val="0"/>
              <w:keepLines w:val="0"/>
              <w:suppressLineNumbers w:val="0"/>
              <w:spacing w:before="0" w:beforeAutospacing="0" w:afterAutospacing="0"/>
              <w:ind w:left="0" w:leftChars="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项目组人员实力</w:t>
            </w:r>
          </w:p>
        </w:tc>
        <w:tc>
          <w:tcPr>
            <w:tcW w:w="627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项目组的人员除《项目组人员配备情况表》表中项目经理、项目技术负责人、安全负责人外，另行配备1名试验员的，</w:t>
            </w:r>
            <w:r>
              <w:rPr>
                <w:rFonts w:hint="eastAsia" w:cs="Times New Roman"/>
                <w:b w:val="0"/>
                <w:bCs/>
                <w:color w:val="auto"/>
                <w:kern w:val="2"/>
                <w:sz w:val="21"/>
                <w:szCs w:val="21"/>
                <w:highlight w:val="none"/>
                <w:lang w:val="en-US" w:eastAsia="zh-CN" w:bidi="ar-SA"/>
              </w:rPr>
              <w:t>得2分，</w:t>
            </w:r>
            <w:r>
              <w:rPr>
                <w:rFonts w:hint="default" w:ascii="Times New Roman" w:hAnsi="Times New Roman" w:eastAsia="宋体" w:cs="Times New Roman"/>
                <w:b w:val="0"/>
                <w:bCs/>
                <w:color w:val="auto"/>
                <w:kern w:val="2"/>
                <w:sz w:val="21"/>
                <w:szCs w:val="21"/>
                <w:highlight w:val="none"/>
                <w:lang w:val="en-US" w:eastAsia="zh-CN" w:bidi="ar-SA"/>
              </w:rPr>
              <w:t>该项</w:t>
            </w:r>
            <w:r>
              <w:rPr>
                <w:rFonts w:hint="eastAsia" w:cs="Times New Roman"/>
                <w:b w:val="0"/>
                <w:bCs/>
                <w:color w:val="auto"/>
                <w:kern w:val="2"/>
                <w:sz w:val="21"/>
                <w:szCs w:val="21"/>
                <w:highlight w:val="none"/>
                <w:lang w:val="en-US" w:eastAsia="zh-CN" w:bidi="ar-SA"/>
              </w:rPr>
              <w:t>最高得2分</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eastAsia="宋体" w:cs="宋体"/>
                <w:b/>
                <w:bCs w:val="0"/>
                <w:color w:val="auto"/>
                <w:kern w:val="2"/>
                <w:sz w:val="21"/>
                <w:szCs w:val="21"/>
                <w:highlight w:val="none"/>
                <w:lang w:val="en-US" w:eastAsia="zh-CN" w:bidi="ar-SA"/>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firstLine="0" w:firstLineChars="0"/>
              <w:jc w:val="both"/>
              <w:textAlignment w:val="auto"/>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注：试验员须提供岗位证书或培训证书或其他相关证明材料复印件及投标截止时间前3个月内任意一个月的在本单位社保缴纳证明复印件编入</w:t>
            </w:r>
            <w:r>
              <w:rPr>
                <w:rFonts w:hint="eastAsia" w:ascii="宋体" w:hAnsi="宋体" w:eastAsia="宋体" w:cs="宋体"/>
                <w:b/>
                <w:color w:val="auto"/>
                <w:kern w:val="0"/>
                <w:sz w:val="21"/>
                <w:szCs w:val="21"/>
                <w:highlight w:val="none"/>
                <w:lang w:val="zh-CN"/>
              </w:rPr>
              <w:t>商务与技术文件中</w:t>
            </w:r>
            <w:r>
              <w:rPr>
                <w:rFonts w:hint="eastAsia" w:ascii="宋体" w:hAnsi="宋体" w:eastAsia="宋体" w:cs="宋体"/>
                <w:b/>
                <w:bCs w:val="0"/>
                <w:color w:val="auto"/>
                <w:kern w:val="2"/>
                <w:sz w:val="21"/>
                <w:szCs w:val="21"/>
                <w:highlight w:val="none"/>
                <w:lang w:val="en-US" w:eastAsia="zh-CN" w:bidi="ar-SA"/>
              </w:rPr>
              <w:t>，否则不得分。</w:t>
            </w:r>
          </w:p>
        </w:tc>
        <w:tc>
          <w:tcPr>
            <w:tcW w:w="1119" w:type="dxa"/>
            <w:vAlign w:val="center"/>
          </w:tcPr>
          <w:p>
            <w:pPr>
              <w:pStyle w:val="18"/>
              <w:keepNext w:val="0"/>
              <w:keepLines w:val="0"/>
              <w:pageBreakBefore w:val="0"/>
              <w:suppressLineNumbers w:val="0"/>
              <w:kinsoku/>
              <w:wordWrap/>
              <w:overflowPunct/>
              <w:topLinePunct w:val="0"/>
              <w:autoSpaceDE/>
              <w:autoSpaceDN/>
              <w:bidi w:val="0"/>
              <w:adjustRightInd/>
              <w:snapToGrid/>
              <w:spacing w:before="0" w:beforeAutospacing="0" w:afterAutospacing="0" w:line="340" w:lineRule="exact"/>
              <w:ind w:left="0" w:leftChars="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773"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730" w:type="dxa"/>
            <w:vMerge w:val="continue"/>
            <w:vAlign w:val="center"/>
          </w:tcPr>
          <w:p>
            <w:pPr>
              <w:pStyle w:val="18"/>
              <w:keepNext w:val="0"/>
              <w:keepLines w:val="0"/>
              <w:suppressLineNumbers w:val="0"/>
              <w:spacing w:before="0" w:beforeAutospacing="0" w:afterAutospacing="0"/>
              <w:ind w:left="0" w:leftChars="0" w:right="0"/>
              <w:jc w:val="center"/>
              <w:rPr>
                <w:rFonts w:hint="eastAsia" w:ascii="宋体" w:hAnsi="宋体" w:cs="宋体"/>
                <w:color w:val="auto"/>
                <w:sz w:val="21"/>
                <w:szCs w:val="21"/>
                <w:highlight w:val="none"/>
              </w:rPr>
            </w:pPr>
          </w:p>
        </w:tc>
        <w:tc>
          <w:tcPr>
            <w:tcW w:w="6276" w:type="dxa"/>
            <w:vAlign w:val="center"/>
          </w:tcPr>
          <w:p>
            <w:pPr>
              <w:pStyle w:val="35"/>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val="en-US"/>
              </w:rPr>
              <w:t>具有</w:t>
            </w:r>
            <w:r>
              <w:rPr>
                <w:rFonts w:hint="eastAsia" w:ascii="Times New Roman" w:hAnsi="Times New Roman" w:eastAsia="宋体"/>
                <w:color w:val="auto"/>
                <w:sz w:val="21"/>
                <w:szCs w:val="20"/>
                <w:highlight w:val="none"/>
                <w:lang w:val="en-US"/>
              </w:rPr>
              <w:t>公路工程相关专业</w:t>
            </w:r>
            <w:r>
              <w:rPr>
                <w:rFonts w:hint="eastAsia" w:ascii="Times New Roman" w:hAnsi="Times New Roman" w:eastAsia="宋体"/>
                <w:color w:val="auto"/>
                <w:sz w:val="21"/>
                <w:szCs w:val="20"/>
                <w:highlight w:val="none"/>
                <w:lang w:val="en-US" w:eastAsia="zh-CN"/>
              </w:rPr>
              <w:t>高级</w:t>
            </w:r>
            <w:r>
              <w:rPr>
                <w:rFonts w:hint="eastAsia" w:ascii="宋体" w:hAnsi="宋体" w:eastAsia="宋体" w:cs="宋体"/>
                <w:color w:val="auto"/>
                <w:sz w:val="21"/>
                <w:szCs w:val="21"/>
                <w:highlight w:val="none"/>
                <w:lang w:val="en-US"/>
              </w:rPr>
              <w:t>工程师及以上职称得3分。</w:t>
            </w:r>
          </w:p>
          <w:p>
            <w:pPr>
              <w:pStyle w:val="35"/>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rPr>
              <w:t>注：</w:t>
            </w:r>
            <w:r>
              <w:rPr>
                <w:rFonts w:hint="eastAsia" w:ascii="宋体" w:hAnsi="宋体" w:eastAsia="宋体" w:cs="宋体"/>
                <w:b/>
                <w:bCs w:val="0"/>
                <w:color w:val="auto"/>
                <w:kern w:val="2"/>
                <w:sz w:val="21"/>
                <w:szCs w:val="21"/>
                <w:highlight w:val="none"/>
              </w:rPr>
              <w:t>提供</w:t>
            </w:r>
            <w:r>
              <w:rPr>
                <w:rFonts w:hint="eastAsia" w:ascii="宋体" w:hAnsi="宋体" w:eastAsia="宋体" w:cs="宋体"/>
                <w:b/>
                <w:bCs w:val="0"/>
                <w:color w:val="auto"/>
                <w:kern w:val="2"/>
                <w:sz w:val="21"/>
                <w:szCs w:val="21"/>
                <w:highlight w:val="none"/>
                <w:lang w:val="en-US" w:eastAsia="zh-CN"/>
              </w:rPr>
              <w:t>职称</w:t>
            </w:r>
            <w:r>
              <w:rPr>
                <w:rFonts w:hint="eastAsia" w:ascii="宋体" w:hAnsi="宋体" w:eastAsia="宋体" w:cs="宋体"/>
                <w:b/>
                <w:bCs w:val="0"/>
                <w:color w:val="auto"/>
                <w:kern w:val="2"/>
                <w:sz w:val="21"/>
                <w:szCs w:val="21"/>
                <w:highlight w:val="none"/>
              </w:rPr>
              <w:t>证书复印件</w:t>
            </w:r>
            <w:r>
              <w:rPr>
                <w:rFonts w:hint="eastAsia" w:ascii="宋体" w:hAnsi="宋体" w:eastAsia="宋体" w:cs="宋体"/>
                <w:b/>
                <w:bCs w:val="0"/>
                <w:color w:val="auto"/>
                <w:kern w:val="2"/>
                <w:sz w:val="21"/>
                <w:szCs w:val="21"/>
                <w:highlight w:val="none"/>
                <w:lang w:val="en-US" w:eastAsia="zh-CN" w:bidi="ar-SA"/>
              </w:rPr>
              <w:t>及投标截止时间前3个月内任意一个月的在本单位社保缴纳证明</w:t>
            </w:r>
            <w:r>
              <w:rPr>
                <w:rFonts w:hint="eastAsia" w:ascii="宋体" w:hAnsi="宋体" w:eastAsia="宋体" w:cs="宋体"/>
                <w:b/>
                <w:color w:val="auto"/>
                <w:sz w:val="21"/>
                <w:szCs w:val="21"/>
                <w:highlight w:val="none"/>
              </w:rPr>
              <w:t>复印件</w:t>
            </w:r>
            <w:r>
              <w:rPr>
                <w:rFonts w:hint="eastAsia" w:ascii="宋体" w:hAnsi="宋体" w:eastAsia="宋体" w:cs="宋体"/>
                <w:b/>
                <w:bCs/>
                <w:color w:val="auto"/>
                <w:sz w:val="21"/>
                <w:szCs w:val="21"/>
                <w:highlight w:val="none"/>
              </w:rPr>
              <w:t>编入商务与技术标，否则不得分。</w:t>
            </w:r>
          </w:p>
        </w:tc>
        <w:tc>
          <w:tcPr>
            <w:tcW w:w="1119" w:type="dxa"/>
            <w:vAlign w:val="center"/>
          </w:tcPr>
          <w:p>
            <w:pPr>
              <w:pStyle w:val="18"/>
              <w:keepNext w:val="0"/>
              <w:keepLines w:val="0"/>
              <w:suppressLineNumbers w:val="0"/>
              <w:spacing w:before="0" w:beforeAutospacing="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773" w:type="dxa"/>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730" w:type="dxa"/>
            <w:vMerge w:val="continue"/>
            <w:vAlign w:val="center"/>
          </w:tcPr>
          <w:p>
            <w:pPr>
              <w:pStyle w:val="18"/>
              <w:keepNext w:val="0"/>
              <w:keepLines w:val="0"/>
              <w:suppressLineNumbers w:val="0"/>
              <w:spacing w:before="0" w:beforeAutospacing="0" w:afterAutospacing="0"/>
              <w:ind w:left="0" w:leftChars="0" w:right="0"/>
              <w:jc w:val="center"/>
              <w:rPr>
                <w:rFonts w:hint="default" w:ascii="宋体" w:hAnsi="宋体" w:cs="宋体"/>
                <w:color w:val="auto"/>
                <w:sz w:val="21"/>
                <w:szCs w:val="21"/>
                <w:highlight w:val="none"/>
              </w:rPr>
            </w:pPr>
          </w:p>
        </w:tc>
        <w:tc>
          <w:tcPr>
            <w:tcW w:w="6276" w:type="dxa"/>
            <w:vAlign w:val="center"/>
          </w:tcPr>
          <w:p>
            <w:pPr>
              <w:pStyle w:val="18"/>
              <w:keepNext w:val="0"/>
              <w:keepLines w:val="0"/>
              <w:suppressLineNumbers w:val="0"/>
              <w:spacing w:before="0" w:beforeAutospacing="0" w:after="0" w:afterAutospacing="0"/>
              <w:ind w:left="0" w:leftChars="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安全负责人具有</w:t>
            </w:r>
            <w:r>
              <w:rPr>
                <w:rFonts w:hint="eastAsia" w:ascii="Times New Roman" w:hAnsi="Times New Roman" w:eastAsia="宋体"/>
                <w:color w:val="auto"/>
                <w:sz w:val="21"/>
                <w:szCs w:val="20"/>
                <w:highlight w:val="none"/>
                <w:lang w:val="en-US"/>
              </w:rPr>
              <w:t>公路工程相关专业</w:t>
            </w:r>
            <w:r>
              <w:rPr>
                <w:rFonts w:hint="eastAsia" w:ascii="宋体" w:hAnsi="宋体" w:eastAsia="宋体" w:cs="宋体"/>
                <w:color w:val="auto"/>
                <w:sz w:val="21"/>
                <w:szCs w:val="21"/>
                <w:highlight w:val="none"/>
                <w:lang w:val="en-US"/>
              </w:rPr>
              <w:t>工程师及以上职称</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18"/>
              <w:keepNext w:val="0"/>
              <w:keepLines w:val="0"/>
              <w:suppressLineNumbers w:val="0"/>
              <w:spacing w:before="0" w:beforeAutospacing="0" w:after="0" w:afterAutospacing="0"/>
              <w:ind w:left="0" w:leftChars="0" w:right="0"/>
              <w:rPr>
                <w:rFonts w:hint="default"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val="0"/>
                <w:color w:val="auto"/>
                <w:kern w:val="2"/>
                <w:sz w:val="21"/>
                <w:szCs w:val="21"/>
                <w:highlight w:val="none"/>
              </w:rPr>
              <w:t>提供</w:t>
            </w:r>
            <w:r>
              <w:rPr>
                <w:rFonts w:hint="eastAsia" w:ascii="宋体" w:hAnsi="宋体" w:eastAsia="宋体" w:cs="宋体"/>
                <w:b/>
                <w:bCs w:val="0"/>
                <w:color w:val="auto"/>
                <w:kern w:val="2"/>
                <w:sz w:val="21"/>
                <w:szCs w:val="21"/>
                <w:highlight w:val="none"/>
                <w:lang w:val="en-US" w:eastAsia="zh-CN"/>
              </w:rPr>
              <w:t>职称</w:t>
            </w:r>
            <w:r>
              <w:rPr>
                <w:rFonts w:hint="eastAsia" w:ascii="宋体" w:hAnsi="宋体" w:eastAsia="宋体" w:cs="宋体"/>
                <w:b/>
                <w:bCs w:val="0"/>
                <w:color w:val="auto"/>
                <w:kern w:val="2"/>
                <w:sz w:val="21"/>
                <w:szCs w:val="21"/>
                <w:highlight w:val="none"/>
              </w:rPr>
              <w:t>证书复印件</w:t>
            </w:r>
            <w:r>
              <w:rPr>
                <w:rFonts w:hint="eastAsia" w:ascii="宋体" w:hAnsi="宋体" w:eastAsia="宋体" w:cs="宋体"/>
                <w:b/>
                <w:bCs w:val="0"/>
                <w:color w:val="auto"/>
                <w:kern w:val="2"/>
                <w:sz w:val="21"/>
                <w:szCs w:val="21"/>
                <w:highlight w:val="none"/>
                <w:lang w:val="en-US" w:eastAsia="zh-CN" w:bidi="ar-SA"/>
              </w:rPr>
              <w:t>及投标截止时间前3个月内任意一个月的在本单位社保缴纳证明</w:t>
            </w:r>
            <w:r>
              <w:rPr>
                <w:rFonts w:hint="eastAsia" w:ascii="宋体" w:hAnsi="宋体" w:eastAsia="宋体" w:cs="宋体"/>
                <w:b/>
                <w:color w:val="auto"/>
                <w:sz w:val="21"/>
                <w:szCs w:val="21"/>
                <w:highlight w:val="none"/>
              </w:rPr>
              <w:t>复印件</w:t>
            </w:r>
            <w:r>
              <w:rPr>
                <w:rFonts w:hint="eastAsia" w:ascii="宋体" w:hAnsi="宋体" w:eastAsia="宋体" w:cs="宋体"/>
                <w:b/>
                <w:bCs/>
                <w:color w:val="auto"/>
                <w:sz w:val="21"/>
                <w:szCs w:val="21"/>
                <w:highlight w:val="none"/>
              </w:rPr>
              <w:t>编入商务与技术标，否则不得分。</w:t>
            </w:r>
          </w:p>
        </w:tc>
        <w:tc>
          <w:tcPr>
            <w:tcW w:w="1119" w:type="dxa"/>
            <w:vAlign w:val="center"/>
          </w:tcPr>
          <w:p>
            <w:pPr>
              <w:pStyle w:val="18"/>
              <w:keepNext w:val="0"/>
              <w:keepLines w:val="0"/>
              <w:suppressLineNumbers w:val="0"/>
              <w:spacing w:before="0" w:beforeAutospacing="0" w:afterAutospacing="0"/>
              <w:ind w:left="0" w:leftChars="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773" w:type="dxa"/>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730" w:type="dxa"/>
            <w:vMerge w:val="continue"/>
            <w:vAlign w:val="center"/>
          </w:tcPr>
          <w:p>
            <w:pPr>
              <w:pStyle w:val="18"/>
              <w:keepNext w:val="0"/>
              <w:keepLines w:val="0"/>
              <w:suppressLineNumbers w:val="0"/>
              <w:spacing w:before="0" w:beforeAutospacing="0" w:afterAutospacing="0"/>
              <w:ind w:left="0" w:leftChars="0" w:right="0"/>
              <w:jc w:val="center"/>
              <w:rPr>
                <w:rFonts w:hint="default" w:ascii="宋体" w:hAnsi="宋体" w:cs="宋体"/>
                <w:color w:val="auto"/>
                <w:sz w:val="21"/>
                <w:szCs w:val="21"/>
                <w:highlight w:val="none"/>
              </w:rPr>
            </w:pPr>
          </w:p>
        </w:tc>
        <w:tc>
          <w:tcPr>
            <w:tcW w:w="6276" w:type="dxa"/>
            <w:vAlign w:val="center"/>
          </w:tcPr>
          <w:p>
            <w:pPr>
              <w:pStyle w:val="35"/>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项目组成员（</w:t>
            </w:r>
            <w:r>
              <w:rPr>
                <w:rFonts w:hint="eastAsia" w:ascii="宋体" w:hAnsi="宋体" w:eastAsia="宋体" w:cs="宋体"/>
                <w:color w:val="auto"/>
                <w:sz w:val="21"/>
                <w:szCs w:val="21"/>
                <w:highlight w:val="none"/>
                <w:lang w:eastAsia="zh-CN"/>
              </w:rPr>
              <w:t>项目经理、</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技术负责人、</w:t>
            </w:r>
            <w:r>
              <w:rPr>
                <w:rFonts w:hint="eastAsia" w:ascii="宋体" w:hAnsi="宋体" w:eastAsia="宋体" w:cs="宋体"/>
                <w:color w:val="auto"/>
                <w:sz w:val="21"/>
                <w:szCs w:val="21"/>
                <w:highlight w:val="none"/>
              </w:rPr>
              <w:t>安全负责人除外）具有</w:t>
            </w:r>
            <w:r>
              <w:rPr>
                <w:rFonts w:hint="eastAsia" w:ascii="Times New Roman" w:hAnsi="Times New Roman" w:eastAsia="宋体"/>
                <w:color w:val="auto"/>
                <w:sz w:val="21"/>
                <w:szCs w:val="20"/>
                <w:highlight w:val="none"/>
                <w:lang w:val="en-US"/>
              </w:rPr>
              <w:t>公路工程相关专业</w:t>
            </w:r>
            <w:r>
              <w:rPr>
                <w:rFonts w:hint="eastAsia" w:ascii="宋体" w:hAnsi="宋体" w:eastAsia="宋体" w:cs="宋体"/>
                <w:color w:val="auto"/>
                <w:sz w:val="21"/>
                <w:szCs w:val="21"/>
                <w:highlight w:val="none"/>
              </w:rPr>
              <w:t>工程师职称证书的，得</w:t>
            </w:r>
            <w:r>
              <w:rPr>
                <w:rFonts w:hint="eastAsia" w:ascii="宋体" w:hAnsi="宋体" w:eastAsia="宋体" w:cs="宋体"/>
                <w:color w:val="auto"/>
                <w:sz w:val="21"/>
                <w:szCs w:val="21"/>
                <w:highlight w:val="none"/>
                <w:lang w:val="en-US"/>
              </w:rPr>
              <w:t xml:space="preserve">2分，最高得4分。 </w:t>
            </w:r>
          </w:p>
          <w:p>
            <w:pPr>
              <w:pStyle w:val="35"/>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注：</w:t>
            </w:r>
            <w:r>
              <w:rPr>
                <w:rFonts w:hint="eastAsia" w:ascii="宋体" w:hAnsi="宋体" w:eastAsia="宋体" w:cs="宋体"/>
                <w:b/>
                <w:bCs w:val="0"/>
                <w:color w:val="auto"/>
                <w:kern w:val="2"/>
                <w:sz w:val="21"/>
                <w:szCs w:val="21"/>
                <w:highlight w:val="none"/>
              </w:rPr>
              <w:t>提供</w:t>
            </w:r>
            <w:r>
              <w:rPr>
                <w:rFonts w:hint="eastAsia" w:ascii="宋体" w:hAnsi="宋体" w:eastAsia="宋体" w:cs="宋体"/>
                <w:b/>
                <w:bCs w:val="0"/>
                <w:color w:val="auto"/>
                <w:kern w:val="2"/>
                <w:sz w:val="21"/>
                <w:szCs w:val="21"/>
                <w:highlight w:val="none"/>
                <w:lang w:val="en-US" w:eastAsia="zh-CN"/>
              </w:rPr>
              <w:t>职称</w:t>
            </w:r>
            <w:r>
              <w:rPr>
                <w:rFonts w:hint="eastAsia" w:ascii="宋体" w:hAnsi="宋体" w:eastAsia="宋体" w:cs="宋体"/>
                <w:b/>
                <w:bCs w:val="0"/>
                <w:color w:val="auto"/>
                <w:kern w:val="2"/>
                <w:sz w:val="21"/>
                <w:szCs w:val="21"/>
                <w:highlight w:val="none"/>
              </w:rPr>
              <w:t>证书复印件</w:t>
            </w:r>
            <w:r>
              <w:rPr>
                <w:rFonts w:hint="eastAsia" w:ascii="宋体" w:hAnsi="宋体" w:eastAsia="宋体" w:cs="宋体"/>
                <w:b/>
                <w:bCs w:val="0"/>
                <w:color w:val="auto"/>
                <w:kern w:val="2"/>
                <w:sz w:val="21"/>
                <w:szCs w:val="21"/>
                <w:highlight w:val="none"/>
                <w:lang w:val="en-US" w:eastAsia="zh-CN" w:bidi="ar-SA"/>
              </w:rPr>
              <w:t>及投标截止时间前3个月内任意一个月的在本单位社保缴纳证明</w:t>
            </w:r>
            <w:r>
              <w:rPr>
                <w:rFonts w:hint="eastAsia" w:ascii="宋体" w:hAnsi="宋体" w:eastAsia="宋体" w:cs="宋体"/>
                <w:b/>
                <w:color w:val="auto"/>
                <w:sz w:val="21"/>
                <w:szCs w:val="21"/>
                <w:highlight w:val="none"/>
              </w:rPr>
              <w:t>复印件</w:t>
            </w:r>
            <w:r>
              <w:rPr>
                <w:rFonts w:hint="eastAsia" w:ascii="宋体" w:hAnsi="宋体" w:eastAsia="宋体" w:cs="宋体"/>
                <w:b/>
                <w:bCs/>
                <w:color w:val="auto"/>
                <w:sz w:val="21"/>
                <w:szCs w:val="21"/>
                <w:highlight w:val="none"/>
              </w:rPr>
              <w:t>编入商务与技术标，否则不得分。</w:t>
            </w:r>
          </w:p>
        </w:tc>
        <w:tc>
          <w:tcPr>
            <w:tcW w:w="1119" w:type="dxa"/>
            <w:vAlign w:val="center"/>
          </w:tcPr>
          <w:p>
            <w:pPr>
              <w:pStyle w:val="18"/>
              <w:keepNext w:val="0"/>
              <w:keepLines w:val="0"/>
              <w:suppressLineNumbers w:val="0"/>
              <w:spacing w:before="0" w:beforeAutospacing="0" w:afterAutospacing="0"/>
              <w:ind w:left="0" w:leftChars="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77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30" w:type="dxa"/>
            <w:vAlign w:val="center"/>
          </w:tcPr>
          <w:p>
            <w:pPr>
              <w:pStyle w:val="18"/>
              <w:keepNext w:val="0"/>
              <w:keepLines w:val="0"/>
              <w:suppressLineNumbers w:val="0"/>
              <w:spacing w:before="0" w:beforeAutospacing="0" w:after="0" w:afterAutospacing="0" w:line="340" w:lineRule="exact"/>
              <w:ind w:left="0" w:leftChars="0" w:right="0"/>
              <w:jc w:val="center"/>
              <w:textAlignment w:val="baseline"/>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拟投入机械设备</w:t>
            </w:r>
          </w:p>
        </w:tc>
        <w:tc>
          <w:tcPr>
            <w:tcW w:w="6276" w:type="dxa"/>
            <w:vAlign w:val="center"/>
          </w:tcPr>
          <w:p>
            <w:pPr>
              <w:keepNext w:val="0"/>
              <w:keepLines w:val="0"/>
              <w:suppressLineNumbers w:val="0"/>
              <w:spacing w:before="0" w:beforeAutospacing="0" w:after="0" w:afterAutospacing="0" w:line="340" w:lineRule="exact"/>
              <w:ind w:left="0" w:right="0"/>
              <w:textAlignment w:val="baseline"/>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w:t>
            </w:r>
            <w:r>
              <w:rPr>
                <w:rFonts w:hint="eastAsia" w:ascii="宋体" w:hAnsi="宋体" w:eastAsia="宋体" w:cs="宋体"/>
                <w:color w:val="auto"/>
                <w:sz w:val="21"/>
                <w:szCs w:val="21"/>
                <w:highlight w:val="none"/>
                <w:lang w:eastAsia="zh-CN"/>
              </w:rPr>
              <w:t>摊铺机、胶轮压路机、光轮压路机、铣刨机</w:t>
            </w:r>
            <w:r>
              <w:rPr>
                <w:rFonts w:hint="eastAsia" w:ascii="宋体" w:hAnsi="宋体" w:eastAsia="宋体" w:cs="宋体"/>
                <w:color w:val="auto"/>
                <w:sz w:val="21"/>
                <w:szCs w:val="21"/>
                <w:highlight w:val="none"/>
              </w:rPr>
              <w:t>，上述设备每提供一项的得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最高得8分。同种设备</w:t>
            </w:r>
            <w:r>
              <w:rPr>
                <w:rFonts w:hint="eastAsia" w:ascii="宋体" w:hAnsi="宋体" w:eastAsia="宋体" w:cs="宋体"/>
                <w:color w:val="auto"/>
                <w:sz w:val="21"/>
                <w:szCs w:val="21"/>
                <w:highlight w:val="none"/>
              </w:rPr>
              <w:t>不重复计分。</w:t>
            </w:r>
          </w:p>
          <w:p>
            <w:pPr>
              <w:keepNext w:val="0"/>
              <w:keepLines w:val="0"/>
              <w:suppressLineNumbers w:val="0"/>
              <w:spacing w:before="0" w:beforeAutospacing="0" w:after="0" w:afterAutospacing="0" w:line="340" w:lineRule="exact"/>
              <w:ind w:left="0" w:right="0"/>
              <w:textAlignment w:val="baseline"/>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注：自有设备须提供有效的发票复印件，租赁或签订合作协议的须提供合同复印件及租赁方施工器械所有权的证明材料，否则不得分。</w:t>
            </w:r>
          </w:p>
        </w:tc>
        <w:tc>
          <w:tcPr>
            <w:tcW w:w="1119" w:type="dxa"/>
            <w:vAlign w:val="center"/>
          </w:tcPr>
          <w:p>
            <w:pPr>
              <w:keepNext w:val="0"/>
              <w:keepLines w:val="0"/>
              <w:suppressLineNumbers w:val="0"/>
              <w:spacing w:before="0" w:beforeAutospacing="0" w:after="12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77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30" w:type="dxa"/>
            <w:vAlign w:val="center"/>
          </w:tcPr>
          <w:p>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维修响应时间的承诺</w:t>
            </w:r>
          </w:p>
        </w:tc>
        <w:tc>
          <w:tcPr>
            <w:tcW w:w="6276" w:type="dxa"/>
            <w:vAlign w:val="center"/>
          </w:tcPr>
          <w:p>
            <w:pPr>
              <w:pStyle w:val="22"/>
              <w:keepNext w:val="0"/>
              <w:keepLines w:val="0"/>
              <w:suppressLineNumbers w:val="0"/>
              <w:adjustRightInd w:val="0"/>
              <w:snapToGrid w:val="0"/>
              <w:spacing w:before="0" w:beforeAutospacing="0" w:after="0" w:afterAutospacing="0" w:line="340" w:lineRule="exact"/>
              <w:ind w:left="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48小时＞响应时间≥24小时，得1分；</w:t>
            </w:r>
          </w:p>
          <w:p>
            <w:pPr>
              <w:pStyle w:val="22"/>
              <w:keepNext w:val="0"/>
              <w:keepLines w:val="0"/>
              <w:suppressLineNumbers w:val="0"/>
              <w:adjustRightInd w:val="0"/>
              <w:snapToGrid w:val="0"/>
              <w:spacing w:before="0" w:beforeAutospacing="0" w:after="0" w:afterAutospacing="0" w:line="340" w:lineRule="exact"/>
              <w:ind w:left="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24小时＞响应时间≥12小时，得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pPr>
              <w:pStyle w:val="22"/>
              <w:keepNext w:val="0"/>
              <w:keepLines w:val="0"/>
              <w:suppressLineNumbers w:val="0"/>
              <w:adjustRightInd w:val="0"/>
              <w:snapToGrid w:val="0"/>
              <w:spacing w:before="0" w:beforeAutospacing="0" w:after="0" w:afterAutospacing="0" w:line="340" w:lineRule="exact"/>
              <w:ind w:left="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响应时间＜12小时，得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pStyle w:val="17"/>
              <w:keepNext w:val="0"/>
              <w:keepLines w:val="0"/>
              <w:suppressLineNumbers w:val="0"/>
              <w:spacing w:before="0" w:beforeAutospacing="0" w:after="0" w:afterAutospacing="0"/>
              <w:ind w:left="0" w:leftChars="0" w:right="0"/>
              <w:rPr>
                <w:rFonts w:hint="default" w:ascii="宋体" w:hAnsi="宋体" w:eastAsia="宋体" w:cs="宋体"/>
                <w:color w:val="auto"/>
                <w:sz w:val="21"/>
                <w:szCs w:val="21"/>
                <w:highlight w:val="none"/>
              </w:rPr>
            </w:pPr>
            <w:r>
              <w:rPr>
                <w:rFonts w:hint="eastAsia" w:ascii="宋体" w:hAnsi="宋体" w:eastAsia="宋体" w:cs="宋体"/>
                <w:b/>
                <w:color w:val="auto"/>
                <w:sz w:val="21"/>
                <w:szCs w:val="21"/>
                <w:highlight w:val="none"/>
              </w:rPr>
              <w:t>注：供应商应当提供承诺函（格式自拟）并加盖公章，否则不得分</w:t>
            </w:r>
            <w:r>
              <w:rPr>
                <w:rFonts w:hint="eastAsia" w:ascii="宋体" w:hAnsi="宋体" w:eastAsia="宋体" w:cs="宋体"/>
                <w:color w:val="auto"/>
                <w:sz w:val="21"/>
                <w:szCs w:val="21"/>
                <w:highlight w:val="none"/>
              </w:rPr>
              <w:t>。</w:t>
            </w:r>
          </w:p>
        </w:tc>
        <w:tc>
          <w:tcPr>
            <w:tcW w:w="1119" w:type="dxa"/>
            <w:vAlign w:val="center"/>
          </w:tcPr>
          <w:p>
            <w:pPr>
              <w:keepNext w:val="0"/>
              <w:keepLines w:val="0"/>
              <w:suppressLineNumbers w:val="0"/>
              <w:spacing w:before="0" w:beforeAutospacing="0" w:after="12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77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30" w:type="dxa"/>
            <w:vAlign w:val="center"/>
          </w:tcPr>
          <w:p>
            <w:pPr>
              <w:keepNext w:val="0"/>
              <w:keepLines w:val="0"/>
              <w:suppressLineNumbers w:val="0"/>
              <w:adjustRightInd w:val="0"/>
              <w:snapToGrid w:val="0"/>
              <w:spacing w:before="156"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近三年安全事故责任情况</w:t>
            </w:r>
          </w:p>
        </w:tc>
        <w:tc>
          <w:tcPr>
            <w:tcW w:w="6276" w:type="dxa"/>
            <w:vAlign w:val="center"/>
          </w:tcPr>
          <w:p>
            <w:pPr>
              <w:keepNext w:val="0"/>
              <w:keepLines w:val="0"/>
              <w:suppressLineNumbers w:val="0"/>
              <w:spacing w:before="0" w:beforeAutospacing="0" w:after="0" w:afterAutospacing="0" w:line="240" w:lineRule="auto"/>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提供近三年无安全责任</w:t>
            </w:r>
            <w:r>
              <w:rPr>
                <w:rFonts w:hint="eastAsia" w:ascii="宋体" w:hAnsi="宋体" w:eastAsia="宋体" w:cs="宋体"/>
                <w:color w:val="auto"/>
                <w:sz w:val="21"/>
                <w:szCs w:val="21"/>
                <w:highlight w:val="none"/>
                <w:lang w:val="zh-CN"/>
              </w:rPr>
              <w:t>质量事故</w:t>
            </w:r>
            <w:r>
              <w:rPr>
                <w:rFonts w:hint="eastAsia" w:ascii="宋体" w:hAnsi="宋体" w:eastAsia="宋体" w:cs="宋体"/>
                <w:color w:val="auto"/>
                <w:sz w:val="21"/>
                <w:szCs w:val="21"/>
                <w:highlight w:val="none"/>
              </w:rPr>
              <w:t>情况承诺函（格式自拟），提供得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分，未提供不得分。</w:t>
            </w:r>
          </w:p>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注：须加盖公章</w:t>
            </w:r>
            <w:r>
              <w:rPr>
                <w:rFonts w:hint="eastAsia" w:ascii="宋体" w:hAnsi="宋体" w:eastAsia="宋体" w:cs="宋体"/>
                <w:b/>
                <w:bCs/>
                <w:color w:val="auto"/>
                <w:sz w:val="21"/>
                <w:szCs w:val="21"/>
                <w:highlight w:val="none"/>
                <w:lang w:val="zh-CN"/>
              </w:rPr>
              <w:t>,否则不得分。</w:t>
            </w:r>
          </w:p>
        </w:tc>
        <w:tc>
          <w:tcPr>
            <w:tcW w:w="1119" w:type="dxa"/>
            <w:vAlign w:val="center"/>
          </w:tcPr>
          <w:p>
            <w:pPr>
              <w:keepNext w:val="0"/>
              <w:keepLines w:val="0"/>
              <w:suppressLineNumbers w:val="0"/>
              <w:spacing w:before="0" w:beforeAutospacing="0" w:after="12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77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730" w:type="dxa"/>
            <w:vAlign w:val="center"/>
          </w:tcPr>
          <w:p>
            <w:pPr>
              <w:keepNext w:val="0"/>
              <w:keepLines w:val="0"/>
              <w:suppressLineNumbers w:val="0"/>
              <w:adjustRightInd w:val="0"/>
              <w:snapToGrid w:val="0"/>
              <w:spacing w:before="156"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近三年质量事故情况</w:t>
            </w:r>
          </w:p>
        </w:tc>
        <w:tc>
          <w:tcPr>
            <w:tcW w:w="6276" w:type="dxa"/>
            <w:vAlign w:val="center"/>
          </w:tcPr>
          <w:p>
            <w:pPr>
              <w:keepNext w:val="0"/>
              <w:keepLines w:val="0"/>
              <w:suppressLineNumbers w:val="0"/>
              <w:adjustRightInd w:val="0"/>
              <w:snapToGrid w:val="0"/>
              <w:spacing w:before="156" w:beforeAutospacing="0" w:after="0" w:afterAutospacing="0"/>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提供近三年无质量事故情况承诺函（格式自拟），提供得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分，未提供不得分。</w:t>
            </w:r>
          </w:p>
          <w:p>
            <w:pPr>
              <w:keepNext w:val="0"/>
              <w:keepLines w:val="0"/>
              <w:suppressLineNumbers w:val="0"/>
              <w:adjustRightInd w:val="0"/>
              <w:snapToGrid w:val="0"/>
              <w:spacing w:before="156" w:beforeAutospacing="0" w:after="0" w:afterAutospacing="0"/>
              <w:ind w:left="0" w:right="0"/>
              <w:jc w:val="left"/>
              <w:rPr>
                <w:rFonts w:hint="default"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注：须加盖公章</w:t>
            </w:r>
            <w:r>
              <w:rPr>
                <w:rFonts w:hint="eastAsia" w:ascii="宋体" w:hAnsi="宋体" w:eastAsia="宋体" w:cs="宋体"/>
                <w:b/>
                <w:bCs/>
                <w:color w:val="auto"/>
                <w:sz w:val="21"/>
                <w:szCs w:val="21"/>
                <w:highlight w:val="none"/>
                <w:lang w:val="zh-CN"/>
              </w:rPr>
              <w:t>,否则不得分。</w:t>
            </w:r>
          </w:p>
        </w:tc>
        <w:tc>
          <w:tcPr>
            <w:tcW w:w="1119" w:type="dxa"/>
            <w:vAlign w:val="center"/>
          </w:tcPr>
          <w:p>
            <w:pPr>
              <w:keepNext w:val="0"/>
              <w:keepLines w:val="0"/>
              <w:suppressLineNumbers w:val="0"/>
              <w:spacing w:before="0" w:beforeAutospacing="0" w:after="12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779" w:type="dxa"/>
            <w:gridSpan w:val="3"/>
            <w:vAlign w:val="center"/>
          </w:tcPr>
          <w:p>
            <w:pPr>
              <w:pStyle w:val="18"/>
              <w:keepNext w:val="0"/>
              <w:keepLines w:val="0"/>
              <w:suppressLineNumbers w:val="0"/>
              <w:spacing w:before="0" w:beforeAutospacing="0" w:afterAutospacing="0"/>
              <w:ind w:left="720" w:right="0" w:firstLine="482"/>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二、技术分</w:t>
            </w:r>
          </w:p>
        </w:tc>
        <w:tc>
          <w:tcPr>
            <w:tcW w:w="1119" w:type="dxa"/>
            <w:vAlign w:val="center"/>
          </w:tcPr>
          <w:p>
            <w:pPr>
              <w:pStyle w:val="18"/>
              <w:keepNext w:val="0"/>
              <w:keepLines w:val="0"/>
              <w:suppressLineNumbers w:val="0"/>
              <w:spacing w:before="0" w:beforeAutospacing="0" w:afterAutospacing="0"/>
              <w:ind w:left="0" w:leftChars="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73" w:type="dxa"/>
            <w:vAlign w:val="center"/>
          </w:tcPr>
          <w:p>
            <w:pPr>
              <w:pStyle w:val="18"/>
              <w:keepNext w:val="0"/>
              <w:keepLines w:val="0"/>
              <w:suppressLineNumbers w:val="0"/>
              <w:spacing w:before="0" w:beforeAutospacing="0" w:afterAutospacing="0"/>
              <w:ind w:left="0" w:leftChars="0" w:righ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8</w:t>
            </w:r>
          </w:p>
        </w:tc>
        <w:tc>
          <w:tcPr>
            <w:tcW w:w="1730" w:type="dxa"/>
            <w:vAlign w:val="center"/>
          </w:tcPr>
          <w:p>
            <w:pPr>
              <w:keepNext w:val="0"/>
              <w:keepLines w:val="0"/>
              <w:suppressLineNumbers w:val="0"/>
              <w:spacing w:before="0" w:beforeAutospacing="0" w:after="0" w:afterAutospacing="0" w:line="300" w:lineRule="exact"/>
              <w:ind w:left="0" w:leftChars="0" w:right="0" w:rightChars="0"/>
              <w:jc w:val="center"/>
              <w:rPr>
                <w:rFonts w:hint="default" w:ascii="Times New Roman" w:hAnsi="Times New Roman" w:eastAsia="宋体" w:cs="Times New Roman"/>
                <w:b/>
                <w:bCs/>
                <w:i w:val="0"/>
                <w:caps w:val="0"/>
                <w:color w:val="auto"/>
                <w:spacing w:val="0"/>
                <w:w w:val="100"/>
                <w:kern w:val="0"/>
                <w:sz w:val="21"/>
                <w:szCs w:val="21"/>
                <w:highlight w:val="none"/>
                <w:lang w:val="en-US" w:eastAsia="zh-CN" w:bidi="ar-SA"/>
              </w:rPr>
            </w:pPr>
            <w:r>
              <w:rPr>
                <w:rFonts w:hint="eastAsia" w:ascii="宋体" w:hAnsi="宋体" w:eastAsia="宋体" w:cs="宋体"/>
                <w:color w:val="auto"/>
                <w:sz w:val="21"/>
                <w:szCs w:val="21"/>
                <w:highlight w:val="none"/>
              </w:rPr>
              <w:t>工程概况</w:t>
            </w:r>
          </w:p>
        </w:tc>
        <w:tc>
          <w:tcPr>
            <w:tcW w:w="6276" w:type="dxa"/>
            <w:vAlign w:val="center"/>
          </w:tcPr>
          <w:p>
            <w:pPr>
              <w:keepNext w:val="0"/>
              <w:keepLines w:val="0"/>
              <w:suppressLineNumbers w:val="0"/>
              <w:spacing w:before="0" w:beforeAutospacing="0" w:after="0" w:afterAutospacing="0" w:line="240" w:lineRule="auto"/>
              <w:ind w:left="0" w:leftChars="0" w:right="0" w:rightChars="0"/>
              <w:jc w:val="left"/>
              <w:rPr>
                <w:rFonts w:hint="eastAsia" w:ascii="Times New Roman" w:hAnsi="Times New Roman" w:eastAsia="宋体" w:cs="Times New Roman"/>
                <w:b w:val="0"/>
                <w:bCs w:val="0"/>
                <w:i w:val="0"/>
                <w:caps w:val="0"/>
                <w:color w:val="auto"/>
                <w:spacing w:val="0"/>
                <w:w w:val="100"/>
                <w:kern w:val="0"/>
                <w:sz w:val="21"/>
                <w:szCs w:val="21"/>
                <w:highlight w:val="none"/>
                <w:lang w:val="en-US" w:eastAsia="zh-CN" w:bidi="ar-SA"/>
              </w:rPr>
            </w:pPr>
            <w:r>
              <w:rPr>
                <w:rFonts w:hint="eastAsia" w:ascii="宋体" w:hAnsi="宋体" w:eastAsia="宋体" w:cs="宋体"/>
                <w:b w:val="0"/>
                <w:bCs w:val="0"/>
                <w:color w:val="auto"/>
                <w:sz w:val="21"/>
                <w:szCs w:val="21"/>
                <w:highlight w:val="none"/>
                <w:lang w:bidi="ar"/>
              </w:rPr>
              <w:t>根据供应商对本工程主要情况、各专业设计简介和工程施工条件等进行综合阐述</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由评委进行评分</w:t>
            </w:r>
            <w:r>
              <w:rPr>
                <w:rFonts w:hint="eastAsia" w:ascii="宋体" w:hAnsi="宋体" w:eastAsia="宋体" w:cs="宋体"/>
                <w:b w:val="0"/>
                <w:bCs w:val="0"/>
                <w:color w:val="auto"/>
                <w:sz w:val="21"/>
                <w:szCs w:val="21"/>
                <w:highlight w:val="none"/>
              </w:rPr>
              <w:t>。</w:t>
            </w:r>
          </w:p>
        </w:tc>
        <w:tc>
          <w:tcPr>
            <w:tcW w:w="1119" w:type="dxa"/>
            <w:vAlign w:val="center"/>
          </w:tcPr>
          <w:p>
            <w:pPr>
              <w:keepNext w:val="0"/>
              <w:keepLines w:val="0"/>
              <w:pageBreakBefore w:val="0"/>
              <w:suppressLineNumbers w:val="0"/>
              <w:kinsoku/>
              <w:wordWrap/>
              <w:overflowPunct/>
              <w:topLinePunct w:val="0"/>
              <w:bidi w:val="0"/>
              <w:snapToGrid/>
              <w:spacing w:before="0" w:beforeAutospacing="0" w:after="0" w:afterAutospacing="0" w:line="340" w:lineRule="exact"/>
              <w:ind w:left="0" w:leftChars="0" w:right="0" w:rightChars="0"/>
              <w:jc w:val="center"/>
              <w:textAlignment w:val="baseline"/>
              <w:rPr>
                <w:rFonts w:hint="default" w:ascii="Times New Roman" w:hAnsi="Times New Roman" w:eastAsia="宋体" w:cs="Times New Roman"/>
                <w:b w:val="0"/>
                <w:i w:val="0"/>
                <w:caps w:val="0"/>
                <w:color w:val="auto"/>
                <w:spacing w:val="0"/>
                <w:w w:val="100"/>
                <w:kern w:val="0"/>
                <w:sz w:val="21"/>
                <w:szCs w:val="21"/>
                <w:highlight w:val="none"/>
                <w:lang w:val="en-US" w:eastAsia="zh-CN" w:bidi="ar-SA"/>
              </w:rPr>
            </w:pPr>
            <w:r>
              <w:rPr>
                <w:rFonts w:hint="eastAsia" w:ascii="Times New Roman" w:hAnsi="Times New Roman" w:eastAsia="宋体" w:cs="Times New Roman"/>
                <w:b w:val="0"/>
                <w:i w:val="0"/>
                <w:caps w:val="0"/>
                <w:color w:val="auto"/>
                <w:spacing w:val="0"/>
                <w:w w:val="100"/>
                <w:kern w:val="0"/>
                <w:sz w:val="21"/>
                <w:szCs w:val="21"/>
                <w:highlight w:val="none"/>
                <w:shd w:val="clear" w:color="auto" w:fil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73" w:type="dxa"/>
            <w:vAlign w:val="center"/>
          </w:tcPr>
          <w:p>
            <w:pPr>
              <w:pStyle w:val="18"/>
              <w:keepNext w:val="0"/>
              <w:keepLines w:val="0"/>
              <w:suppressLineNumbers w:val="0"/>
              <w:spacing w:before="0" w:beforeAutospacing="0" w:afterAutospacing="0"/>
              <w:ind w:left="0" w:leftChars="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w:t>
            </w:r>
          </w:p>
        </w:tc>
        <w:tc>
          <w:tcPr>
            <w:tcW w:w="1730" w:type="dxa"/>
            <w:vAlign w:val="center"/>
          </w:tcPr>
          <w:p>
            <w:pPr>
              <w:keepNext w:val="0"/>
              <w:keepLines w:val="0"/>
              <w:suppressLineNumbers w:val="0"/>
              <w:adjustRightInd w:val="0"/>
              <w:snapToGrid w:val="0"/>
              <w:spacing w:before="156"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施工方案</w:t>
            </w:r>
          </w:p>
        </w:tc>
        <w:tc>
          <w:tcPr>
            <w:tcW w:w="6276" w:type="dxa"/>
            <w:vAlign w:val="center"/>
          </w:tcPr>
          <w:p>
            <w:pPr>
              <w:keepNext w:val="0"/>
              <w:keepLines w:val="0"/>
              <w:suppressLineNumbers w:val="0"/>
              <w:spacing w:before="0" w:beforeAutospacing="0" w:after="0" w:afterAutospacing="0"/>
              <w:ind w:left="0" w:right="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根据供应商施工方案的科学性、严密性、合理性进行打分（包括但不限于施工准备充足，投入人力、材料和机械设备齐全，施工顺序明确，各阶段衔接到位）。</w:t>
            </w:r>
          </w:p>
        </w:tc>
        <w:tc>
          <w:tcPr>
            <w:tcW w:w="1119" w:type="dxa"/>
            <w:vAlign w:val="center"/>
          </w:tcPr>
          <w:p>
            <w:pPr>
              <w:pStyle w:val="18"/>
              <w:keepNext w:val="0"/>
              <w:keepLines w:val="0"/>
              <w:suppressLineNumbers w:val="0"/>
              <w:spacing w:before="0" w:beforeAutospacing="0" w:afterAutospacing="0"/>
              <w:ind w:left="0"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73" w:type="dxa"/>
            <w:vAlign w:val="center"/>
          </w:tcPr>
          <w:p>
            <w:pPr>
              <w:pStyle w:val="18"/>
              <w:keepNext w:val="0"/>
              <w:keepLines w:val="0"/>
              <w:suppressLineNumbers w:val="0"/>
              <w:spacing w:before="0" w:beforeAutospacing="0" w:afterAutospacing="0"/>
              <w:ind w:left="0" w:leftChars="0" w:right="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c>
          <w:tcPr>
            <w:tcW w:w="1730" w:type="dxa"/>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施工进度计划</w:t>
            </w:r>
          </w:p>
        </w:tc>
        <w:tc>
          <w:tcPr>
            <w:tcW w:w="6276" w:type="dxa"/>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供应商将施工顺序和各个阶段工程进展情况做出均衡协调、科学安排，将施工部署在时间上予以体现，由评委根据是否结合项目现场情况对其科学性、合理性等方面由磋商小组进行打分。</w:t>
            </w:r>
          </w:p>
        </w:tc>
        <w:tc>
          <w:tcPr>
            <w:tcW w:w="111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73" w:type="dxa"/>
            <w:vAlign w:val="center"/>
          </w:tcPr>
          <w:p>
            <w:pPr>
              <w:pStyle w:val="18"/>
              <w:keepNext w:val="0"/>
              <w:keepLines w:val="0"/>
              <w:suppressLineNumbers w:val="0"/>
              <w:spacing w:before="0" w:beforeAutospacing="0" w:afterAutospacing="0"/>
              <w:ind w:left="0" w:leftChars="0" w:right="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w:t>
            </w:r>
          </w:p>
        </w:tc>
        <w:tc>
          <w:tcPr>
            <w:tcW w:w="1730"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施工部署</w:t>
            </w:r>
          </w:p>
        </w:tc>
        <w:tc>
          <w:tcPr>
            <w:tcW w:w="6276" w:type="dxa"/>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供应商根据施工合同、采购文件以及本单位对工程管理目标的要求，对本工程的进度安排和空间组织、重难点分析等进行综合阐述，由评委根据是否结合项目现场情况对其科学性、合理性等方面进行评分。</w:t>
            </w:r>
          </w:p>
        </w:tc>
        <w:tc>
          <w:tcPr>
            <w:tcW w:w="111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73" w:type="dxa"/>
            <w:vAlign w:val="center"/>
          </w:tcPr>
          <w:p>
            <w:pPr>
              <w:pStyle w:val="18"/>
              <w:keepNext w:val="0"/>
              <w:keepLines w:val="0"/>
              <w:suppressLineNumbers w:val="0"/>
              <w:spacing w:before="0" w:beforeAutospacing="0" w:afterAutospacing="0"/>
              <w:ind w:left="0" w:leftChars="0" w:right="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p>
        </w:tc>
        <w:tc>
          <w:tcPr>
            <w:tcW w:w="1730"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安全生产、安全文明、交通疏导的保证措施</w:t>
            </w:r>
          </w:p>
        </w:tc>
        <w:tc>
          <w:tcPr>
            <w:tcW w:w="6276" w:type="dxa"/>
            <w:vAlign w:val="center"/>
          </w:tcPr>
          <w:p>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根据供应商针对本项目提供的安全生产、安全文明、交通组织的措施方案的操作性和针对性强弱，由评委进行打分。</w:t>
            </w:r>
          </w:p>
        </w:tc>
        <w:tc>
          <w:tcPr>
            <w:tcW w:w="1119" w:type="dxa"/>
            <w:vAlign w:val="center"/>
          </w:tcPr>
          <w:p>
            <w:pPr>
              <w:pStyle w:val="18"/>
              <w:keepNext w:val="0"/>
              <w:keepLines w:val="0"/>
              <w:suppressLineNumbers w:val="0"/>
              <w:spacing w:before="0" w:beforeAutospacing="0" w:afterAutospacing="0"/>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73" w:type="dxa"/>
            <w:vAlign w:val="center"/>
          </w:tcPr>
          <w:p>
            <w:pPr>
              <w:pStyle w:val="18"/>
              <w:keepNext w:val="0"/>
              <w:keepLines w:val="0"/>
              <w:suppressLineNumbers w:val="0"/>
              <w:spacing w:before="0" w:beforeAutospacing="0" w:afterAutospacing="0"/>
              <w:ind w:left="0" w:leftChars="0" w:right="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w:t>
            </w:r>
          </w:p>
        </w:tc>
        <w:tc>
          <w:tcPr>
            <w:tcW w:w="1730" w:type="dxa"/>
            <w:vAlign w:val="center"/>
          </w:tcPr>
          <w:p>
            <w:pPr>
              <w:pStyle w:val="18"/>
              <w:keepNext w:val="0"/>
              <w:keepLines w:val="0"/>
              <w:suppressLineNumbers w:val="0"/>
              <w:spacing w:before="0" w:beforeAutospacing="0" w:after="0" w:afterAutospacing="0"/>
              <w:ind w:left="0"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olor w:val="auto"/>
                <w:sz w:val="21"/>
                <w:szCs w:val="21"/>
                <w:highlight w:val="none"/>
              </w:rPr>
              <w:t>质量承诺</w:t>
            </w:r>
          </w:p>
        </w:tc>
        <w:tc>
          <w:tcPr>
            <w:tcW w:w="6276" w:type="dxa"/>
            <w:vAlign w:val="center"/>
          </w:tcPr>
          <w:p>
            <w:pPr>
              <w:keepNext w:val="0"/>
              <w:keepLines w:val="0"/>
              <w:widowControl/>
              <w:suppressLineNumbers w:val="0"/>
              <w:spacing w:before="0" w:beforeAutospacing="0" w:after="0" w:afterAutospacing="0"/>
              <w:ind w:left="0" w:right="248" w:rightChars="69"/>
              <w:rPr>
                <w:rFonts w:hint="eastAsia" w:ascii="宋体" w:hAnsi="宋体" w:eastAsia="宋体" w:cs="宋体"/>
                <w:color w:val="auto"/>
                <w:kern w:val="2"/>
                <w:sz w:val="21"/>
                <w:szCs w:val="21"/>
                <w:highlight w:val="none"/>
                <w:lang w:val="en-US" w:eastAsia="zh-CN" w:bidi="ar-SA"/>
              </w:rPr>
            </w:pPr>
            <w:r>
              <w:rPr>
                <w:rFonts w:hint="eastAsia" w:ascii="宋体" w:hAnsi="宋体" w:eastAsia="宋体"/>
                <w:color w:val="auto"/>
                <w:sz w:val="21"/>
                <w:szCs w:val="21"/>
                <w:highlight w:val="none"/>
              </w:rPr>
              <w:t>根据质量的保证措施和手段是否科学、可靠性</w:t>
            </w:r>
            <w:r>
              <w:rPr>
                <w:rFonts w:hint="eastAsia" w:ascii="宋体" w:hAnsi="宋体" w:eastAsia="宋体" w:cs="宋体"/>
                <w:bCs/>
                <w:color w:val="auto"/>
                <w:sz w:val="21"/>
                <w:szCs w:val="21"/>
                <w:highlight w:val="none"/>
              </w:rPr>
              <w:t>等情况，</w:t>
            </w:r>
            <w:r>
              <w:rPr>
                <w:rFonts w:hint="eastAsia" w:ascii="宋体" w:hAnsi="宋体" w:eastAsia="宋体" w:cs="宋体"/>
                <w:color w:val="auto"/>
                <w:sz w:val="21"/>
                <w:szCs w:val="21"/>
                <w:highlight w:val="none"/>
              </w:rPr>
              <w:t>由评委自行综合打分。</w:t>
            </w:r>
          </w:p>
        </w:tc>
        <w:tc>
          <w:tcPr>
            <w:tcW w:w="1119" w:type="dxa"/>
            <w:vAlign w:val="center"/>
          </w:tcPr>
          <w:p>
            <w:pPr>
              <w:pStyle w:val="18"/>
              <w:keepNext w:val="0"/>
              <w:keepLines w:val="0"/>
              <w:suppressLineNumbers w:val="0"/>
              <w:spacing w:before="0" w:beforeAutospacing="0" w:afterAutospacing="0"/>
              <w:ind w:left="0"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73" w:type="dxa"/>
            <w:vAlign w:val="center"/>
          </w:tcPr>
          <w:p>
            <w:pPr>
              <w:pStyle w:val="18"/>
              <w:keepNext w:val="0"/>
              <w:keepLines w:val="0"/>
              <w:suppressLineNumbers w:val="0"/>
              <w:spacing w:before="0" w:beforeAutospacing="0" w:afterAutospacing="0"/>
              <w:ind w:left="0" w:leftChars="0" w:right="0"/>
              <w:jc w:val="center"/>
              <w:rPr>
                <w:rFonts w:hint="default" w:ascii="宋体" w:hAnsi="宋体" w:eastAsia="宋体" w:cs="宋体"/>
                <w:bCs/>
                <w:color w:val="auto"/>
                <w:sz w:val="21"/>
                <w:szCs w:val="21"/>
                <w:highlight w:val="none"/>
                <w:lang w:val="en-US" w:eastAsia="zh-CN"/>
              </w:rPr>
            </w:pPr>
            <w:r>
              <w:rPr>
                <w:rFonts w:hint="eastAsia" w:ascii="宋体" w:hAnsi="宋体" w:eastAsia="宋体"/>
                <w:bCs/>
                <w:color w:val="auto"/>
                <w:sz w:val="21"/>
                <w:szCs w:val="21"/>
                <w:highlight w:val="none"/>
                <w:lang w:val="en-US" w:eastAsia="zh-CN"/>
              </w:rPr>
              <w:t>14</w:t>
            </w:r>
          </w:p>
        </w:tc>
        <w:tc>
          <w:tcPr>
            <w:tcW w:w="1730"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应急处置方案</w:t>
            </w:r>
          </w:p>
        </w:tc>
        <w:tc>
          <w:tcPr>
            <w:tcW w:w="6276" w:type="dxa"/>
            <w:vAlign w:val="center"/>
          </w:tcPr>
          <w:p>
            <w:pPr>
              <w:keepNext w:val="0"/>
              <w:keepLines w:val="0"/>
              <w:widowControl/>
              <w:suppressLineNumbers w:val="0"/>
              <w:spacing w:before="0" w:beforeAutospacing="0" w:after="0" w:afterAutospacing="0" w:line="300" w:lineRule="exact"/>
              <w:ind w:left="0" w:right="-83" w:rightChars="-23"/>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根据供应商提供的应急预案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包括但不限于针对具体的事故类别、危险源和应急保障而制定的计划或方案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及承诺紧急的响应时间，由评委进行评分。</w:t>
            </w:r>
          </w:p>
        </w:tc>
        <w:tc>
          <w:tcPr>
            <w:tcW w:w="1119" w:type="dxa"/>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auto"/>
                <w:sz w:val="21"/>
                <w:szCs w:val="21"/>
                <w:highlight w:val="none"/>
                <w:lang w:eastAsia="zh-CN"/>
              </w:rPr>
            </w:pPr>
            <w:r>
              <w:rPr>
                <w:rFonts w:hint="eastAsia" w:ascii="宋体" w:hAnsi="宋体" w:cs="宋体" w:eastAsiaTheme="minorEastAsia"/>
                <w:color w:val="auto"/>
                <w:kern w:val="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73" w:type="dxa"/>
            <w:vAlign w:val="center"/>
          </w:tcPr>
          <w:p>
            <w:pPr>
              <w:pStyle w:val="18"/>
              <w:keepNext w:val="0"/>
              <w:keepLines w:val="0"/>
              <w:suppressLineNumbers w:val="0"/>
              <w:spacing w:before="0" w:beforeAutospacing="0" w:after="0" w:afterAutospacing="0"/>
              <w:ind w:left="0" w:leftChars="0" w:right="0"/>
              <w:jc w:val="center"/>
              <w:rPr>
                <w:rFonts w:hint="eastAsia" w:ascii="宋体" w:hAnsi="宋体" w:eastAsia="宋体"/>
                <w:bCs/>
                <w:color w:val="auto"/>
                <w:sz w:val="21"/>
                <w:szCs w:val="21"/>
                <w:highlight w:val="none"/>
                <w:lang w:eastAsia="zh-CN"/>
              </w:rPr>
            </w:pPr>
            <w:r>
              <w:rPr>
                <w:rFonts w:hint="eastAsia" w:ascii="宋体" w:hAnsi="宋体"/>
                <w:bCs/>
                <w:color w:val="auto"/>
                <w:sz w:val="21"/>
                <w:szCs w:val="21"/>
                <w:highlight w:val="none"/>
              </w:rPr>
              <w:t>1</w:t>
            </w:r>
            <w:r>
              <w:rPr>
                <w:rFonts w:hint="eastAsia" w:ascii="宋体" w:hAnsi="宋体" w:eastAsia="宋体"/>
                <w:bCs/>
                <w:color w:val="auto"/>
                <w:sz w:val="21"/>
                <w:szCs w:val="21"/>
                <w:highlight w:val="none"/>
                <w:lang w:val="en-US" w:eastAsia="zh-CN"/>
              </w:rPr>
              <w:t>5</w:t>
            </w:r>
          </w:p>
        </w:tc>
        <w:tc>
          <w:tcPr>
            <w:tcW w:w="1730" w:type="dxa"/>
            <w:vAlign w:val="center"/>
          </w:tcPr>
          <w:p>
            <w:pPr>
              <w:pStyle w:val="18"/>
              <w:keepNext w:val="0"/>
              <w:keepLines w:val="0"/>
              <w:suppressLineNumbers w:val="0"/>
              <w:spacing w:before="0" w:beforeAutospacing="0" w:after="0" w:afterAutospacing="0"/>
              <w:ind w:left="0" w:leftChars="0" w:right="0"/>
              <w:jc w:val="center"/>
              <w:rPr>
                <w:rFonts w:hint="default" w:ascii="宋体" w:hAnsi="宋体" w:eastAsia="宋体"/>
                <w:color w:val="auto"/>
                <w:sz w:val="21"/>
                <w:szCs w:val="21"/>
                <w:highlight w:val="none"/>
              </w:rPr>
            </w:pPr>
            <w:r>
              <w:rPr>
                <w:rFonts w:hint="eastAsia" w:ascii="宋体" w:hAnsi="宋体" w:eastAsia="宋体"/>
                <w:color w:val="auto"/>
                <w:sz w:val="21"/>
                <w:szCs w:val="21"/>
                <w:highlight w:val="none"/>
              </w:rPr>
              <w:t>合理性建议</w:t>
            </w:r>
          </w:p>
        </w:tc>
        <w:tc>
          <w:tcPr>
            <w:tcW w:w="6276" w:type="dxa"/>
            <w:vAlign w:val="center"/>
          </w:tcPr>
          <w:p>
            <w:pPr>
              <w:keepNext w:val="0"/>
              <w:keepLines w:val="0"/>
              <w:widowControl/>
              <w:suppressLineNumbers w:val="0"/>
              <w:spacing w:before="0" w:beforeAutospacing="0" w:after="0" w:afterAutospacing="0"/>
              <w:ind w:left="0" w:right="248" w:rightChars="69"/>
              <w:rPr>
                <w:rFonts w:hint="default" w:ascii="宋体" w:hAnsi="宋体" w:eastAsia="宋体" w:cs="宋体"/>
                <w:bCs/>
                <w:color w:val="auto"/>
                <w:sz w:val="21"/>
                <w:szCs w:val="21"/>
                <w:highlight w:val="none"/>
              </w:rPr>
            </w:pPr>
            <w:r>
              <w:rPr>
                <w:rFonts w:hint="eastAsia" w:ascii="宋体" w:hAnsi="宋体" w:eastAsia="宋体" w:cs="宋体"/>
                <w:color w:val="auto"/>
                <w:sz w:val="21"/>
                <w:szCs w:val="21"/>
                <w:highlight w:val="none"/>
              </w:rPr>
              <w:t>供应商进行现场勘察结合采购人本次要求提出合理化建议。</w:t>
            </w:r>
          </w:p>
        </w:tc>
        <w:tc>
          <w:tcPr>
            <w:tcW w:w="1119" w:type="dxa"/>
            <w:vAlign w:val="center"/>
          </w:tcPr>
          <w:p>
            <w:pPr>
              <w:pStyle w:val="18"/>
              <w:keepNext w:val="0"/>
              <w:keepLines w:val="0"/>
              <w:suppressLineNumbers w:val="0"/>
              <w:spacing w:before="0" w:beforeAutospacing="0" w:afterAutospacing="0"/>
              <w:ind w:left="0" w:leftChars="0" w:right="0"/>
              <w:jc w:val="center"/>
              <w:rPr>
                <w:rFonts w:hint="eastAsia" w:ascii="宋体" w:hAnsi="宋体" w:cs="宋体" w:eastAsiaTheme="minorEastAsia"/>
                <w:color w:val="auto"/>
                <w:kern w:val="0"/>
                <w:sz w:val="21"/>
                <w:szCs w:val="21"/>
                <w:highlight w:val="none"/>
                <w:lang w:eastAsia="zh-CN"/>
              </w:rPr>
            </w:pPr>
            <w:r>
              <w:rPr>
                <w:rFonts w:hint="eastAsia" w:ascii="宋体" w:hAnsi="宋体" w:cs="宋体" w:eastAsiaTheme="minorEastAsia"/>
                <w:color w:val="auto"/>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exact"/>
          <w:jc w:val="center"/>
        </w:trPr>
        <w:tc>
          <w:tcPr>
            <w:tcW w:w="773"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c>
          <w:tcPr>
            <w:tcW w:w="9125" w:type="dxa"/>
            <w:gridSpan w:val="3"/>
            <w:vAlign w:val="center"/>
          </w:tcPr>
          <w:p>
            <w:pPr>
              <w:keepNext w:val="0"/>
              <w:keepLines w:val="0"/>
              <w:widowControl/>
              <w:suppressLineNumbers w:val="0"/>
              <w:spacing w:before="0" w:beforeAutospacing="0" w:after="0" w:afterAutospacing="0"/>
              <w:ind w:left="0" w:right="248" w:rightChars="69"/>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1、评委打分小数点后保留一位；</w:t>
            </w:r>
          </w:p>
          <w:p>
            <w:pPr>
              <w:keepNext w:val="0"/>
              <w:keepLines w:val="0"/>
              <w:widowControl/>
              <w:suppressLineNumbers w:val="0"/>
              <w:spacing w:before="0" w:beforeAutospacing="0" w:after="0" w:afterAutospacing="0"/>
              <w:ind w:left="0" w:right="248" w:rightChars="69"/>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2、公路工程相关专业职称包括公路工程、桥梁工程、公路与桥梁工程、交通土建、隧道（地下结构）工程、交通工程等专业职称。</w:t>
            </w:r>
          </w:p>
        </w:tc>
      </w:tr>
    </w:tbl>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beforeLines="0" w:afterLines="0" w:line="360" w:lineRule="auto"/>
        <w:jc w:val="both"/>
        <w:rPr>
          <w:rFonts w:hint="eastAsia" w:ascii="宋体" w:hAnsi="宋体" w:eastAsia="宋体" w:cs="宋体"/>
          <w:b/>
          <w:color w:val="auto"/>
          <w:sz w:val="30"/>
          <w:szCs w:val="30"/>
          <w:highlight w:val="none"/>
        </w:rPr>
        <w:sectPr>
          <w:footerReference r:id="rId6" w:type="default"/>
          <w:pgSz w:w="11906" w:h="16838"/>
          <w:pgMar w:top="1588" w:right="1418" w:bottom="1588" w:left="1418" w:header="1021" w:footer="1134" w:gutter="0"/>
          <w:lnNumType w:countBy="0" w:distance="360"/>
          <w:pgNumType w:fmt="decimal"/>
          <w:cols w:space="720" w:num="1"/>
          <w:docGrid w:type="lines" w:linePitch="312" w:charSpace="0"/>
        </w:sectPr>
      </w:pPr>
    </w:p>
    <w:bookmarkEnd w:id="87"/>
    <w:p>
      <w:pPr>
        <w:numPr>
          <w:ilvl w:val="0"/>
          <w:numId w:val="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beforeLines="0" w:afterLines="0" w:line="360" w:lineRule="auto"/>
        <w:ind w:left="2807" w:leftChars="0" w:firstLine="0" w:firstLineChars="0"/>
        <w:jc w:val="left"/>
        <w:rPr>
          <w:rFonts w:hint="eastAsia" w:ascii="宋体" w:hAnsi="宋体" w:eastAsia="宋体" w:cs="宋体"/>
          <w:b/>
          <w:color w:val="auto"/>
          <w:sz w:val="30"/>
          <w:szCs w:val="30"/>
          <w:highlight w:val="none"/>
          <w:lang w:val="en-US" w:eastAsia="zh-CN"/>
        </w:rPr>
      </w:pPr>
      <w:bookmarkStart w:id="88" w:name="_Toc240724385"/>
      <w:bookmarkStart w:id="89" w:name="_Toc306901462"/>
      <w:r>
        <w:rPr>
          <w:rFonts w:hint="eastAsia" w:ascii="宋体" w:hAnsi="宋体" w:cs="宋体"/>
          <w:b/>
          <w:color w:val="auto"/>
          <w:sz w:val="28"/>
          <w:szCs w:val="28"/>
          <w:highlight w:val="none"/>
        </w:rPr>
        <w:t xml:space="preserve"> </w:t>
      </w:r>
      <w:r>
        <w:rPr>
          <w:rFonts w:hint="eastAsia" w:ascii="宋体" w:hAnsi="宋体" w:eastAsia="宋体" w:cs="宋体"/>
          <w:b/>
          <w:color w:val="auto"/>
          <w:sz w:val="30"/>
          <w:szCs w:val="30"/>
          <w:highlight w:val="none"/>
          <w:lang w:val="en-US" w:eastAsia="zh-CN"/>
        </w:rPr>
        <w:t>合同条款及格式</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beforeLines="0" w:afterLines="0" w:line="360" w:lineRule="auto"/>
        <w:ind w:firstLine="2940" w:firstLineChars="1400"/>
        <w:jc w:val="both"/>
        <w:rPr>
          <w:rFonts w:hint="eastAsia" w:ascii="宋体" w:hAnsi="宋体" w:eastAsia="宋体" w:cs="宋体"/>
          <w:b/>
          <w:color w:val="auto"/>
          <w:sz w:val="30"/>
          <w:szCs w:val="30"/>
          <w:highlight w:val="none"/>
          <w:lang w:val="en-US" w:eastAsia="zh-CN"/>
        </w:rPr>
      </w:pPr>
      <w:r>
        <w:rPr>
          <w:rFonts w:hint="eastAsia" w:ascii="宋体" w:hAnsi="宋体" w:eastAsia="宋体" w:cs="宋体"/>
          <w:color w:val="auto"/>
          <w:kern w:val="2"/>
          <w:sz w:val="21"/>
          <w:szCs w:val="21"/>
          <w:highlight w:val="none"/>
          <w:lang w:val="en-US" w:eastAsia="zh-CN" w:bidi="ar"/>
        </w:rPr>
        <w:t>（仅供参考；本合同为合同样稿）</w:t>
      </w:r>
    </w:p>
    <w:p>
      <w:pPr>
        <w:pStyle w:val="4"/>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val="0"/>
          <w:color w:val="auto"/>
          <w:spacing w:val="-6"/>
          <w:kern w:val="2"/>
          <w:sz w:val="28"/>
          <w:szCs w:val="28"/>
          <w:highlight w:val="none"/>
        </w:rPr>
      </w:pPr>
      <w:bookmarkStart w:id="90" w:name="_Toc233435961"/>
      <w:bookmarkEnd w:id="90"/>
      <w:bookmarkStart w:id="91" w:name="_Toc288491489"/>
      <w:bookmarkEnd w:id="91"/>
      <w:bookmarkStart w:id="92" w:name="_Toc283794161"/>
      <w:bookmarkEnd w:id="92"/>
      <w:bookmarkStart w:id="93" w:name="_Toc7271"/>
      <w:bookmarkEnd w:id="93"/>
      <w:bookmarkStart w:id="94" w:name="_Toc282779473"/>
      <w:bookmarkEnd w:id="94"/>
      <w:bookmarkStart w:id="95" w:name="_Toc237923789"/>
      <w:bookmarkEnd w:id="95"/>
      <w:bookmarkStart w:id="96" w:name="_Toc233429750"/>
      <w:bookmarkEnd w:id="96"/>
      <w:bookmarkStart w:id="97" w:name="_Toc237255129"/>
      <w:bookmarkEnd w:id="97"/>
      <w:bookmarkStart w:id="98" w:name="_Toc16087"/>
      <w:bookmarkEnd w:id="98"/>
      <w:bookmarkStart w:id="99" w:name="_Toc233290349"/>
      <w:bookmarkEnd w:id="99"/>
      <w:bookmarkStart w:id="100" w:name="_Toc18076"/>
      <w:bookmarkEnd w:id="100"/>
      <w:bookmarkStart w:id="101" w:name="_Toc235846354"/>
      <w:bookmarkEnd w:id="101"/>
      <w:bookmarkStart w:id="102" w:name="_Toc282787410"/>
      <w:bookmarkEnd w:id="102"/>
      <w:bookmarkStart w:id="103" w:name="_Toc17640"/>
      <w:bookmarkEnd w:id="103"/>
      <w:bookmarkStart w:id="104" w:name="_Toc118378071"/>
      <w:bookmarkEnd w:id="104"/>
      <w:bookmarkStart w:id="105" w:name="_Toc514936600"/>
      <w:bookmarkEnd w:id="105"/>
      <w:bookmarkStart w:id="106" w:name="_Toc233214801"/>
      <w:bookmarkEnd w:id="106"/>
      <w:bookmarkStart w:id="107" w:name="_Toc1114"/>
      <w:bookmarkEnd w:id="107"/>
      <w:bookmarkStart w:id="108" w:name="_Toc233423234"/>
      <w:bookmarkEnd w:id="108"/>
      <w:bookmarkStart w:id="109" w:name="_Toc1616"/>
      <w:bookmarkEnd w:id="109"/>
      <w:bookmarkStart w:id="110" w:name="_Toc282778964"/>
      <w:bookmarkEnd w:id="110"/>
      <w:bookmarkStart w:id="111" w:name="_Toc13880"/>
      <w:bookmarkEnd w:id="111"/>
      <w:bookmarkStart w:id="112" w:name="_Toc16300"/>
      <w:bookmarkEnd w:id="112"/>
      <w:bookmarkStart w:id="113" w:name="_Toc32724"/>
      <w:bookmarkEnd w:id="113"/>
      <w:bookmarkStart w:id="114" w:name="_Toc30957"/>
      <w:bookmarkEnd w:id="114"/>
      <w:bookmarkStart w:id="115" w:name="_Toc287853313"/>
      <w:bookmarkEnd w:id="115"/>
      <w:bookmarkStart w:id="116" w:name="_Toc1032"/>
      <w:bookmarkEnd w:id="116"/>
      <w:bookmarkStart w:id="117" w:name="_Toc26666"/>
      <w:bookmarkEnd w:id="117"/>
      <w:bookmarkStart w:id="118" w:name="_Toc12454"/>
      <w:r>
        <w:rPr>
          <w:rFonts w:hint="eastAsia" w:ascii="宋体" w:hAnsi="宋体" w:eastAsia="宋体" w:cs="宋体"/>
          <w:b/>
          <w:bCs w:val="0"/>
          <w:color w:val="auto"/>
          <w:spacing w:val="-6"/>
          <w:kern w:val="2"/>
          <w:sz w:val="28"/>
          <w:szCs w:val="28"/>
          <w:highlight w:val="none"/>
        </w:rPr>
        <w:t>第一节  通用合同条款</w:t>
      </w:r>
      <w:bookmarkEnd w:id="118"/>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119" w:name="_Toc9402"/>
      <w:bookmarkEnd w:id="119"/>
      <w:bookmarkStart w:id="120" w:name="_Toc237923790"/>
      <w:bookmarkEnd w:id="120"/>
      <w:bookmarkStart w:id="121" w:name="_Toc22551"/>
      <w:bookmarkEnd w:id="121"/>
      <w:bookmarkStart w:id="122" w:name="_Toc20984"/>
      <w:bookmarkEnd w:id="122"/>
      <w:bookmarkStart w:id="123" w:name="_Toc118378072"/>
      <w:bookmarkEnd w:id="123"/>
      <w:bookmarkStart w:id="124" w:name="_Toc514936601"/>
      <w:bookmarkEnd w:id="124"/>
      <w:bookmarkStart w:id="125" w:name="_Toc288491490"/>
      <w:bookmarkEnd w:id="125"/>
      <w:bookmarkStart w:id="126" w:name="_Toc152042389"/>
      <w:bookmarkEnd w:id="126"/>
      <w:bookmarkStart w:id="127" w:name="_Toc282779474"/>
      <w:bookmarkEnd w:id="127"/>
      <w:bookmarkStart w:id="128" w:name="_Toc179632629"/>
      <w:bookmarkEnd w:id="128"/>
      <w:bookmarkStart w:id="129" w:name="_Toc25438"/>
      <w:bookmarkEnd w:id="129"/>
      <w:bookmarkStart w:id="130" w:name="_Toc152045611"/>
      <w:bookmarkEnd w:id="130"/>
      <w:bookmarkStart w:id="131" w:name="_Toc26781"/>
      <w:bookmarkEnd w:id="131"/>
      <w:bookmarkStart w:id="132" w:name="_Toc23086"/>
      <w:bookmarkEnd w:id="132"/>
      <w:bookmarkStart w:id="133" w:name="_Toc3807"/>
      <w:bookmarkEnd w:id="133"/>
      <w:bookmarkStart w:id="134" w:name="_Toc24849"/>
      <w:bookmarkEnd w:id="134"/>
      <w:bookmarkStart w:id="135" w:name="_Toc25605"/>
      <w:bookmarkEnd w:id="135"/>
      <w:bookmarkStart w:id="136" w:name="_Toc23474"/>
      <w:bookmarkEnd w:id="136"/>
      <w:bookmarkStart w:id="137" w:name="_Toc5638"/>
      <w:bookmarkEnd w:id="137"/>
      <w:bookmarkStart w:id="138" w:name="_Toc753"/>
      <w:bookmarkEnd w:id="138"/>
      <w:bookmarkStart w:id="139" w:name="_Toc144974579"/>
      <w:bookmarkEnd w:id="139"/>
      <w:bookmarkStart w:id="140" w:name="_Toc282778965"/>
      <w:bookmarkEnd w:id="140"/>
      <w:bookmarkStart w:id="141" w:name="_Toc282787411"/>
      <w:bookmarkEnd w:id="141"/>
      <w:bookmarkStart w:id="142" w:name="_Toc287853314"/>
      <w:bookmarkEnd w:id="142"/>
      <w:bookmarkStart w:id="143" w:name="_Toc283794162"/>
      <w:bookmarkEnd w:id="143"/>
      <w:bookmarkStart w:id="144" w:name="_Toc14958"/>
      <w:r>
        <w:rPr>
          <w:rFonts w:hint="eastAsia" w:ascii="宋体" w:hAnsi="宋体" w:eastAsia="宋体" w:cs="宋体"/>
          <w:color w:val="auto"/>
          <w:kern w:val="2"/>
          <w:sz w:val="21"/>
          <w:szCs w:val="21"/>
          <w:highlight w:val="none"/>
          <w:lang w:val="en-US" w:eastAsia="zh-CN" w:bidi="ar"/>
        </w:rPr>
        <w:t>1．一般约定</w:t>
      </w:r>
      <w:bookmarkEnd w:id="144"/>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45" w:name="_Toc144974580"/>
      <w:bookmarkEnd w:id="145"/>
      <w:bookmarkStart w:id="146" w:name="_Toc179632630"/>
      <w:bookmarkEnd w:id="146"/>
      <w:bookmarkStart w:id="147" w:name="_Toc282787412"/>
      <w:bookmarkEnd w:id="147"/>
      <w:bookmarkStart w:id="148" w:name="_Toc287853315"/>
      <w:bookmarkEnd w:id="148"/>
      <w:bookmarkStart w:id="149" w:name="_Toc152045612"/>
      <w:bookmarkEnd w:id="149"/>
      <w:bookmarkStart w:id="150" w:name="_Toc283794163"/>
      <w:bookmarkEnd w:id="150"/>
      <w:bookmarkStart w:id="151" w:name="_Toc282778966"/>
      <w:bookmarkEnd w:id="151"/>
      <w:bookmarkStart w:id="152" w:name="_Toc288491491"/>
      <w:bookmarkEnd w:id="152"/>
      <w:bookmarkStart w:id="153" w:name="_Toc237923791"/>
      <w:bookmarkEnd w:id="153"/>
      <w:bookmarkStart w:id="154" w:name="_Toc282779475"/>
      <w:bookmarkEnd w:id="154"/>
      <w:bookmarkStart w:id="155" w:name="_Toc152042390"/>
      <w:r>
        <w:rPr>
          <w:rFonts w:hint="eastAsia" w:ascii="宋体" w:hAnsi="宋体" w:eastAsia="宋体" w:cs="宋体"/>
          <w:color w:val="auto"/>
          <w:kern w:val="2"/>
          <w:sz w:val="21"/>
          <w:szCs w:val="21"/>
          <w:highlight w:val="none"/>
          <w:lang w:val="en-US" w:eastAsia="zh-CN" w:bidi="ar"/>
        </w:rPr>
        <w:t>1.1  词语定义</w:t>
      </w:r>
      <w:bookmarkEnd w:id="155"/>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通用合同条款、专用合同条款中的下列词语应具有本款所赋予的含义。</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  合同</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1.1.1.1  合同文件（或称合同）：指合同协议书、中标通知书、投标函及投标函附录、专用合同条款、通用合同条款、技术标准和要求、图纸、已标价工程量清单，以及其他合同文件。</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1.1.1.2  合同协议书：指第1.5款所指的合同协议书。</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1.1.1.3  中标通知书：指发包人通知承包人中标的函件。</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strike w:val="0"/>
          <w:dstrike/>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1.1.1.4  投标函：指构成合同文件组成部分的由承包人填写并签署的投标函。</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1.1.1.5  投标函附录：指附在投标函后构成合同文件的投标函附录。</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1.1.1.6  技术规范：指本合同所约定的技术标准和要求，是合同文件的组成部分。通用合同条款中“技术标准和要求”一词具有相同含义。</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1.1.1.7  图纸：指包含在合同中的工程图纸，以及由发包人按合同约定提供的任何补充和修改的图纸，包括配套的说明。</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1.1.1.8  已标价工程量清单：指构成合同文件组成部分的已标明价格、经算术性错误修正及其他错误修正（如有）且承包人已确认的最终的工程量清单，包括工程量清单说明、投标报价说明、其他说明及工程量清单各项表格。</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1.1.1.9  其他合同文件：指经合同双方当事人确认构成合同文件的其他文件。</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1.1.1.10  补遗书：指发出招标文件之后由招标人向取得招标文件的投标人发出的、编号的，对招标文件所作的澄清、修改书。</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1.1.2  合同当事人和人员</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1.1.2.1  合同当事人:指发包人和（或）承包人。</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1.1.2.2  发包人：指专用合同条款中指明并与承包人在合同协议书中签字的当事人。</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1.1.2.3  承包人：指其投标已为发包人所接受，并与发包人签订了实施本合同公路养护工程合同协议书的当事人（承包人），以及取得该当事人（承包人）资格的合法继承人（承包人）。</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1.1.2.4  承包人项目经理：指由承包人书面委派常驻现场负责执行本合同和管理本合同公路养护工程的代表。</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1.1.2.5  分包人：指从承包人处分包合同中某一部分工程，并与其签订分包合同的分包人。</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1.1.2.6  监理人：指发包人为实施本合同委托的承担本合同工程监理工作的独立法人。必须是经工商注册并持有交通主管部门核发的资质证书或资信登记的专职监理企业，依照核定的监理业务范围，承担相应公路工程的监理业务；或由市公路管理部门或发包人组织的内部专业监理，并须将设置的项目监理组织机构、到岗人员及项目监理工作计划报市交通工程质监站，审批后方可开展工作。</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监理组织必须接受市交通工程质监站对其监理资格，监理质量控制体系及监理工作质量的监督检查。</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1.1.2.7  总监理工程师（总监）：指由监理人委派常驻施工场地对合同履行实施管理的全权负责人。</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1.1.2.8  承包人项目总工：指由承包人书面委派常驻现场负责执行、管理本合同公路养护工程的总工程师或技术总负责人。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  工程和设备</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1.1.3.1  小修保养工程（适用于小修保养工程）：是指保持公路及其附属设施的正常使用功能，进行经常性保养和修补其轻微损坏部分的作业。这些作业内容按公路养护工程考核进行质量考核、实行总价承包的工程；</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专项养护按《交通养护工程工程量清单计价规范》（DB33）工程细目计量单位、工程量计算规则、计价工程内容及计量规则，以单价计量支付的工程。</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1.1.3.1  中修工程（适用于大中修养护工程）：指对公路及其沿线设施的一般损坏部分进行定期的修理加固，以恢复公路原有技术状况的工程。</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大修工程：指对公路及其沿线设施的较大损坏进行周期性的综合修理，以全面恢复到原技术标准，或在原技术等级范围内进行局部改善和个别增建，以逐步提高公路通行能力的工程项目。</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1.1.3.2  永久工程：指按合同约定建造并移交给发包人的工程，包括工程设备。</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1.1.3.3  临时工程：指为完成合同约定的永久工程所修建的各类临时性工程，不包括施工设备。</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1.1.3.4  单位工程：指在养护工程项目中，根据签订的合同，具有独立施工条件实行单价承包作业的工程。</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1.1.3.5  工程设备：指构成或计划构成永久工程一部分的机电设备、金属结构设备、仪器装置及其他类似的设备和装置。</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1.1.3.6  施工设备：指为完成合同约定的各项工作所需的设备、器具和其他物品，不包括临时工程和材料。</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1.1.3.7  临时设施：指为完成合同约定的各项工作所服务的临时性生产和生活设施。</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1.1.3.8  承包人设备：指承包人自带的施工设备。</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1.1.3.9  施工场地（或称工地、现场）：指用于合同工程施工的场所，以及在合同中指定作为施工场地组成部分的其他场所，包括永久占地和临时占地。</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1.1.3.10  永久占地：指专用合同条款中指明为实施合同工程需永久占用的土地。</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1.1.3.11  临时占地：指专用合同条款中指明为实施合同工程需临时占用的土地。</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1.1.3.12  分部工程：指在单位工程中，按结构部位、路段长度及施工特点或施工任务划分的若干个工程。</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1.1.3.13  分项工程：指在分部工程中，按不同的施工方法、材料、工序及路段长度等划分的若干个工程。</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1.1.4  日期</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1.1.4.1  开工通知：指监理人按第11.1款通知承包人开工的函件。</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1.1.4.2  开工日期：指监理人按第11.1款发出的开工通知中写明的开工日期。</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1.1.4.3  工期：指承包人在投标函中承诺的完成合同工程所需的期限，包括按第11.3款、第11.4款和第11.6款约定所作的变更。</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1.1.4.4  竣工日期：指第1.1.4.3目约定工期届满时的日期。实际竣工日期以工程接收证书中写明的日期为准。</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1.1.4.5  缺陷责任期：指履行第19.2款约定的缺陷责任的期限，具体期限由专用合同条款约定，包括根据第19.3款约定所作的延长。</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1.1.4.6  基准日期：指投标截止时间前28天的日期。</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1.1.4.7  天：除特别指明外，指日历天。合同中按天计算时间的，开始当天不计入，从次日开始计算。期限最后一天的截止时间为当天24:00。</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1.1.5  合同价格和费用</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1.1.5.1  签约合同价：指签定合同时合同协议书中写明的，包括了暂列金额、暂估价的合同总金额。</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1.1.5.2  合同价格：指承包人按合同约定完成了包括缺陷责任期内的全部承包工作后，发包人应付给承包人的金额，包括在履行合同过程中按合同约定进行的变更和调整。</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1.1.5.3  费用：指为履行合同所发生的或将要发生的所有合理开支，包括管理费和应分摊的其他费用，但不包括利润。</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1.1.5.4  暂列金额：指已标价工程量清单中所列的暂列金额，用于在签订协议书时尚未确定或不可预见变更的施工及其所需材料、工程设备、服务等的金额，包括以计日工方式支付的金额。</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1.1.5.5  暂估价：指发包人在工程量清单中给定的用于支付必然发生但暂时不能确定价格的材料、设备以及专业工程的金额。</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1.1.5.6  计日工：指对零星工作采取的一种计价方式，按合同中的计日工子目及其单价计价付款。</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1.1.5.7  质量保证金（或称保留金）：指按第17.4.1项约定用于保证在缺陷责任期内履行缺陷修复义务的金额。</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1.1.6  其他</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1.1.6.1  书面形式：指合同文件、信函、电报、传真等可以有形地表现所载内容的形式。</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1.1.6.2  交工验收：指本工程已按合同规定实质上完工，并按合同规定完成了检测和检验，且按《浙江省公路大中修工程交（竣）工文件编制办法（试行）》（省公路局 浙公路[2005]51号）的规定，编制好竣工图表和施工资料后，承包人可向监理人提出交（竣）工验收和发给交工证书的申请，同时抄送发包人。如经交（竣）工验收认为质量合格，发包人应在验收工作完毕后14天内向承包人签发交工证书。通用合同条款中“竣工验收”一词具有相同含义。</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1.1.6.3  转包：指承包人违反法律和不履行合同规定的责任和义务，将中标工程全部委托或以专业分包的名义将中标工程肢解后全部委托给其他养护企业施工的行为。</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1.1.6.4  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1.1.6.5  劳务分包：指承包人与具有劳务分包资质的劳务企业签订劳务分包合同，由劳务企业提供劳务人员及机具，由承包人统一组织施工，统一控制工程质量、施工进度、材料采购、生产安全的施工行为。</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1.1.6.6  雇用民工：指承包人与具有相应劳动能力的自然人签订劳动合同，由承包人统一组织管理，从事分项工程施工或配套工程施工的行为。</w:t>
      </w:r>
    </w:p>
    <w:p>
      <w:pPr>
        <w:keepNext w:val="0"/>
        <w:keepLines w:val="0"/>
        <w:widowControl w:val="0"/>
        <w:suppressLineNumbers w:val="0"/>
        <w:spacing w:before="0" w:beforeAutospacing="0" w:after="0" w:afterAutospacing="0" w:line="400" w:lineRule="exact"/>
        <w:ind w:left="7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1.1.6.7  进度付款证书：指在最后支付证书之外的、由监理人（或发包人）签发的任何支付证书。</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56" w:name="_Toc287853316"/>
      <w:bookmarkEnd w:id="156"/>
      <w:bookmarkStart w:id="157" w:name="_Toc282778967"/>
      <w:bookmarkEnd w:id="157"/>
      <w:bookmarkStart w:id="158" w:name="_Toc288491492"/>
      <w:bookmarkEnd w:id="158"/>
      <w:bookmarkStart w:id="159" w:name="_Toc283794164"/>
      <w:bookmarkEnd w:id="159"/>
      <w:bookmarkStart w:id="160" w:name="_Toc282787413"/>
      <w:bookmarkEnd w:id="160"/>
      <w:bookmarkStart w:id="161" w:name="_Toc282779476"/>
      <w:r>
        <w:rPr>
          <w:rFonts w:hint="eastAsia" w:ascii="宋体" w:hAnsi="宋体" w:eastAsia="宋体" w:cs="宋体"/>
          <w:color w:val="auto"/>
          <w:kern w:val="2"/>
          <w:sz w:val="21"/>
          <w:szCs w:val="21"/>
          <w:highlight w:val="none"/>
          <w:lang w:val="en-US" w:eastAsia="zh-CN" w:bidi="ar"/>
        </w:rPr>
        <w:t>1.2  语言文字</w:t>
      </w:r>
      <w:bookmarkEnd w:id="161"/>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除专用术语外，合同使用的语言文字为中文。必要时专用术语应附有中文注释。</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62" w:name="_Toc282778968"/>
      <w:bookmarkEnd w:id="162"/>
      <w:bookmarkStart w:id="163" w:name="_Toc288491493"/>
      <w:bookmarkEnd w:id="163"/>
      <w:bookmarkStart w:id="164" w:name="_Toc144974582"/>
      <w:bookmarkEnd w:id="164"/>
      <w:bookmarkStart w:id="165" w:name="_Toc179632632"/>
      <w:bookmarkEnd w:id="165"/>
      <w:bookmarkStart w:id="166" w:name="_Toc237923793"/>
      <w:bookmarkEnd w:id="166"/>
      <w:bookmarkStart w:id="167" w:name="_Toc152045614"/>
      <w:bookmarkEnd w:id="167"/>
      <w:bookmarkStart w:id="168" w:name="_Toc287853317"/>
      <w:bookmarkEnd w:id="168"/>
      <w:bookmarkStart w:id="169" w:name="_Toc152042392"/>
      <w:bookmarkEnd w:id="169"/>
      <w:bookmarkStart w:id="170" w:name="_Toc282787414"/>
      <w:bookmarkEnd w:id="170"/>
      <w:bookmarkStart w:id="171" w:name="_Toc282779477"/>
      <w:bookmarkEnd w:id="171"/>
      <w:bookmarkStart w:id="172" w:name="_Toc283794165"/>
      <w:r>
        <w:rPr>
          <w:rFonts w:hint="eastAsia" w:ascii="宋体" w:hAnsi="宋体" w:eastAsia="宋体" w:cs="宋体"/>
          <w:color w:val="auto"/>
          <w:kern w:val="2"/>
          <w:sz w:val="21"/>
          <w:szCs w:val="21"/>
          <w:highlight w:val="none"/>
          <w:lang w:val="en-US" w:eastAsia="zh-CN" w:bidi="ar"/>
        </w:rPr>
        <w:t>1.3  法律</w:t>
      </w:r>
      <w:bookmarkEnd w:id="172"/>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适用于合同的法律包括中华人民共和国法律、行政法规、部门规章，以及工程所在地的地方法规、自治条例、单行条例和地方政府规章。</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73" w:name="_Toc282779478"/>
      <w:bookmarkEnd w:id="173"/>
      <w:bookmarkStart w:id="174" w:name="_Toc283794166"/>
      <w:bookmarkEnd w:id="174"/>
      <w:bookmarkStart w:id="175" w:name="_Toc179632633"/>
      <w:bookmarkEnd w:id="175"/>
      <w:bookmarkStart w:id="176" w:name="_Toc282778969"/>
      <w:bookmarkEnd w:id="176"/>
      <w:bookmarkStart w:id="177" w:name="_Toc144974583"/>
      <w:bookmarkEnd w:id="177"/>
      <w:bookmarkStart w:id="178" w:name="_Toc152042393"/>
      <w:bookmarkEnd w:id="178"/>
      <w:bookmarkStart w:id="179" w:name="_Toc287853318"/>
      <w:bookmarkEnd w:id="179"/>
      <w:bookmarkStart w:id="180" w:name="_Toc288491494"/>
      <w:bookmarkEnd w:id="180"/>
      <w:bookmarkStart w:id="181" w:name="_Toc152045615"/>
      <w:bookmarkEnd w:id="181"/>
      <w:bookmarkStart w:id="182" w:name="_Toc282787415"/>
      <w:bookmarkEnd w:id="182"/>
      <w:bookmarkStart w:id="183" w:name="_Toc237923794"/>
      <w:r>
        <w:rPr>
          <w:rFonts w:hint="eastAsia" w:ascii="宋体" w:hAnsi="宋体" w:eastAsia="宋体" w:cs="宋体"/>
          <w:color w:val="auto"/>
          <w:kern w:val="2"/>
          <w:sz w:val="21"/>
          <w:szCs w:val="21"/>
          <w:highlight w:val="none"/>
          <w:lang w:val="en-US" w:eastAsia="zh-CN" w:bidi="ar"/>
        </w:rPr>
        <w:t>1.4  合同文件的优先顺序</w:t>
      </w:r>
      <w:bookmarkEnd w:id="18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bookmarkStart w:id="184" w:name="_Toc152045616"/>
      <w:bookmarkEnd w:id="184"/>
      <w:bookmarkStart w:id="185" w:name="_Toc144974584"/>
      <w:bookmarkEnd w:id="185"/>
      <w:bookmarkStart w:id="186" w:name="_Toc152042394"/>
      <w:bookmarkEnd w:id="186"/>
      <w:bookmarkStart w:id="187" w:name="_Toc237923795"/>
      <w:bookmarkEnd w:id="187"/>
      <w:bookmarkStart w:id="188" w:name="_Toc179632634"/>
      <w:r>
        <w:rPr>
          <w:rFonts w:hint="eastAsia" w:ascii="宋体" w:hAnsi="宋体" w:eastAsia="宋体" w:cs="宋体"/>
          <w:color w:val="auto"/>
          <w:kern w:val="2"/>
          <w:sz w:val="21"/>
          <w:szCs w:val="21"/>
          <w:highlight w:val="none"/>
          <w:lang w:val="en-US" w:eastAsia="zh-CN" w:bidi="ar"/>
        </w:rPr>
        <w:t>组成合同的各项文件应互相解释，互为说明。除项目专用合同条款另有约定外，解释合同文件的优先顺序如下：</w:t>
      </w:r>
      <w:bookmarkEnd w:id="188"/>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（1）合同协议书及各种合同附件（含廉政合同和安全生产合同，评标期间和合同谈判过程中的澄清文件和补充资料）；</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（2）中标通知书；</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（3）投标函及投标函附录；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（4）项目专用合同条款；</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（5）公路养护工程专用合同条款；</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（6）通用合同条款；</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（7）技术规范；</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（8）图纸（含招标文件补遗书中与此有关部分）；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（9）已标价工程量清单；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（10）承包人有关人员、设备投入、财务能力的承诺及投标文件中的养护工程作业方案；</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（11）其他合同文件。</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89" w:name="_Toc282778970"/>
      <w:bookmarkEnd w:id="189"/>
      <w:bookmarkStart w:id="190" w:name="_Toc282787416"/>
      <w:bookmarkEnd w:id="190"/>
      <w:bookmarkStart w:id="191" w:name="_Toc283794167"/>
      <w:bookmarkEnd w:id="191"/>
      <w:bookmarkStart w:id="192" w:name="_Toc282779479"/>
      <w:bookmarkEnd w:id="192"/>
      <w:bookmarkStart w:id="193" w:name="_Toc287853319"/>
      <w:bookmarkEnd w:id="193"/>
      <w:bookmarkStart w:id="194" w:name="_Toc288491495"/>
      <w:r>
        <w:rPr>
          <w:rFonts w:hint="eastAsia" w:ascii="宋体" w:hAnsi="宋体" w:eastAsia="宋体" w:cs="宋体"/>
          <w:color w:val="auto"/>
          <w:kern w:val="2"/>
          <w:sz w:val="21"/>
          <w:szCs w:val="21"/>
          <w:highlight w:val="none"/>
          <w:lang w:val="en-US" w:eastAsia="zh-CN" w:bidi="ar"/>
        </w:rPr>
        <w:t>1.5  合同协议书</w:t>
      </w:r>
      <w:bookmarkEnd w:id="19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承包人按中标通知书规定的时间与发包人签订合同协议书。除法律另有规定或合同另有约定外，发包人和承包人的法定代表人或其委托代理人在合同协议书上签字并盖单位章后，合同生效。</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95" w:name="_Toc152045617"/>
      <w:bookmarkEnd w:id="195"/>
      <w:bookmarkStart w:id="196" w:name="_Toc288491496"/>
      <w:bookmarkEnd w:id="196"/>
      <w:bookmarkStart w:id="197" w:name="_Toc282779480"/>
      <w:bookmarkEnd w:id="197"/>
      <w:bookmarkStart w:id="198" w:name="_Toc282787417"/>
      <w:bookmarkEnd w:id="198"/>
      <w:bookmarkStart w:id="199" w:name="_Toc179632635"/>
      <w:bookmarkEnd w:id="199"/>
      <w:bookmarkStart w:id="200" w:name="_Toc144974585"/>
      <w:bookmarkEnd w:id="200"/>
      <w:bookmarkStart w:id="201" w:name="_Toc237923796"/>
      <w:bookmarkEnd w:id="201"/>
      <w:bookmarkStart w:id="202" w:name="_Toc283794168"/>
      <w:bookmarkEnd w:id="202"/>
      <w:bookmarkStart w:id="203" w:name="_Toc152042395"/>
      <w:bookmarkEnd w:id="203"/>
      <w:bookmarkStart w:id="204" w:name="_Toc287853320"/>
      <w:bookmarkEnd w:id="204"/>
      <w:bookmarkStart w:id="205" w:name="_Toc282778971"/>
      <w:r>
        <w:rPr>
          <w:rFonts w:hint="eastAsia" w:ascii="宋体" w:hAnsi="宋体" w:eastAsia="宋体" w:cs="宋体"/>
          <w:color w:val="auto"/>
          <w:kern w:val="2"/>
          <w:sz w:val="21"/>
          <w:szCs w:val="21"/>
          <w:highlight w:val="none"/>
          <w:lang w:val="en-US" w:eastAsia="zh-CN" w:bidi="ar"/>
        </w:rPr>
        <w:t>1.6  图纸和承包人文件</w:t>
      </w:r>
      <w:bookmarkEnd w:id="205"/>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1.6.1  图纸的提供</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应在发出中标通知书之后14天内，向承包人免费提供有关技术资料（养护技术规范、道路及构筑物现况、公路养护质量检查记录及次、差路率情况、）或由发包人委托的设计单位设计的正确实施和完成及其缺陷修复所需的补充图纸2份，并向承包人作技术交底。承包人需要更多份数时，应自费复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上述与本合同相关技术资料，未经发包人同意承包人不得提供给与本工程施工无关的第三方。养护承包期结束，在发给缺陷责任证书时，承包人应将发包人提供的养护技术规范、养护技术资料和所有图纸以及承包人在养护承包期内积累的所有养护记录和资料（包括台账）全部交还给发包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由于发包人未按时提供图纸和有关技术资料而造成工期延误的，按第11.3款的约定办理。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1.6.2  承包人提供的文件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按专用合同条款约定由承包人提供的文件，包括部分工程的大样图、加工图等，承包人应按约定的数量和期限报送监理人。监理人应在专用合同条款约定的期限内批复。</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1.6.3  图纸的修改</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图纸需要修改和补充的，应由监理人取得发包人同意后，在该工程或工程相应部位施工前的合理期限内签发图纸修改图给承包人，具体签发期限在专用合同条款中约定。承包人应按修改后的图纸施工。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1.6.4  图纸的错误</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承包人发现发包人提供的图纸存在明显错误或疏忽，应及时通知监理人。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1.6.5  图纸和承包人文件的保管</w:t>
      </w:r>
    </w:p>
    <w:p>
      <w:pPr>
        <w:keepNext w:val="0"/>
        <w:keepLines w:val="0"/>
        <w:widowControl w:val="0"/>
        <w:suppressLineNumbers w:val="0"/>
        <w:spacing w:before="0" w:beforeAutospacing="0" w:after="0" w:afterAutospacing="0" w:line="400" w:lineRule="exact"/>
        <w:ind w:left="202" w:leftChars="56"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监理人和承包人均应在施工场地各保存一套完整的包含第1.6.1项、第1.6.2项、第1.6.3项约定内容的图纸和承包人文件。</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06" w:name="_Toc283794169"/>
      <w:bookmarkEnd w:id="206"/>
      <w:bookmarkStart w:id="207" w:name="_Toc237923797"/>
      <w:bookmarkEnd w:id="207"/>
      <w:bookmarkStart w:id="208" w:name="_Toc179632636"/>
      <w:bookmarkEnd w:id="208"/>
      <w:bookmarkStart w:id="209" w:name="_Toc152042396"/>
      <w:bookmarkEnd w:id="209"/>
      <w:bookmarkStart w:id="210" w:name="_Toc282787418"/>
      <w:bookmarkEnd w:id="210"/>
      <w:bookmarkStart w:id="211" w:name="_Toc282778972"/>
      <w:bookmarkEnd w:id="211"/>
      <w:bookmarkStart w:id="212" w:name="_Toc287853321"/>
      <w:bookmarkEnd w:id="212"/>
      <w:bookmarkStart w:id="213" w:name="_Toc282779481"/>
      <w:bookmarkEnd w:id="213"/>
      <w:bookmarkStart w:id="214" w:name="_Toc288491497"/>
      <w:bookmarkEnd w:id="214"/>
      <w:bookmarkStart w:id="215" w:name="_Toc152045618"/>
      <w:bookmarkEnd w:id="215"/>
      <w:bookmarkStart w:id="216" w:name="_Toc144974586"/>
      <w:r>
        <w:rPr>
          <w:rFonts w:hint="eastAsia" w:ascii="宋体" w:hAnsi="宋体" w:eastAsia="宋体" w:cs="宋体"/>
          <w:color w:val="auto"/>
          <w:kern w:val="2"/>
          <w:sz w:val="21"/>
          <w:szCs w:val="21"/>
          <w:highlight w:val="none"/>
          <w:lang w:val="en-US" w:eastAsia="zh-CN" w:bidi="ar"/>
        </w:rPr>
        <w:t>1.7  联络</w:t>
      </w:r>
      <w:bookmarkEnd w:id="216"/>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1.7.1  与合同有关的通知、批准、证明、证书、指示、要求、请求、同意、意见、确定和决定等，均应采用书面形式。</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1.7.2  第1.7.1项中的通知、批准、证明、证书、指示、要求、请求、同意、意见、确定和决定等来往函件，均应在合同约定的期限内送达指定地点和接收人，并办理签收手续。</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17" w:name="_Toc282779482"/>
      <w:bookmarkEnd w:id="217"/>
      <w:bookmarkStart w:id="218" w:name="_Toc287853322"/>
      <w:bookmarkEnd w:id="218"/>
      <w:bookmarkStart w:id="219" w:name="_Toc152042397"/>
      <w:bookmarkEnd w:id="219"/>
      <w:bookmarkStart w:id="220" w:name="_Toc144974587"/>
      <w:bookmarkEnd w:id="220"/>
      <w:bookmarkStart w:id="221" w:name="_Toc237923798"/>
      <w:bookmarkEnd w:id="221"/>
      <w:bookmarkStart w:id="222" w:name="_Toc282778973"/>
      <w:bookmarkEnd w:id="222"/>
      <w:bookmarkStart w:id="223" w:name="_Toc282787419"/>
      <w:bookmarkEnd w:id="223"/>
      <w:bookmarkStart w:id="224" w:name="_Toc283794170"/>
      <w:bookmarkEnd w:id="224"/>
      <w:bookmarkStart w:id="225" w:name="_Toc152045619"/>
      <w:bookmarkEnd w:id="225"/>
      <w:bookmarkStart w:id="226" w:name="_Toc288491498"/>
      <w:bookmarkEnd w:id="226"/>
      <w:bookmarkStart w:id="227" w:name="_Toc179632637"/>
      <w:r>
        <w:rPr>
          <w:rFonts w:hint="eastAsia" w:ascii="宋体" w:hAnsi="宋体" w:eastAsia="宋体" w:cs="宋体"/>
          <w:color w:val="auto"/>
          <w:kern w:val="2"/>
          <w:sz w:val="21"/>
          <w:szCs w:val="21"/>
          <w:highlight w:val="none"/>
          <w:lang w:val="en-US" w:eastAsia="zh-CN" w:bidi="ar"/>
        </w:rPr>
        <w:t>1.8  转让</w:t>
      </w:r>
      <w:bookmarkEnd w:id="227"/>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除合同另有约定外，未经对方当事人同意，一方当事人不得将合同权利全部或部分转让给第三人，也不得全部或部分转移合同义务。</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28" w:name="_Toc144974588"/>
      <w:bookmarkEnd w:id="228"/>
      <w:bookmarkStart w:id="229" w:name="_Toc237923799"/>
      <w:bookmarkEnd w:id="229"/>
      <w:bookmarkStart w:id="230" w:name="_Toc282787420"/>
      <w:bookmarkEnd w:id="230"/>
      <w:bookmarkStart w:id="231" w:name="_Toc179632638"/>
      <w:bookmarkEnd w:id="231"/>
      <w:bookmarkStart w:id="232" w:name="_Toc152045620"/>
      <w:bookmarkEnd w:id="232"/>
      <w:bookmarkStart w:id="233" w:name="_Toc283794171"/>
      <w:bookmarkEnd w:id="233"/>
      <w:bookmarkStart w:id="234" w:name="_Toc287853323"/>
      <w:bookmarkEnd w:id="234"/>
      <w:bookmarkStart w:id="235" w:name="_Toc282778974"/>
      <w:bookmarkEnd w:id="235"/>
      <w:bookmarkStart w:id="236" w:name="_Toc282779483"/>
      <w:bookmarkEnd w:id="236"/>
      <w:bookmarkStart w:id="237" w:name="_Toc152042398"/>
      <w:bookmarkEnd w:id="237"/>
      <w:bookmarkStart w:id="238" w:name="_Toc288491499"/>
      <w:r>
        <w:rPr>
          <w:rFonts w:hint="eastAsia" w:ascii="宋体" w:hAnsi="宋体" w:eastAsia="宋体" w:cs="宋体"/>
          <w:color w:val="auto"/>
          <w:kern w:val="2"/>
          <w:sz w:val="21"/>
          <w:szCs w:val="21"/>
          <w:highlight w:val="none"/>
          <w:lang w:val="en-US" w:eastAsia="zh-CN" w:bidi="ar"/>
        </w:rPr>
        <w:t>1.9  严禁贿赂</w:t>
      </w:r>
      <w:bookmarkEnd w:id="238"/>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合同双方当事人不得以贿赂或变相贿赂的方式，谋取不当利益或损害对方权益。因贿赂造成对方损失的，行为人应赔偿损失，并承担相应的法律责任。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39" w:name="_Toc288491500"/>
      <w:bookmarkEnd w:id="239"/>
      <w:bookmarkStart w:id="240" w:name="_Toc144974589"/>
      <w:bookmarkEnd w:id="240"/>
      <w:bookmarkStart w:id="241" w:name="_Toc282787421"/>
      <w:bookmarkEnd w:id="241"/>
      <w:bookmarkStart w:id="242" w:name="_Toc152042399"/>
      <w:bookmarkEnd w:id="242"/>
      <w:bookmarkStart w:id="243" w:name="_Toc237923800"/>
      <w:bookmarkEnd w:id="243"/>
      <w:bookmarkStart w:id="244" w:name="_Toc283794172"/>
      <w:bookmarkEnd w:id="244"/>
      <w:bookmarkStart w:id="245" w:name="_Toc152045621"/>
      <w:bookmarkEnd w:id="245"/>
      <w:bookmarkStart w:id="246" w:name="_Toc179632639"/>
      <w:bookmarkEnd w:id="246"/>
      <w:bookmarkStart w:id="247" w:name="_Toc282779484"/>
      <w:bookmarkEnd w:id="247"/>
      <w:bookmarkStart w:id="248" w:name="_Toc287853324"/>
      <w:bookmarkEnd w:id="248"/>
      <w:bookmarkStart w:id="249" w:name="_Toc282778975"/>
      <w:r>
        <w:rPr>
          <w:rFonts w:hint="eastAsia" w:ascii="宋体" w:hAnsi="宋体" w:eastAsia="宋体" w:cs="宋体"/>
          <w:color w:val="auto"/>
          <w:kern w:val="2"/>
          <w:sz w:val="21"/>
          <w:szCs w:val="21"/>
          <w:highlight w:val="none"/>
          <w:lang w:val="en-US" w:eastAsia="zh-CN" w:bidi="ar"/>
        </w:rPr>
        <w:t>1.10  化石、文物</w:t>
      </w:r>
      <w:bookmarkEnd w:id="249"/>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1.10.2  承包人发现文物后不及时报告或隐瞒不报，致使文物丢失或损坏的，应赔偿损失，并承担相应的法律责任。</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50" w:name="_Toc237923801"/>
      <w:bookmarkEnd w:id="250"/>
      <w:bookmarkStart w:id="251" w:name="_Toc179632640"/>
      <w:bookmarkEnd w:id="251"/>
      <w:bookmarkStart w:id="252" w:name="_Toc282779485"/>
      <w:bookmarkEnd w:id="252"/>
      <w:bookmarkStart w:id="253" w:name="_Toc282787422"/>
      <w:bookmarkEnd w:id="253"/>
      <w:bookmarkStart w:id="254" w:name="_Toc152042400"/>
      <w:bookmarkEnd w:id="254"/>
      <w:bookmarkStart w:id="255" w:name="_Toc152045622"/>
      <w:bookmarkEnd w:id="255"/>
      <w:bookmarkStart w:id="256" w:name="_Toc144974590"/>
      <w:bookmarkEnd w:id="256"/>
      <w:bookmarkStart w:id="257" w:name="_Toc287853325"/>
      <w:bookmarkEnd w:id="257"/>
      <w:bookmarkStart w:id="258" w:name="_Toc288491501"/>
      <w:bookmarkEnd w:id="258"/>
      <w:bookmarkStart w:id="259" w:name="_Toc283794173"/>
      <w:bookmarkEnd w:id="259"/>
      <w:bookmarkStart w:id="260" w:name="_Toc282778976"/>
      <w:r>
        <w:rPr>
          <w:rFonts w:hint="eastAsia" w:ascii="宋体" w:hAnsi="宋体" w:eastAsia="宋体" w:cs="宋体"/>
          <w:color w:val="auto"/>
          <w:kern w:val="2"/>
          <w:sz w:val="21"/>
          <w:szCs w:val="21"/>
          <w:highlight w:val="none"/>
          <w:lang w:val="en-US" w:eastAsia="zh-CN" w:bidi="ar"/>
        </w:rPr>
        <w:t>1.11  专利技术</w:t>
      </w:r>
      <w:bookmarkEnd w:id="260"/>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1.11.1  承包人在使用任何材料、承包人设备、工程设备或采用施工工艺时，因侵犯专利权或其他知识产权所引起的责任，由承包人承担，但由于遵照发包人提供的设计或技术标准和要求引起的除外。</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1.11.2  承包人在投标文件中采用专利技术的，专利技术的使用费包含在投标报价内。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1.11.3  承包人的技术秘密和声明需要保密的资料和信息，发包人和监理人不得为合同以外的目的泄露给他人。</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61" w:name="_Toc283794174"/>
      <w:bookmarkEnd w:id="261"/>
      <w:bookmarkStart w:id="262" w:name="_Toc237923802"/>
      <w:bookmarkEnd w:id="262"/>
      <w:bookmarkStart w:id="263" w:name="_Toc288491502"/>
      <w:bookmarkEnd w:id="263"/>
      <w:bookmarkStart w:id="264" w:name="_Toc282787423"/>
      <w:bookmarkEnd w:id="264"/>
      <w:bookmarkStart w:id="265" w:name="_Toc282779486"/>
      <w:bookmarkEnd w:id="265"/>
      <w:bookmarkStart w:id="266" w:name="_Toc152045623"/>
      <w:bookmarkEnd w:id="266"/>
      <w:bookmarkStart w:id="267" w:name="_Toc287853326"/>
      <w:bookmarkEnd w:id="267"/>
      <w:bookmarkStart w:id="268" w:name="_Toc179632641"/>
      <w:bookmarkEnd w:id="268"/>
      <w:bookmarkStart w:id="269" w:name="_Toc144974591"/>
      <w:bookmarkEnd w:id="269"/>
      <w:bookmarkStart w:id="270" w:name="_Toc282778977"/>
      <w:bookmarkEnd w:id="270"/>
      <w:bookmarkStart w:id="271" w:name="_Toc152042401"/>
      <w:r>
        <w:rPr>
          <w:rFonts w:hint="eastAsia" w:ascii="宋体" w:hAnsi="宋体" w:eastAsia="宋体" w:cs="宋体"/>
          <w:color w:val="auto"/>
          <w:kern w:val="2"/>
          <w:sz w:val="21"/>
          <w:szCs w:val="21"/>
          <w:highlight w:val="none"/>
          <w:lang w:val="en-US" w:eastAsia="zh-CN" w:bidi="ar"/>
        </w:rPr>
        <w:t>1.12  图纸和文件的保密</w:t>
      </w:r>
      <w:bookmarkEnd w:id="271"/>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1.12.1  发包人提供的图纸和文件，未经发包人同意，承包人不得为合同以外的目的泄露给他人或公开发表与引用。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1.12.2  承包人提供的文件，未经承包人同意，发包人和监理人不得为合同以外的目的泄露给他人或公开发表与引用。</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272" w:name="_Toc28611"/>
      <w:bookmarkEnd w:id="272"/>
      <w:bookmarkStart w:id="273" w:name="_Toc237923803"/>
      <w:bookmarkEnd w:id="273"/>
      <w:bookmarkStart w:id="274" w:name="_Toc152042402"/>
      <w:bookmarkEnd w:id="274"/>
      <w:bookmarkStart w:id="275" w:name="_Toc118378073"/>
      <w:bookmarkEnd w:id="275"/>
      <w:bookmarkStart w:id="276" w:name="_Toc283794175"/>
      <w:bookmarkEnd w:id="276"/>
      <w:bookmarkStart w:id="277" w:name="_Toc32384"/>
      <w:bookmarkEnd w:id="277"/>
      <w:bookmarkStart w:id="278" w:name="_Toc152045624"/>
      <w:bookmarkEnd w:id="278"/>
      <w:bookmarkStart w:id="279" w:name="_Toc4788"/>
      <w:bookmarkEnd w:id="279"/>
      <w:bookmarkStart w:id="280" w:name="_Toc282779487"/>
      <w:bookmarkEnd w:id="280"/>
      <w:bookmarkStart w:id="281" w:name="_Toc288491503"/>
      <w:bookmarkEnd w:id="281"/>
      <w:bookmarkStart w:id="282" w:name="_Toc282778978"/>
      <w:bookmarkEnd w:id="282"/>
      <w:bookmarkStart w:id="283" w:name="_Toc25542"/>
      <w:bookmarkEnd w:id="283"/>
      <w:bookmarkStart w:id="284" w:name="_Toc20151"/>
      <w:bookmarkEnd w:id="284"/>
      <w:bookmarkStart w:id="285" w:name="_Toc6684"/>
      <w:bookmarkEnd w:id="285"/>
      <w:bookmarkStart w:id="286" w:name="_Toc28278"/>
      <w:bookmarkEnd w:id="286"/>
      <w:bookmarkStart w:id="287" w:name="_Toc282787424"/>
      <w:bookmarkEnd w:id="287"/>
      <w:bookmarkStart w:id="288" w:name="_Toc29442"/>
      <w:bookmarkEnd w:id="288"/>
      <w:bookmarkStart w:id="289" w:name="_Toc17773"/>
      <w:bookmarkEnd w:id="289"/>
      <w:bookmarkStart w:id="290" w:name="_Toc179632642"/>
      <w:bookmarkEnd w:id="290"/>
      <w:bookmarkStart w:id="291" w:name="_Toc287853327"/>
      <w:bookmarkEnd w:id="291"/>
      <w:bookmarkStart w:id="292" w:name="_Toc14922"/>
      <w:bookmarkEnd w:id="292"/>
      <w:bookmarkStart w:id="293" w:name="_Toc8797"/>
      <w:bookmarkEnd w:id="293"/>
      <w:bookmarkStart w:id="294" w:name="_Toc514936602"/>
      <w:bookmarkEnd w:id="294"/>
      <w:bookmarkStart w:id="295" w:name="_Toc144974592"/>
      <w:bookmarkEnd w:id="295"/>
      <w:bookmarkStart w:id="296" w:name="_Toc26546"/>
      <w:bookmarkEnd w:id="296"/>
      <w:bookmarkStart w:id="297" w:name="_Toc13809"/>
      <w:r>
        <w:rPr>
          <w:rFonts w:hint="eastAsia" w:ascii="宋体" w:hAnsi="宋体" w:eastAsia="宋体" w:cs="宋体"/>
          <w:color w:val="auto"/>
          <w:kern w:val="2"/>
          <w:sz w:val="21"/>
          <w:szCs w:val="21"/>
          <w:highlight w:val="none"/>
          <w:lang w:val="en-US" w:eastAsia="zh-CN" w:bidi="ar"/>
        </w:rPr>
        <w:t>2．发包人义务</w:t>
      </w:r>
      <w:bookmarkEnd w:id="297"/>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98" w:name="_Toc282787425"/>
      <w:bookmarkEnd w:id="298"/>
      <w:bookmarkStart w:id="299" w:name="_Toc152042403"/>
      <w:bookmarkEnd w:id="299"/>
      <w:bookmarkStart w:id="300" w:name="_Toc282779488"/>
      <w:bookmarkEnd w:id="300"/>
      <w:bookmarkStart w:id="301" w:name="_Toc237923804"/>
      <w:bookmarkEnd w:id="301"/>
      <w:bookmarkStart w:id="302" w:name="_Toc287853328"/>
      <w:bookmarkEnd w:id="302"/>
      <w:bookmarkStart w:id="303" w:name="_Toc152045625"/>
      <w:bookmarkEnd w:id="303"/>
      <w:bookmarkStart w:id="304" w:name="_Toc283794176"/>
      <w:bookmarkEnd w:id="304"/>
      <w:bookmarkStart w:id="305" w:name="_Toc179632643"/>
      <w:bookmarkEnd w:id="305"/>
      <w:bookmarkStart w:id="306" w:name="_Toc282778979"/>
      <w:bookmarkEnd w:id="306"/>
      <w:bookmarkStart w:id="307" w:name="_Toc144974593"/>
      <w:bookmarkEnd w:id="307"/>
      <w:bookmarkStart w:id="308" w:name="_Toc288491504"/>
      <w:r>
        <w:rPr>
          <w:rFonts w:hint="eastAsia" w:ascii="宋体" w:hAnsi="宋体" w:eastAsia="宋体" w:cs="宋体"/>
          <w:color w:val="auto"/>
          <w:kern w:val="2"/>
          <w:sz w:val="21"/>
          <w:szCs w:val="21"/>
          <w:highlight w:val="none"/>
          <w:lang w:val="en-US" w:eastAsia="zh-CN" w:bidi="ar"/>
        </w:rPr>
        <w:t>2.1  遵守法律</w:t>
      </w:r>
      <w:bookmarkEnd w:id="308"/>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发包人在履行合同过程中应遵守法律，并保证承包人免于承担因发包人违反法律而引起的任何责任。</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309" w:name="_Toc287853329"/>
      <w:bookmarkEnd w:id="309"/>
      <w:bookmarkStart w:id="310" w:name="_Toc152042404"/>
      <w:bookmarkEnd w:id="310"/>
      <w:bookmarkStart w:id="311" w:name="_Toc179632644"/>
      <w:bookmarkEnd w:id="311"/>
      <w:bookmarkStart w:id="312" w:name="_Toc144974594"/>
      <w:bookmarkEnd w:id="312"/>
      <w:bookmarkStart w:id="313" w:name="_Toc288491505"/>
      <w:bookmarkEnd w:id="313"/>
      <w:bookmarkStart w:id="314" w:name="_Toc152045626"/>
      <w:bookmarkEnd w:id="314"/>
      <w:bookmarkStart w:id="315" w:name="_Toc283794177"/>
      <w:bookmarkEnd w:id="315"/>
      <w:bookmarkStart w:id="316" w:name="_Toc282779489"/>
      <w:bookmarkEnd w:id="316"/>
      <w:bookmarkStart w:id="317" w:name="_Toc237923805"/>
      <w:bookmarkEnd w:id="317"/>
      <w:bookmarkStart w:id="318" w:name="_Toc282787426"/>
      <w:bookmarkEnd w:id="318"/>
      <w:bookmarkStart w:id="319" w:name="_Toc282778980"/>
      <w:r>
        <w:rPr>
          <w:rFonts w:hint="eastAsia" w:ascii="宋体" w:hAnsi="宋体" w:eastAsia="宋体" w:cs="宋体"/>
          <w:color w:val="auto"/>
          <w:kern w:val="2"/>
          <w:sz w:val="21"/>
          <w:szCs w:val="21"/>
          <w:highlight w:val="none"/>
          <w:lang w:val="en-US" w:eastAsia="zh-CN" w:bidi="ar"/>
        </w:rPr>
        <w:t>2.2  发出开工通知</w:t>
      </w:r>
      <w:bookmarkEnd w:id="319"/>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发包人应委托监理人按第11.1款的约定向承包人发出开工通知。</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320" w:name="_Toc152045627"/>
      <w:bookmarkEnd w:id="320"/>
      <w:bookmarkStart w:id="321" w:name="_Toc287853330"/>
      <w:bookmarkEnd w:id="321"/>
      <w:bookmarkStart w:id="322" w:name="_Toc179632645"/>
      <w:bookmarkEnd w:id="322"/>
      <w:bookmarkStart w:id="323" w:name="_Toc282779490"/>
      <w:bookmarkEnd w:id="323"/>
      <w:bookmarkStart w:id="324" w:name="_Toc237923806"/>
      <w:bookmarkEnd w:id="324"/>
      <w:bookmarkStart w:id="325" w:name="_Toc282787427"/>
      <w:bookmarkEnd w:id="325"/>
      <w:bookmarkStart w:id="326" w:name="_Toc282778981"/>
      <w:bookmarkEnd w:id="326"/>
      <w:bookmarkStart w:id="327" w:name="_Toc288491506"/>
      <w:bookmarkEnd w:id="327"/>
      <w:bookmarkStart w:id="328" w:name="_Toc152042405"/>
      <w:bookmarkEnd w:id="328"/>
      <w:bookmarkStart w:id="329" w:name="_Toc144974595"/>
      <w:bookmarkEnd w:id="329"/>
      <w:bookmarkStart w:id="330" w:name="_Toc283794178"/>
      <w:r>
        <w:rPr>
          <w:rFonts w:hint="eastAsia" w:ascii="宋体" w:hAnsi="宋体" w:eastAsia="宋体" w:cs="宋体"/>
          <w:color w:val="auto"/>
          <w:kern w:val="2"/>
          <w:sz w:val="21"/>
          <w:szCs w:val="21"/>
          <w:highlight w:val="none"/>
          <w:lang w:val="en-US" w:eastAsia="zh-CN" w:bidi="ar"/>
        </w:rPr>
        <w:t>2.3  提供施工场地</w:t>
      </w:r>
      <w:bookmarkEnd w:id="330"/>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发包人应按专用合同条款约定向承包人提供施工场地，以及施工场地内地下管线和地下设施等有关资料，并保证资料的真实、准确、完整。</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发包人应协调承包人办理临时用地的租用。</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331" w:name="_Toc282778982"/>
      <w:bookmarkEnd w:id="331"/>
      <w:bookmarkStart w:id="332" w:name="_Toc282787428"/>
      <w:bookmarkEnd w:id="332"/>
      <w:bookmarkStart w:id="333" w:name="_Toc287853331"/>
      <w:bookmarkEnd w:id="333"/>
      <w:bookmarkStart w:id="334" w:name="_Toc282779491"/>
      <w:bookmarkEnd w:id="334"/>
      <w:bookmarkStart w:id="335" w:name="_Toc152042406"/>
      <w:bookmarkEnd w:id="335"/>
      <w:bookmarkStart w:id="336" w:name="_Toc179632646"/>
      <w:bookmarkEnd w:id="336"/>
      <w:bookmarkStart w:id="337" w:name="_Toc144974596"/>
      <w:bookmarkEnd w:id="337"/>
      <w:bookmarkStart w:id="338" w:name="_Toc283794179"/>
      <w:bookmarkEnd w:id="338"/>
      <w:bookmarkStart w:id="339" w:name="_Toc288491507"/>
      <w:bookmarkEnd w:id="339"/>
      <w:bookmarkStart w:id="340" w:name="_Toc237923807"/>
      <w:bookmarkEnd w:id="340"/>
      <w:bookmarkStart w:id="341" w:name="_Toc152045628"/>
      <w:r>
        <w:rPr>
          <w:rFonts w:hint="eastAsia" w:ascii="宋体" w:hAnsi="宋体" w:eastAsia="宋体" w:cs="宋体"/>
          <w:color w:val="auto"/>
          <w:kern w:val="2"/>
          <w:sz w:val="21"/>
          <w:szCs w:val="21"/>
          <w:highlight w:val="none"/>
          <w:lang w:val="en-US" w:eastAsia="zh-CN" w:bidi="ar"/>
        </w:rPr>
        <w:t>2.4  协助承包人办理证件和批件</w:t>
      </w:r>
      <w:bookmarkEnd w:id="341"/>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发包人应协助承包人办理法律规定的有关施工证件和批件。</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342" w:name="_Toc287853332"/>
      <w:bookmarkEnd w:id="342"/>
      <w:bookmarkStart w:id="343" w:name="_Toc282778983"/>
      <w:bookmarkEnd w:id="343"/>
      <w:bookmarkStart w:id="344" w:name="_Toc288491508"/>
      <w:bookmarkEnd w:id="344"/>
      <w:bookmarkStart w:id="345" w:name="_Toc179632647"/>
      <w:bookmarkEnd w:id="345"/>
      <w:bookmarkStart w:id="346" w:name="_Toc152042407"/>
      <w:bookmarkEnd w:id="346"/>
      <w:bookmarkStart w:id="347" w:name="_Toc282787429"/>
      <w:bookmarkEnd w:id="347"/>
      <w:bookmarkStart w:id="348" w:name="_Toc283794180"/>
      <w:bookmarkEnd w:id="348"/>
      <w:bookmarkStart w:id="349" w:name="_Toc144974597"/>
      <w:bookmarkEnd w:id="349"/>
      <w:bookmarkStart w:id="350" w:name="_Toc237923808"/>
      <w:bookmarkEnd w:id="350"/>
      <w:bookmarkStart w:id="351" w:name="_Toc282779492"/>
      <w:bookmarkEnd w:id="351"/>
      <w:bookmarkStart w:id="352" w:name="_Toc152045629"/>
      <w:r>
        <w:rPr>
          <w:rFonts w:hint="eastAsia" w:ascii="宋体" w:hAnsi="宋体" w:eastAsia="宋体" w:cs="宋体"/>
          <w:color w:val="auto"/>
          <w:kern w:val="2"/>
          <w:sz w:val="21"/>
          <w:szCs w:val="21"/>
          <w:highlight w:val="none"/>
          <w:lang w:val="en-US" w:eastAsia="zh-CN" w:bidi="ar"/>
        </w:rPr>
        <w:t>2.5  组织设计交底</w:t>
      </w:r>
      <w:bookmarkEnd w:id="352"/>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发包人应根据合同进度计划，组织设计单位向承包人进行设计交底。</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353" w:name="_Toc237923809"/>
      <w:bookmarkEnd w:id="353"/>
      <w:bookmarkStart w:id="354" w:name="_Toc152045630"/>
      <w:bookmarkEnd w:id="354"/>
      <w:bookmarkStart w:id="355" w:name="_Toc287853333"/>
      <w:bookmarkEnd w:id="355"/>
      <w:bookmarkStart w:id="356" w:name="_Toc144974598"/>
      <w:bookmarkEnd w:id="356"/>
      <w:bookmarkStart w:id="357" w:name="_Toc282778984"/>
      <w:bookmarkEnd w:id="357"/>
      <w:bookmarkStart w:id="358" w:name="_Toc282779493"/>
      <w:bookmarkEnd w:id="358"/>
      <w:bookmarkStart w:id="359" w:name="_Toc152042408"/>
      <w:bookmarkEnd w:id="359"/>
      <w:bookmarkStart w:id="360" w:name="_Toc179632648"/>
      <w:bookmarkEnd w:id="360"/>
      <w:bookmarkStart w:id="361" w:name="_Toc282787430"/>
      <w:bookmarkEnd w:id="361"/>
      <w:bookmarkStart w:id="362" w:name="_Toc288491509"/>
      <w:bookmarkEnd w:id="362"/>
      <w:bookmarkStart w:id="363" w:name="_Toc283794181"/>
      <w:r>
        <w:rPr>
          <w:rFonts w:hint="eastAsia" w:ascii="宋体" w:hAnsi="宋体" w:eastAsia="宋体" w:cs="宋体"/>
          <w:color w:val="auto"/>
          <w:kern w:val="2"/>
          <w:sz w:val="21"/>
          <w:szCs w:val="21"/>
          <w:highlight w:val="none"/>
          <w:lang w:val="en-US" w:eastAsia="zh-CN" w:bidi="ar"/>
        </w:rPr>
        <w:t>2.6  支付合同价款</w:t>
      </w:r>
      <w:bookmarkEnd w:id="36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发包人应按合同约定向承包人及时支付合同价款。</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364" w:name="_Toc283794182"/>
      <w:bookmarkEnd w:id="364"/>
      <w:bookmarkStart w:id="365" w:name="_Toc237923810"/>
      <w:bookmarkEnd w:id="365"/>
      <w:bookmarkStart w:id="366" w:name="_Toc282778985"/>
      <w:bookmarkEnd w:id="366"/>
      <w:bookmarkStart w:id="367" w:name="_Toc287853334"/>
      <w:bookmarkEnd w:id="367"/>
      <w:bookmarkStart w:id="368" w:name="_Toc152042409"/>
      <w:bookmarkEnd w:id="368"/>
      <w:bookmarkStart w:id="369" w:name="_Toc282787431"/>
      <w:bookmarkEnd w:id="369"/>
      <w:bookmarkStart w:id="370" w:name="_Toc144974599"/>
      <w:bookmarkEnd w:id="370"/>
      <w:bookmarkStart w:id="371" w:name="_Toc288491510"/>
      <w:bookmarkEnd w:id="371"/>
      <w:bookmarkStart w:id="372" w:name="_Toc152045631"/>
      <w:bookmarkEnd w:id="372"/>
      <w:bookmarkStart w:id="373" w:name="_Toc179632649"/>
      <w:bookmarkEnd w:id="373"/>
      <w:bookmarkStart w:id="374" w:name="_Toc282779494"/>
      <w:r>
        <w:rPr>
          <w:rFonts w:hint="eastAsia" w:ascii="宋体" w:hAnsi="宋体" w:eastAsia="宋体" w:cs="宋体"/>
          <w:color w:val="auto"/>
          <w:kern w:val="2"/>
          <w:sz w:val="21"/>
          <w:szCs w:val="21"/>
          <w:highlight w:val="none"/>
          <w:lang w:val="en-US" w:eastAsia="zh-CN" w:bidi="ar"/>
        </w:rPr>
        <w:t>2.7  组织竣工验收</w:t>
      </w:r>
      <w:bookmarkEnd w:id="37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发包人应按合同约定及时组织竣工验收。</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375" w:name="_Toc179632650"/>
      <w:bookmarkEnd w:id="375"/>
      <w:bookmarkStart w:id="376" w:name="_Toc152042410"/>
      <w:bookmarkEnd w:id="376"/>
      <w:bookmarkStart w:id="377" w:name="_Toc283794183"/>
      <w:bookmarkEnd w:id="377"/>
      <w:bookmarkStart w:id="378" w:name="_Toc282779495"/>
      <w:bookmarkEnd w:id="378"/>
      <w:bookmarkStart w:id="379" w:name="_Toc282787432"/>
      <w:bookmarkEnd w:id="379"/>
      <w:bookmarkStart w:id="380" w:name="_Toc152045632"/>
      <w:bookmarkEnd w:id="380"/>
      <w:bookmarkStart w:id="381" w:name="_Toc237923811"/>
      <w:bookmarkEnd w:id="381"/>
      <w:bookmarkStart w:id="382" w:name="_Toc144974600"/>
      <w:bookmarkEnd w:id="382"/>
      <w:bookmarkStart w:id="383" w:name="_Toc287853335"/>
      <w:bookmarkEnd w:id="383"/>
      <w:bookmarkStart w:id="384" w:name="_Toc282778986"/>
      <w:bookmarkEnd w:id="384"/>
      <w:bookmarkStart w:id="385" w:name="_Toc288491511"/>
      <w:r>
        <w:rPr>
          <w:rFonts w:hint="eastAsia" w:ascii="宋体" w:hAnsi="宋体" w:eastAsia="宋体" w:cs="宋体"/>
          <w:color w:val="auto"/>
          <w:kern w:val="2"/>
          <w:sz w:val="21"/>
          <w:szCs w:val="21"/>
          <w:highlight w:val="none"/>
          <w:lang w:val="en-US" w:eastAsia="zh-CN" w:bidi="ar"/>
        </w:rPr>
        <w:t>2.8  其他义务</w:t>
      </w:r>
      <w:bookmarkEnd w:id="385"/>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发包人应履行合同约定的其他义务。</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386" w:name="_Toc4635"/>
      <w:bookmarkEnd w:id="386"/>
      <w:bookmarkStart w:id="387" w:name="_Toc30188"/>
      <w:bookmarkEnd w:id="387"/>
      <w:bookmarkStart w:id="388" w:name="_Toc12866"/>
      <w:bookmarkEnd w:id="388"/>
      <w:bookmarkStart w:id="389" w:name="_Toc288491512"/>
      <w:bookmarkEnd w:id="389"/>
      <w:bookmarkStart w:id="390" w:name="_Toc283794184"/>
      <w:bookmarkEnd w:id="390"/>
      <w:bookmarkStart w:id="391" w:name="_Toc144974601"/>
      <w:bookmarkEnd w:id="391"/>
      <w:bookmarkStart w:id="392" w:name="_Toc19235"/>
      <w:bookmarkEnd w:id="392"/>
      <w:bookmarkStart w:id="393" w:name="_Toc179632651"/>
      <w:bookmarkEnd w:id="393"/>
      <w:bookmarkStart w:id="394" w:name="_Toc118378074"/>
      <w:bookmarkEnd w:id="394"/>
      <w:bookmarkStart w:id="395" w:name="_Toc282787433"/>
      <w:bookmarkEnd w:id="395"/>
      <w:bookmarkStart w:id="396" w:name="_Toc514936603"/>
      <w:bookmarkEnd w:id="396"/>
      <w:bookmarkStart w:id="397" w:name="_Toc20403"/>
      <w:bookmarkEnd w:id="397"/>
      <w:bookmarkStart w:id="398" w:name="_Toc282779496"/>
      <w:bookmarkEnd w:id="398"/>
      <w:bookmarkStart w:id="399" w:name="_Toc287853336"/>
      <w:bookmarkEnd w:id="399"/>
      <w:bookmarkStart w:id="400" w:name="_Toc25059"/>
      <w:bookmarkEnd w:id="400"/>
      <w:bookmarkStart w:id="401" w:name="_Toc152042411"/>
      <w:bookmarkEnd w:id="401"/>
      <w:bookmarkStart w:id="402" w:name="_Toc20306"/>
      <w:bookmarkEnd w:id="402"/>
      <w:bookmarkStart w:id="403" w:name="_Toc14108"/>
      <w:bookmarkEnd w:id="403"/>
      <w:bookmarkStart w:id="404" w:name="_Toc282778987"/>
      <w:bookmarkEnd w:id="404"/>
      <w:bookmarkStart w:id="405" w:name="_Toc237923812"/>
      <w:bookmarkEnd w:id="405"/>
      <w:bookmarkStart w:id="406" w:name="_Toc152045633"/>
      <w:bookmarkEnd w:id="406"/>
      <w:bookmarkStart w:id="407" w:name="_Toc25987"/>
      <w:bookmarkEnd w:id="407"/>
      <w:bookmarkStart w:id="408" w:name="_Toc26947"/>
      <w:bookmarkEnd w:id="408"/>
      <w:bookmarkStart w:id="409" w:name="_Toc20185"/>
      <w:bookmarkEnd w:id="409"/>
      <w:bookmarkStart w:id="410" w:name="_Toc3024"/>
      <w:bookmarkEnd w:id="410"/>
      <w:bookmarkStart w:id="411" w:name="_Toc20929"/>
      <w:r>
        <w:rPr>
          <w:rFonts w:hint="eastAsia" w:ascii="宋体" w:hAnsi="宋体" w:eastAsia="宋体" w:cs="宋体"/>
          <w:color w:val="auto"/>
          <w:kern w:val="2"/>
          <w:sz w:val="21"/>
          <w:szCs w:val="21"/>
          <w:highlight w:val="none"/>
          <w:lang w:val="en-US" w:eastAsia="zh-CN" w:bidi="ar"/>
        </w:rPr>
        <w:t>3．监理人</w:t>
      </w:r>
      <w:bookmarkEnd w:id="411"/>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412" w:name="_Toc283794185"/>
      <w:bookmarkEnd w:id="412"/>
      <w:bookmarkStart w:id="413" w:name="_Toc152045634"/>
      <w:bookmarkEnd w:id="413"/>
      <w:bookmarkStart w:id="414" w:name="_Toc288491513"/>
      <w:bookmarkEnd w:id="414"/>
      <w:bookmarkStart w:id="415" w:name="_Toc237923813"/>
      <w:bookmarkEnd w:id="415"/>
      <w:bookmarkStart w:id="416" w:name="_Toc152042412"/>
      <w:bookmarkEnd w:id="416"/>
      <w:bookmarkStart w:id="417" w:name="_Toc287853337"/>
      <w:bookmarkEnd w:id="417"/>
      <w:bookmarkStart w:id="418" w:name="_Toc179632652"/>
      <w:bookmarkEnd w:id="418"/>
      <w:bookmarkStart w:id="419" w:name="_Toc282779497"/>
      <w:bookmarkEnd w:id="419"/>
      <w:bookmarkStart w:id="420" w:name="_Toc144974602"/>
      <w:bookmarkEnd w:id="420"/>
      <w:bookmarkStart w:id="421" w:name="_Toc282778988"/>
      <w:bookmarkEnd w:id="421"/>
      <w:bookmarkStart w:id="422" w:name="_Toc282787434"/>
      <w:r>
        <w:rPr>
          <w:rFonts w:hint="eastAsia" w:ascii="宋体" w:hAnsi="宋体" w:eastAsia="宋体" w:cs="宋体"/>
          <w:color w:val="auto"/>
          <w:kern w:val="2"/>
          <w:sz w:val="21"/>
          <w:szCs w:val="21"/>
          <w:highlight w:val="none"/>
          <w:lang w:val="en-US" w:eastAsia="zh-CN" w:bidi="ar"/>
        </w:rPr>
        <w:t>3.1  监理人的职责和权力</w:t>
      </w:r>
      <w:bookmarkEnd w:id="422"/>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3.1.1  监理人受发包人委托，享有合同约定的权力。监理人在行使某项权力前需要经发包人事先批准而通用合同条款没有指明的，应在专用合同条款中指明。</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监理人在行使下列权力前需要经发包人事先批准：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（1）根据第4.3款，同意分包本工程的某非主体部和非关键性工作；</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（2）确定第4.11款下产生的费用增加额；</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（3）根据第11.1款、第12.3款、第12.4款发布开工通知、暂停施工指示或复工通知；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（4）决定第11.3款、第11.4款下的工期延期；</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（5）根据第15.3款发出的变更指令，其单项工程变更涉及的金额超过了该单项工程原合同价的5%或累计变更超过了原总合同价的3%；如在《监理服务合同》中另有规定者，从其规定，并就此通知承包人；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（6）根据第15.4款下变更工作的单价；</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（7）按照第15.6款决定有关暂列金额的使用；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（8）确定第23.1款项下的索赔额；</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如果发生紧急情况，监理人认为将造成人员伤亡，或危及本工程或邻近的财产需立即采取行动，监理人有权在未征得发包人的批准情况下发布处理紧急情况所必需的指令，承包人应予执行，由此造成的费用增加由监理人按第3.5款商定或确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3.1.2  监理人发出的任何指示应视为已得到发包人的批准，但监理人无权免除或变更合同约定的发包人和承包人的权利、义务和责任。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3.1.3  合同约定应由承包人承担的义务和责任，不因监理人对承包人提交文件的审查或批准，对工程、材料和设备的检查和检验，以及为实施监理作出的指示等职务行为而减轻或解除。</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423" w:name="_Toc179632653"/>
      <w:bookmarkEnd w:id="423"/>
      <w:bookmarkStart w:id="424" w:name="_Toc144974603"/>
      <w:bookmarkEnd w:id="424"/>
      <w:bookmarkStart w:id="425" w:name="_Toc282778989"/>
      <w:bookmarkEnd w:id="425"/>
      <w:bookmarkStart w:id="426" w:name="_Toc152042413"/>
      <w:bookmarkEnd w:id="426"/>
      <w:bookmarkStart w:id="427" w:name="_Toc287853338"/>
      <w:bookmarkEnd w:id="427"/>
      <w:bookmarkStart w:id="428" w:name="_Toc288491514"/>
      <w:bookmarkEnd w:id="428"/>
      <w:bookmarkStart w:id="429" w:name="_Toc282779498"/>
      <w:bookmarkEnd w:id="429"/>
      <w:bookmarkStart w:id="430" w:name="_Toc237923814"/>
      <w:bookmarkEnd w:id="430"/>
      <w:bookmarkStart w:id="431" w:name="_Toc282787435"/>
      <w:bookmarkEnd w:id="431"/>
      <w:bookmarkStart w:id="432" w:name="_Toc283794186"/>
      <w:bookmarkEnd w:id="432"/>
      <w:bookmarkStart w:id="433" w:name="_Toc152045635"/>
      <w:r>
        <w:rPr>
          <w:rFonts w:hint="eastAsia" w:ascii="宋体" w:hAnsi="宋体" w:eastAsia="宋体" w:cs="宋体"/>
          <w:color w:val="auto"/>
          <w:kern w:val="2"/>
          <w:sz w:val="21"/>
          <w:szCs w:val="21"/>
          <w:highlight w:val="none"/>
          <w:lang w:val="en-US" w:eastAsia="zh-CN" w:bidi="ar"/>
        </w:rPr>
        <w:t>3.2  总监理工程师</w:t>
      </w:r>
      <w:bookmarkEnd w:id="43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发包人应在发出开工通知前将总监理工程师的任命通知承包人。总监理工程师更换时，应在调离14天前通知承包人。总监理工程师短期离开施工场地的，应委派代表代行其职责，并通知承包人。</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434" w:name="_Toc282787436"/>
      <w:bookmarkEnd w:id="434"/>
      <w:bookmarkStart w:id="435" w:name="_Toc144974604"/>
      <w:bookmarkEnd w:id="435"/>
      <w:bookmarkStart w:id="436" w:name="_Toc152042414"/>
      <w:bookmarkEnd w:id="436"/>
      <w:bookmarkStart w:id="437" w:name="_Toc237923815"/>
      <w:bookmarkEnd w:id="437"/>
      <w:bookmarkStart w:id="438" w:name="_Toc283794187"/>
      <w:bookmarkEnd w:id="438"/>
      <w:bookmarkStart w:id="439" w:name="_Toc282778990"/>
      <w:bookmarkEnd w:id="439"/>
      <w:bookmarkStart w:id="440" w:name="_Toc179632654"/>
      <w:bookmarkEnd w:id="440"/>
      <w:bookmarkStart w:id="441" w:name="_Toc152045636"/>
      <w:bookmarkEnd w:id="441"/>
      <w:bookmarkStart w:id="442" w:name="_Toc282779499"/>
      <w:bookmarkEnd w:id="442"/>
      <w:bookmarkStart w:id="443" w:name="_Toc287853339"/>
      <w:bookmarkEnd w:id="443"/>
      <w:bookmarkStart w:id="444" w:name="_Toc288491515"/>
      <w:r>
        <w:rPr>
          <w:rFonts w:hint="eastAsia" w:ascii="宋体" w:hAnsi="宋体" w:eastAsia="宋体" w:cs="宋体"/>
          <w:color w:val="auto"/>
          <w:kern w:val="2"/>
          <w:sz w:val="21"/>
          <w:szCs w:val="21"/>
          <w:highlight w:val="none"/>
          <w:lang w:val="en-US" w:eastAsia="zh-CN" w:bidi="ar"/>
        </w:rPr>
        <w:t>3.3  监理人员</w:t>
      </w:r>
      <w:bookmarkEnd w:id="44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3.3.2  监理人员对承包人的任何工作、工程或其采用的材料和工程设备未在约定的或合理的期限内提出否定意见的，视为已获批准，但不影响监理人在以后拒绝该项工作、工程、材料或工程设备的权利。</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3.3.3  承包人对总监理工程师授权的监理人员发出的指示有疑问的，可向总监理工程师提出书面异议，总监理工程师应在48小时内对该指示予以确认、更改或撤销。</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3.3.4  除专用合同条款另有约定外，总监理工程师不应将第3.5款约定应由总监理工程师作出确定的权力授权或委托给其他监理人员。</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445" w:name="_Toc282779500"/>
      <w:bookmarkEnd w:id="445"/>
      <w:bookmarkStart w:id="446" w:name="_Toc152042415"/>
      <w:bookmarkEnd w:id="446"/>
      <w:bookmarkStart w:id="447" w:name="_Toc144974605"/>
      <w:bookmarkEnd w:id="447"/>
      <w:bookmarkStart w:id="448" w:name="_Toc287853340"/>
      <w:bookmarkEnd w:id="448"/>
      <w:bookmarkStart w:id="449" w:name="_Toc288491516"/>
      <w:bookmarkEnd w:id="449"/>
      <w:bookmarkStart w:id="450" w:name="_Toc152045637"/>
      <w:bookmarkEnd w:id="450"/>
      <w:bookmarkStart w:id="451" w:name="_Toc282787437"/>
      <w:bookmarkEnd w:id="451"/>
      <w:bookmarkStart w:id="452" w:name="_Toc237923816"/>
      <w:bookmarkEnd w:id="452"/>
      <w:bookmarkStart w:id="453" w:name="_Toc283794188"/>
      <w:bookmarkEnd w:id="453"/>
      <w:bookmarkStart w:id="454" w:name="_Toc179632655"/>
      <w:bookmarkEnd w:id="454"/>
      <w:bookmarkStart w:id="455" w:name="_Toc282778991"/>
      <w:r>
        <w:rPr>
          <w:rFonts w:hint="eastAsia" w:ascii="宋体" w:hAnsi="宋体" w:eastAsia="宋体" w:cs="宋体"/>
          <w:color w:val="auto"/>
          <w:kern w:val="2"/>
          <w:sz w:val="21"/>
          <w:szCs w:val="21"/>
          <w:highlight w:val="none"/>
          <w:lang w:val="en-US" w:eastAsia="zh-CN" w:bidi="ar"/>
        </w:rPr>
        <w:t>3.4  监理人的指示</w:t>
      </w:r>
      <w:bookmarkEnd w:id="455"/>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3.4.1  监理人应按第3.1款的约定向承包人发出指示，监理人的指示应盖有监理人授权的施工场地机构章，并由总监理工程师或总监理工程师按第3.3.1项约定授权的监理人员签字。</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3.4.2  承包人收到监理人按第3.4.1项作出的指示后应遵照执行。指示构成变更的，应按第15条处理。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3.4.4  除合同另有约定外，承包人只从总监理工程师或按第3.3.1项被授权的监理人员处取得指示。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3.4.5  由于监理人未能按合同约定发出指示、指示延误或指示错误而导致承包人费用增加和（或）工期延误的，由发包人承担赔偿责任。 </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456" w:name="_Toc152042416"/>
      <w:bookmarkEnd w:id="456"/>
      <w:bookmarkStart w:id="457" w:name="_Toc179632656"/>
      <w:bookmarkEnd w:id="457"/>
      <w:bookmarkStart w:id="458" w:name="_Toc282779501"/>
      <w:bookmarkEnd w:id="458"/>
      <w:bookmarkStart w:id="459" w:name="_Toc282787438"/>
      <w:bookmarkEnd w:id="459"/>
      <w:bookmarkStart w:id="460" w:name="_Toc288491517"/>
      <w:bookmarkEnd w:id="460"/>
      <w:bookmarkStart w:id="461" w:name="_Toc287853341"/>
      <w:bookmarkEnd w:id="461"/>
      <w:bookmarkStart w:id="462" w:name="_Toc237923817"/>
      <w:bookmarkEnd w:id="462"/>
      <w:bookmarkStart w:id="463" w:name="_Toc144974606"/>
      <w:bookmarkEnd w:id="463"/>
      <w:bookmarkStart w:id="464" w:name="_Toc152045638"/>
      <w:bookmarkEnd w:id="464"/>
      <w:bookmarkStart w:id="465" w:name="_Toc282778992"/>
      <w:bookmarkEnd w:id="465"/>
      <w:bookmarkStart w:id="466" w:name="_Toc283794189"/>
      <w:r>
        <w:rPr>
          <w:rFonts w:hint="eastAsia" w:ascii="宋体" w:hAnsi="宋体" w:eastAsia="宋体" w:cs="宋体"/>
          <w:color w:val="auto"/>
          <w:kern w:val="2"/>
          <w:sz w:val="21"/>
          <w:szCs w:val="21"/>
          <w:highlight w:val="none"/>
          <w:lang w:val="en-US" w:eastAsia="zh-CN" w:bidi="ar"/>
        </w:rPr>
        <w:t>3.5  商定或确定</w:t>
      </w:r>
      <w:bookmarkEnd w:id="466"/>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3.5.1  合同约定总监理工程师应按照本款对任何事项进行商定或确定时，总监理工程师应与合同当事人协商，尽量达成一致。不能达成一致的，总监理工程师应认真研究后审慎确定。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如果这项商定或确定导致费用增加和（或）工期延长，或者涉及确定变更工程的价格，则总监理工程师在发出通知前，应征得发包人的同意。</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467" w:name="_Toc152042417"/>
      <w:bookmarkEnd w:id="467"/>
      <w:bookmarkStart w:id="468" w:name="_Toc25304"/>
      <w:bookmarkEnd w:id="468"/>
      <w:bookmarkStart w:id="469" w:name="_Toc1958"/>
      <w:bookmarkEnd w:id="469"/>
      <w:bookmarkStart w:id="470" w:name="_Toc144974607"/>
      <w:bookmarkEnd w:id="470"/>
      <w:bookmarkStart w:id="471" w:name="_Toc19238"/>
      <w:bookmarkEnd w:id="471"/>
      <w:bookmarkStart w:id="472" w:name="_Toc152045639"/>
      <w:bookmarkEnd w:id="472"/>
      <w:bookmarkStart w:id="473" w:name="_Toc514936604"/>
      <w:bookmarkEnd w:id="473"/>
      <w:bookmarkStart w:id="474" w:name="_Toc17489"/>
      <w:bookmarkEnd w:id="474"/>
      <w:bookmarkStart w:id="475" w:name="_Toc179632657"/>
      <w:bookmarkEnd w:id="475"/>
      <w:bookmarkStart w:id="476" w:name="_Toc24867"/>
      <w:bookmarkEnd w:id="476"/>
      <w:bookmarkStart w:id="477" w:name="_Toc118378075"/>
      <w:bookmarkEnd w:id="477"/>
      <w:bookmarkStart w:id="478" w:name="_Toc24466"/>
      <w:bookmarkEnd w:id="478"/>
      <w:bookmarkStart w:id="479" w:name="_Toc31196"/>
      <w:bookmarkEnd w:id="479"/>
      <w:bookmarkStart w:id="480" w:name="_Toc282787439"/>
      <w:bookmarkEnd w:id="480"/>
      <w:bookmarkStart w:id="481" w:name="_Toc13020"/>
      <w:bookmarkEnd w:id="481"/>
      <w:bookmarkStart w:id="482" w:name="_Toc283794190"/>
      <w:bookmarkEnd w:id="482"/>
      <w:bookmarkStart w:id="483" w:name="_Toc282778993"/>
      <w:bookmarkEnd w:id="483"/>
      <w:bookmarkStart w:id="484" w:name="_Toc32141"/>
      <w:bookmarkEnd w:id="484"/>
      <w:bookmarkStart w:id="485" w:name="_Toc7224"/>
      <w:bookmarkEnd w:id="485"/>
      <w:bookmarkStart w:id="486" w:name="_Toc19807"/>
      <w:bookmarkEnd w:id="486"/>
      <w:bookmarkStart w:id="487" w:name="_Toc282779502"/>
      <w:bookmarkEnd w:id="487"/>
      <w:bookmarkStart w:id="488" w:name="_Toc288491518"/>
      <w:bookmarkEnd w:id="488"/>
      <w:bookmarkStart w:id="489" w:name="_Toc13717"/>
      <w:bookmarkEnd w:id="489"/>
      <w:bookmarkStart w:id="490" w:name="_Toc237923818"/>
      <w:bookmarkEnd w:id="490"/>
      <w:bookmarkStart w:id="491" w:name="_Toc287853342"/>
      <w:bookmarkEnd w:id="491"/>
      <w:bookmarkStart w:id="492" w:name="_Toc23023"/>
      <w:r>
        <w:rPr>
          <w:rFonts w:hint="eastAsia" w:ascii="宋体" w:hAnsi="宋体" w:eastAsia="宋体" w:cs="宋体"/>
          <w:color w:val="auto"/>
          <w:kern w:val="2"/>
          <w:sz w:val="21"/>
          <w:szCs w:val="21"/>
          <w:highlight w:val="none"/>
          <w:lang w:val="en-US" w:eastAsia="zh-CN" w:bidi="ar"/>
        </w:rPr>
        <w:t>4．承包人</w:t>
      </w:r>
      <w:bookmarkEnd w:id="492"/>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493" w:name="_Toc287853343"/>
      <w:bookmarkEnd w:id="493"/>
      <w:bookmarkStart w:id="494" w:name="_Toc282787440"/>
      <w:bookmarkEnd w:id="494"/>
      <w:bookmarkStart w:id="495" w:name="_Toc282779503"/>
      <w:bookmarkEnd w:id="495"/>
      <w:bookmarkStart w:id="496" w:name="_Toc144974608"/>
      <w:bookmarkEnd w:id="496"/>
      <w:bookmarkStart w:id="497" w:name="_Toc283794191"/>
      <w:bookmarkEnd w:id="497"/>
      <w:bookmarkStart w:id="498" w:name="_Toc179632658"/>
      <w:bookmarkEnd w:id="498"/>
      <w:bookmarkStart w:id="499" w:name="_Toc282778994"/>
      <w:bookmarkEnd w:id="499"/>
      <w:bookmarkStart w:id="500" w:name="_Toc237923819"/>
      <w:bookmarkEnd w:id="500"/>
      <w:bookmarkStart w:id="501" w:name="_Toc288491519"/>
      <w:bookmarkEnd w:id="501"/>
      <w:bookmarkStart w:id="502" w:name="_Toc152042418"/>
      <w:bookmarkEnd w:id="502"/>
      <w:bookmarkStart w:id="503" w:name="_Toc152045640"/>
      <w:r>
        <w:rPr>
          <w:rFonts w:hint="eastAsia" w:ascii="宋体" w:hAnsi="宋体" w:eastAsia="宋体" w:cs="宋体"/>
          <w:color w:val="auto"/>
          <w:kern w:val="2"/>
          <w:sz w:val="21"/>
          <w:szCs w:val="21"/>
          <w:highlight w:val="none"/>
          <w:lang w:val="en-US" w:eastAsia="zh-CN" w:bidi="ar"/>
        </w:rPr>
        <w:t>4.1  承包人的一般义务</w:t>
      </w:r>
      <w:bookmarkEnd w:id="50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4.1.1  遵守法律</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承包人在履行合同过程中应遵守法律，并保证发包人免于承担因承包人违反法律而引起的任何责任。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4.1.2  依法纳税</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承包人应按有关法律规定纳税，应缴纳的税金包括在合同价格内。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4.1.3  完成各项承包工作</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负责做好合同规定的大中修养护工程作业方案，精心组织养护，加强养护质量控制，完成本合同公路大中修工程。为此，承包人应提供所需的全部监督管理、劳务、材料、设备、养护装备和其他物品。承包人应加强养护工程的质量控制，合同期内的公路养护质量指数MQI及其分项指标PQI、SCI、BCI、TCI等及次差路率指标RoP应符合技术规范第106节的规定要求，达到该要求是工程款支付的前提条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4.1.4  对施工作业和施工方法的完备性负责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承包人应按合同约定的工作内容和施工进度要求，编制养护工程作业方案和施工措施计划，并对所有施工作业和施工方法的完备性和安全可靠性负责。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对全部现场作业和施工方法的适用性、可靠性和安全性承担全部责任。承包人应根据发包人提供的原有公路技术状况，进行认真的核查，协助和配合发包人进行各项检查，发现病害及时查明原因，为消除病害，提交经补充修改后的养护作业方案。</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4.1.5  保证养护工程施工和人员的安全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承包人应按第9.2款约定采取施工安全措施，确保工程及其人员、材料、设备和设施的安全，防止因工程施工造成的人身伤害和财产损失。</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在实施和完成养护工程的整个过程中，承包人应该充分关注和保障所有在现场工作的人员安全，采取有效措施，使养护作业现场和本合同养护工程的实施保持有条不紊，以免人员的安全受到威胁：</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（1）按施工人员的2～4%配备专职安全员并有一名安全生产负责人，且不少于1人，同时每个施工作业点必须有安全员；</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承包人应当在施工现场建立消防安全责任制度，对于易燃易爆的材料除应专门妥善保管之外，还应确定消防安全责任人，制定用火、用电、使用易燃易爆材料等各项消防管理制度和操作规程，设置消防通道，配备相应的消防设施和灭火器材，所有施工人员都应熟悉消防设备的性能和使用方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（4）所有施工机具设备和高空作业的设备均应定期检查，并有安全生产负责人的签字记录；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（5）根据大中修养护工程的性质和施工特点，严格执行《公路工程施工安全技术规程》（JTJ 076-95）和《公路养护作业安全规程》（JTG H30-2004）的具体规定；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4.1.6  负责施工场地及其周边环境与生态的保护工作</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承包人应按照第9.4款约定负责施工场地及其周边环境与生态的保护工作。</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4.1.7  避免施工对公众与他人的利益造成损害</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承包人在养护过程中必须采取一切措施，确保车辆正常运行，做到养护作业、车辆通行两不误。</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实施养护作业路段应配备交通标志等设施，指定专人维持车辆通行秩序。如因承包人措施不力，导致阻车或事故频发而造成较大影响，引起索赔、赔偿或养护费用增加时，应由承包人承担一切责任和费用。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4.1.8  为他人提供方便</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承包人应按监理人的指示为他人在施工场地或附近实施与工程有关的其他各项工作提供可能的条件。除合同另有约定外，提供有关条件的内容和可能发生的费用，由监理人按第3.5款商定或确定。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为保护实施的养护工程免遭损坏，或为了现场附近和过往群众的方便与安全，在确有必要的时候和地方，或当监理人或有关主管部门要求时，应自费提供照明、警卫、护栏、警告标志等安全防护设施；</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4.1.9  工程的维护和照管</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工程接收证书颁发前，承包人应负责照管和维护工程。工程接收证书颁发时尚有部分未竣工工程的，承包人还应负责该未竣工工程的照管和维护工作，直至竣工后移交给发包人为止。</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4.1.10  其他义务</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承包人应履行合同约定的其他义务。</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（1）除项目专用合同条款另有约定外，承包人应承担并支付为获得本合同工程所需的石料、砂、砾石、黏土或其他当地材料等所发生的料场使用费及其他开支或补偿费。</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（2）承包人应严格遵守国家有关解决拖欠工程款和民工工资的法律、法规，及时支付工程中的材料、设备货款及民工工资等费用。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在本养护工程中严格执行浙江省劳动和社会保障厅、浙江省交通厅、中国人民银行杭州中心支行关于《浙江省交通建设领域农民工工资支付管理暂行办法》（浙劳社监[2007]90号），严格按照《劳动法》、《浙江省企业工资支付管理办法》和《最低工资规定》等有关规定支付农民工工资，不得拖欠或克扣，并接受项目所在地交通行政部门对执行情况的监督检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的项目经理部是民工工资支付行为的主体，承包人的项目经理是民工工资支付的责任人。项目经理部要建立全体民工花名册和工资支付表，确保将工资直接发给民工本人，或委托银行发放民工工资，严禁发放给“包工头”或其他不具备用工主体资格的组织和个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工资支付表应如实记录支付单位、支付时间、支付对象、支付数额、支付对象的身份证号和签字等信息。民工花名册和工资支付表应报监理人备查。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承包人在递交投标文件的同时，应按招标文件第8篇投标书附表5的格式填写一份《临时占地计划表》（临时用地范围包括承包人驻地的办公和生活用地、仓库与料场用地、预制场用地、借土场地及临时堆土场地、工地试验室用地、临时道路用地等）。中标后应在此表范围内按实际需要与先后次序，提出具体计划报监理人同意，并报发包人。租地费用列入工程量清单100章中由承包人报价。临时用地退还前，承包人应自费恢复到临时用地使用前的状况。如因承包人撤离后未按要求对临时用地进行恢复或虽进行了恢复但未达到使用标准的，将由发包人委托第三方进行恢复，所发生的费用将从应付给承包人的任何款项内扣除。超出《临时占地计划表》的临时用地由承包人自行办理并自付费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（4）承包人应履行项目专用合同条款约定的其他义务。</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504" w:name="_Toc152042419"/>
      <w:bookmarkEnd w:id="504"/>
      <w:bookmarkStart w:id="505" w:name="_Toc282778995"/>
      <w:bookmarkEnd w:id="505"/>
      <w:bookmarkStart w:id="506" w:name="_Toc152045641"/>
      <w:bookmarkEnd w:id="506"/>
      <w:bookmarkStart w:id="507" w:name="_Toc282787441"/>
      <w:bookmarkEnd w:id="507"/>
      <w:bookmarkStart w:id="508" w:name="_Toc282779504"/>
      <w:bookmarkEnd w:id="508"/>
      <w:bookmarkStart w:id="509" w:name="_Toc287853344"/>
      <w:bookmarkEnd w:id="509"/>
      <w:bookmarkStart w:id="510" w:name="_Toc237923820"/>
      <w:bookmarkEnd w:id="510"/>
      <w:bookmarkStart w:id="511" w:name="_Toc288491520"/>
      <w:bookmarkEnd w:id="511"/>
      <w:bookmarkStart w:id="512" w:name="_Toc283794192"/>
      <w:bookmarkEnd w:id="512"/>
      <w:bookmarkStart w:id="513" w:name="_Toc144974609"/>
      <w:bookmarkEnd w:id="513"/>
      <w:bookmarkStart w:id="514" w:name="_Toc179632659"/>
      <w:r>
        <w:rPr>
          <w:rFonts w:hint="eastAsia" w:ascii="宋体" w:hAnsi="宋体" w:eastAsia="宋体" w:cs="宋体"/>
          <w:color w:val="auto"/>
          <w:kern w:val="2"/>
          <w:sz w:val="21"/>
          <w:szCs w:val="21"/>
          <w:highlight w:val="none"/>
          <w:lang w:val="en-US" w:eastAsia="zh-CN" w:bidi="ar"/>
        </w:rPr>
        <w:t>4.2  履约担保</w:t>
      </w:r>
      <w:bookmarkEnd w:id="51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承包人应保证其履约担保在发包人颁发工程接收证书前一直有效。发包人应在工程接收证书颁发后28天内把履约担保退还给承包人。</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515" w:name="_Toc282779505"/>
      <w:bookmarkEnd w:id="515"/>
      <w:bookmarkStart w:id="516" w:name="_Toc237923821"/>
      <w:bookmarkEnd w:id="516"/>
      <w:bookmarkStart w:id="517" w:name="_Toc282787442"/>
      <w:bookmarkEnd w:id="517"/>
      <w:bookmarkStart w:id="518" w:name="_Toc288491521"/>
      <w:bookmarkEnd w:id="518"/>
      <w:bookmarkStart w:id="519" w:name="_Toc283794193"/>
      <w:bookmarkEnd w:id="519"/>
      <w:bookmarkStart w:id="520" w:name="_Toc152042420"/>
      <w:bookmarkEnd w:id="520"/>
      <w:bookmarkStart w:id="521" w:name="_Toc287853345"/>
      <w:bookmarkEnd w:id="521"/>
      <w:bookmarkStart w:id="522" w:name="_Toc282778996"/>
      <w:bookmarkEnd w:id="522"/>
      <w:bookmarkStart w:id="523" w:name="_Toc152045642"/>
      <w:bookmarkEnd w:id="523"/>
      <w:bookmarkStart w:id="524" w:name="_Toc144974610"/>
      <w:bookmarkEnd w:id="524"/>
      <w:bookmarkStart w:id="525" w:name="_Toc179632660"/>
      <w:r>
        <w:rPr>
          <w:rFonts w:hint="eastAsia" w:ascii="宋体" w:hAnsi="宋体" w:eastAsia="宋体" w:cs="宋体"/>
          <w:color w:val="auto"/>
          <w:kern w:val="2"/>
          <w:sz w:val="21"/>
          <w:szCs w:val="21"/>
          <w:highlight w:val="none"/>
          <w:lang w:val="en-US" w:eastAsia="zh-CN" w:bidi="ar"/>
        </w:rPr>
        <w:t>4.3  分包</w:t>
      </w:r>
      <w:bookmarkEnd w:id="525"/>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4.3.1  承包人不得将其承包的全部工程转包给第三人，或将其承包的全部工程肢解后以分包的名义转包给第三人。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4.3.2  承包人不得将工程主体、关键性工作分包给第三人。除专用合同条款另有约定外，未经发包人同意，承包人不得将工程的其他部分或工作分包给第三人。经发包人同意，承包人可将工程的其他部分或工作分包给第三人。分包包括专业分包和劳务分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4.3.3  在养护工程施工过程在中，承包人进行专业分包必须遵守以下规定：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（1）允许专业分包的工程范围仅限于分部工程或分项工程、适合专业化队伍施工的工程，专业分包的工程量累计不得超过总工程量的30%。</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（2）专业分包人的资格能力（含安全生产能力）应与其分包工程的标准和规模相适应，具备相应的专业承包资质。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（3）专业分包工程不得再次分包。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（4）承包人和专业分包人应当依法签订专业分包合同，并按照合同履行约定的义务。专业分包合同必须明确约定工程款支付条款、结算方式以及保证按期支付的相应措施，确保工程款的支付。</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承包人对施工现场安全负总责，并对专业分包人的安全生产进行培训和管理。专业分包人应将其专业分包工程的养护工程作业方案和施工安全方案报承包人备案。专业分包人对分包施工现场安全负责，发现事故隐患，应及时处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（6）所有专业分包计划和专业分包合同须报监理人审批，并报发包人核备。监理人审批专业分包并不解除合同规定的承包人的任何责任或义务。</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违反上述规定之一者属违规分包。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4.3.4  在养护工程施工过程中，承包人进行劳务分包必须遵守以下规定：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（1）劳务分包人应具有劳务分包资质。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劳务分包应当依法签订劳务分包合同，劳务分包合同必须由承包人的法定代表人或其委托代理人与劳务分包人直接签订，不得与他人代签。承包人的项目经理部、项目经理、施工班组等不具备用工主体资格，不能与劳务分包人签订劳务分包合同。承包人应向发包人和监理人提交劳务分包合同副本并报项目所在地劳动保障部门备案。</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承包人雇用的劳务作业应加入到承包人的施工班组统一管理。有关施工质量、施工安全、施工进度、环境保护、技术方案、试验检测、材料保管与供应、机械设备等都必须由承包人管理与调配，不得以包代管。</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（4）承包人应当对劳务分包人员进行安全培训和管理，劳务分包人不得将其分包的劳务作业再次分包。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违反上述规定之一者属违规分包。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4.3.5  承包人应与分包人就分包工程向发包人承担连带责任。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4.3.6  发包人对承包人与分包人之间的法律与经济纠纷不承担任何责任和义务。</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526" w:name="_Toc282787443"/>
      <w:bookmarkEnd w:id="526"/>
      <w:bookmarkStart w:id="527" w:name="_Toc287853346"/>
      <w:bookmarkEnd w:id="527"/>
      <w:bookmarkStart w:id="528" w:name="_Toc237923822"/>
      <w:bookmarkEnd w:id="528"/>
      <w:bookmarkStart w:id="529" w:name="_Toc179632661"/>
      <w:bookmarkEnd w:id="529"/>
      <w:bookmarkStart w:id="530" w:name="_Toc144974611"/>
      <w:bookmarkEnd w:id="530"/>
      <w:bookmarkStart w:id="531" w:name="_Toc283794194"/>
      <w:bookmarkEnd w:id="531"/>
      <w:bookmarkStart w:id="532" w:name="_Toc282778997"/>
      <w:bookmarkEnd w:id="532"/>
      <w:bookmarkStart w:id="533" w:name="_Toc288491522"/>
      <w:bookmarkEnd w:id="533"/>
      <w:bookmarkStart w:id="534" w:name="_Toc152045643"/>
      <w:bookmarkEnd w:id="534"/>
      <w:bookmarkStart w:id="535" w:name="_Toc282779506"/>
      <w:bookmarkEnd w:id="535"/>
      <w:bookmarkStart w:id="536" w:name="_Toc152042421"/>
      <w:r>
        <w:rPr>
          <w:rFonts w:hint="eastAsia" w:ascii="宋体" w:hAnsi="宋体" w:eastAsia="宋体" w:cs="宋体"/>
          <w:color w:val="auto"/>
          <w:kern w:val="2"/>
          <w:sz w:val="21"/>
          <w:szCs w:val="21"/>
          <w:highlight w:val="none"/>
          <w:lang w:val="en-US" w:eastAsia="zh-CN" w:bidi="ar"/>
        </w:rPr>
        <w:t>4.4  联合体</w:t>
      </w:r>
      <w:bookmarkEnd w:id="536"/>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4.4.1  联合体各方应共同与发包人签订合同协议书。联合体各方应为履行合同承担连带责任。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4.4.2  联合体协议经发包人确认后作为合同附件。在履行合同过程中，未经发包人同意，不得修改联合体协议。</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4.4.3  联合体牵头人负责与发包人和监理人联系，并接受指示，负责组织联合体各成员全面履行合同。</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537" w:name="_Toc287853347"/>
      <w:bookmarkEnd w:id="537"/>
      <w:bookmarkStart w:id="538" w:name="_Toc144974612"/>
      <w:bookmarkEnd w:id="538"/>
      <w:bookmarkStart w:id="539" w:name="_Toc237923823"/>
      <w:bookmarkEnd w:id="539"/>
      <w:bookmarkStart w:id="540" w:name="_Toc282778998"/>
      <w:bookmarkEnd w:id="540"/>
      <w:bookmarkStart w:id="541" w:name="_Toc152045644"/>
      <w:bookmarkEnd w:id="541"/>
      <w:bookmarkStart w:id="542" w:name="_Toc288491523"/>
      <w:bookmarkEnd w:id="542"/>
      <w:bookmarkStart w:id="543" w:name="_Toc152042422"/>
      <w:bookmarkEnd w:id="543"/>
      <w:bookmarkStart w:id="544" w:name="_Toc282779507"/>
      <w:bookmarkEnd w:id="544"/>
      <w:bookmarkStart w:id="545" w:name="_Toc179632662"/>
      <w:bookmarkEnd w:id="545"/>
      <w:bookmarkStart w:id="546" w:name="_Toc282787444"/>
      <w:bookmarkEnd w:id="546"/>
      <w:bookmarkStart w:id="547" w:name="_Toc283794195"/>
      <w:r>
        <w:rPr>
          <w:rFonts w:hint="eastAsia" w:ascii="宋体" w:hAnsi="宋体" w:eastAsia="宋体" w:cs="宋体"/>
          <w:color w:val="auto"/>
          <w:kern w:val="2"/>
          <w:sz w:val="21"/>
          <w:szCs w:val="21"/>
          <w:highlight w:val="none"/>
          <w:lang w:val="en-US" w:eastAsia="zh-CN" w:bidi="ar"/>
        </w:rPr>
        <w:t>4.5  承包人项目经理</w:t>
      </w:r>
      <w:bookmarkEnd w:id="547"/>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4.5.3  承包人为履行合同发出的一切函件均应盖有承包人授权的施工场地管理机构章，并由承包人项目经理或其授权代表签字。</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4.5.4  承包人项目经理可以授权其下属人员履行其某项职责，但事先应将这些人员的姓名和授权范围通知监理人。</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548" w:name="_Toc144974613"/>
      <w:bookmarkEnd w:id="548"/>
      <w:bookmarkStart w:id="549" w:name="_Toc179632663"/>
      <w:bookmarkEnd w:id="549"/>
      <w:bookmarkStart w:id="550" w:name="_Toc237923824"/>
      <w:bookmarkEnd w:id="550"/>
      <w:bookmarkStart w:id="551" w:name="_Toc152042423"/>
      <w:bookmarkEnd w:id="551"/>
      <w:bookmarkStart w:id="552" w:name="_Toc282787445"/>
      <w:bookmarkEnd w:id="552"/>
      <w:bookmarkStart w:id="553" w:name="_Toc282778999"/>
      <w:bookmarkEnd w:id="553"/>
      <w:bookmarkStart w:id="554" w:name="_Toc282779508"/>
      <w:bookmarkEnd w:id="554"/>
      <w:bookmarkStart w:id="555" w:name="_Toc152045645"/>
      <w:bookmarkEnd w:id="555"/>
      <w:bookmarkStart w:id="556" w:name="_Toc283794196"/>
      <w:bookmarkEnd w:id="556"/>
      <w:bookmarkStart w:id="557" w:name="_Toc287853348"/>
      <w:bookmarkEnd w:id="557"/>
      <w:bookmarkStart w:id="558" w:name="_Toc288491524"/>
      <w:r>
        <w:rPr>
          <w:rFonts w:hint="eastAsia" w:ascii="宋体" w:hAnsi="宋体" w:eastAsia="宋体" w:cs="宋体"/>
          <w:color w:val="auto"/>
          <w:kern w:val="2"/>
          <w:sz w:val="21"/>
          <w:szCs w:val="21"/>
          <w:highlight w:val="none"/>
          <w:lang w:val="en-US" w:eastAsia="zh-CN" w:bidi="ar"/>
        </w:rPr>
        <w:t>4.6  承包人人员的管理</w:t>
      </w:r>
      <w:bookmarkEnd w:id="558"/>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4.6.2  为完成合同约定的各项工作，承包人应向施工场地派遣或雇佣足够数量的下列人员：</w:t>
      </w:r>
    </w:p>
    <w:p>
      <w:pPr>
        <w:keepNext w:val="0"/>
        <w:keepLines w:val="0"/>
        <w:widowControl w:val="0"/>
        <w:suppressLineNumbers w:val="0"/>
        <w:spacing w:before="0" w:beforeAutospacing="0" w:after="0" w:afterAutospacing="0" w:line="400" w:lineRule="exact"/>
        <w:ind w:left="0" w:right="0" w:firstLine="718" w:firstLineChars="34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（1）具有相应资格的专业技工和合格的普工；</w:t>
      </w:r>
    </w:p>
    <w:p>
      <w:pPr>
        <w:keepNext w:val="0"/>
        <w:keepLines w:val="0"/>
        <w:widowControl w:val="0"/>
        <w:suppressLineNumbers w:val="0"/>
        <w:spacing w:before="0" w:beforeAutospacing="0" w:after="0" w:afterAutospacing="0" w:line="400" w:lineRule="exact"/>
        <w:ind w:left="0" w:right="0" w:firstLine="718" w:firstLineChars="34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（2）具有相应施工经验的技术人员；</w:t>
      </w:r>
    </w:p>
    <w:p>
      <w:pPr>
        <w:keepNext w:val="0"/>
        <w:keepLines w:val="0"/>
        <w:widowControl w:val="0"/>
        <w:suppressLineNumbers w:val="0"/>
        <w:spacing w:before="0" w:beforeAutospacing="0" w:after="0" w:afterAutospacing="0" w:line="400" w:lineRule="exact"/>
        <w:ind w:left="0" w:right="0" w:firstLine="718" w:firstLineChars="34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（3）具有相应岗位资格的各级管理人员。</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4.6.3  承包人安排在施工场地的主要管理人员和技术骨干应与承包人承诺的名单一致，并保持相对稳定。未经监理人批准，上述人员不应无故不到位或被替换；若确认无法到位或需替换，需经监理人审核并报发包人批准后，用同等资质和经历的人员替换。</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4.6.4  特殊岗位的工作人员均应持有相应的资格证明，监理人有权随时检查。监理人认为有必要时，可进行现场考核。</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559" w:name="_Toc283794197"/>
      <w:bookmarkEnd w:id="559"/>
      <w:bookmarkStart w:id="560" w:name="_Toc282779000"/>
      <w:bookmarkEnd w:id="560"/>
      <w:bookmarkStart w:id="561" w:name="_Toc287853349"/>
      <w:bookmarkEnd w:id="561"/>
      <w:bookmarkStart w:id="562" w:name="_Toc282787446"/>
      <w:bookmarkEnd w:id="562"/>
      <w:bookmarkStart w:id="563" w:name="_Toc237923825"/>
      <w:bookmarkEnd w:id="563"/>
      <w:bookmarkStart w:id="564" w:name="_Toc144974614"/>
      <w:bookmarkEnd w:id="564"/>
      <w:bookmarkStart w:id="565" w:name="_Toc288491525"/>
      <w:bookmarkEnd w:id="565"/>
      <w:bookmarkStart w:id="566" w:name="_Toc282779509"/>
      <w:bookmarkEnd w:id="566"/>
      <w:bookmarkStart w:id="567" w:name="_Toc179632664"/>
      <w:bookmarkEnd w:id="567"/>
      <w:bookmarkStart w:id="568" w:name="_Toc152042424"/>
      <w:bookmarkEnd w:id="568"/>
      <w:bookmarkStart w:id="569" w:name="_Toc152045646"/>
      <w:r>
        <w:rPr>
          <w:rFonts w:hint="eastAsia" w:ascii="宋体" w:hAnsi="宋体" w:eastAsia="宋体" w:cs="宋体"/>
          <w:color w:val="auto"/>
          <w:kern w:val="2"/>
          <w:sz w:val="21"/>
          <w:szCs w:val="21"/>
          <w:highlight w:val="none"/>
          <w:lang w:val="en-US" w:eastAsia="zh-CN" w:bidi="ar"/>
        </w:rPr>
        <w:t>4.7  撤换承包人项目经理和其他人员</w:t>
      </w:r>
      <w:bookmarkEnd w:id="569"/>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570" w:name="_Toc152045647"/>
      <w:bookmarkEnd w:id="570"/>
      <w:bookmarkStart w:id="571" w:name="_Toc179632665"/>
      <w:bookmarkEnd w:id="571"/>
      <w:bookmarkStart w:id="572" w:name="_Toc237923826"/>
      <w:bookmarkEnd w:id="572"/>
      <w:bookmarkStart w:id="573" w:name="_Toc283794198"/>
      <w:bookmarkEnd w:id="573"/>
      <w:bookmarkStart w:id="574" w:name="_Toc287853350"/>
      <w:bookmarkEnd w:id="574"/>
      <w:bookmarkStart w:id="575" w:name="_Toc144974615"/>
      <w:bookmarkEnd w:id="575"/>
      <w:bookmarkStart w:id="576" w:name="_Toc282779001"/>
      <w:bookmarkEnd w:id="576"/>
      <w:bookmarkStart w:id="577" w:name="_Toc288491526"/>
      <w:bookmarkEnd w:id="577"/>
      <w:bookmarkStart w:id="578" w:name="_Toc152042425"/>
      <w:bookmarkEnd w:id="578"/>
      <w:bookmarkStart w:id="579" w:name="_Toc282779510"/>
      <w:bookmarkEnd w:id="579"/>
      <w:bookmarkStart w:id="580" w:name="_Toc282787447"/>
      <w:r>
        <w:rPr>
          <w:rFonts w:hint="eastAsia" w:ascii="宋体" w:hAnsi="宋体" w:eastAsia="宋体" w:cs="宋体"/>
          <w:color w:val="auto"/>
          <w:kern w:val="2"/>
          <w:sz w:val="21"/>
          <w:szCs w:val="21"/>
          <w:highlight w:val="none"/>
          <w:lang w:val="en-US" w:eastAsia="zh-CN" w:bidi="ar"/>
        </w:rPr>
        <w:t>4.8  保障承包人人员的合法权益</w:t>
      </w:r>
      <w:bookmarkEnd w:id="580"/>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4.8.1  承包人应与其雇佣的人员签订劳动合同，并按时发放工资。</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4.8.2  承包人应按劳动法的规定安排工作时间，保证其雇佣人员享有休息和休假的权利。因工程施工的特殊需要占用休假日或延长工作时间的，应不超过法律规定的限度，并按法律规定给予补休或付酬。</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4.8.3  承包人应为其雇佣人员提供必要的食宿条件，以及符合环境保护和卫生要求的生活环境，在远离城镇的施工场地，还应配备必要的伤病防治和急救的医务人员与医疗设施。</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4.8.5  承包人应按有关法律规定和合同约定，为其雇佣人员办理保险。</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4.8.6  承包人应负责处理其雇佣人员因工伤亡事故的善后事宜。</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581" w:name="_Toc237923827"/>
      <w:bookmarkEnd w:id="581"/>
      <w:bookmarkStart w:id="582" w:name="_Toc152042426"/>
      <w:bookmarkEnd w:id="582"/>
      <w:bookmarkStart w:id="583" w:name="_Toc152045648"/>
      <w:bookmarkEnd w:id="583"/>
      <w:bookmarkStart w:id="584" w:name="_Toc282787448"/>
      <w:bookmarkEnd w:id="584"/>
      <w:bookmarkStart w:id="585" w:name="_Toc283794199"/>
      <w:bookmarkEnd w:id="585"/>
      <w:bookmarkStart w:id="586" w:name="_Toc287853351"/>
      <w:bookmarkEnd w:id="586"/>
      <w:bookmarkStart w:id="587" w:name="_Toc179632666"/>
      <w:bookmarkEnd w:id="587"/>
      <w:bookmarkStart w:id="588" w:name="_Toc144974616"/>
      <w:bookmarkEnd w:id="588"/>
      <w:bookmarkStart w:id="589" w:name="_Toc288491527"/>
      <w:bookmarkEnd w:id="589"/>
      <w:bookmarkStart w:id="590" w:name="_Toc282779511"/>
      <w:bookmarkEnd w:id="590"/>
      <w:bookmarkStart w:id="591" w:name="_Toc282779002"/>
      <w:r>
        <w:rPr>
          <w:rFonts w:hint="eastAsia" w:ascii="宋体" w:hAnsi="宋体" w:eastAsia="宋体" w:cs="宋体"/>
          <w:color w:val="auto"/>
          <w:kern w:val="2"/>
          <w:sz w:val="21"/>
          <w:szCs w:val="21"/>
          <w:highlight w:val="none"/>
          <w:lang w:val="en-US" w:eastAsia="zh-CN" w:bidi="ar"/>
        </w:rPr>
        <w:t>4.9  工程价款应专款专用</w:t>
      </w:r>
      <w:bookmarkEnd w:id="591"/>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按合同约定支付给承包人的各项价款应专用于合同工程。承包人必须在发包人指定的银行开户，并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592" w:name="_Toc179632667"/>
      <w:bookmarkEnd w:id="592"/>
      <w:bookmarkStart w:id="593" w:name="_Toc288491528"/>
      <w:bookmarkEnd w:id="593"/>
      <w:bookmarkStart w:id="594" w:name="_Toc283794200"/>
      <w:bookmarkEnd w:id="594"/>
      <w:bookmarkStart w:id="595" w:name="_Toc144974617"/>
      <w:bookmarkEnd w:id="595"/>
      <w:bookmarkStart w:id="596" w:name="_Toc152042427"/>
      <w:bookmarkEnd w:id="596"/>
      <w:bookmarkStart w:id="597" w:name="_Toc152045649"/>
      <w:bookmarkEnd w:id="597"/>
      <w:bookmarkStart w:id="598" w:name="_Toc282779512"/>
      <w:bookmarkEnd w:id="598"/>
      <w:bookmarkStart w:id="599" w:name="_Toc282787449"/>
      <w:bookmarkEnd w:id="599"/>
      <w:bookmarkStart w:id="600" w:name="_Toc287853352"/>
      <w:bookmarkEnd w:id="600"/>
      <w:bookmarkStart w:id="601" w:name="_Toc237923828"/>
      <w:bookmarkEnd w:id="601"/>
      <w:bookmarkStart w:id="602" w:name="_Toc282779003"/>
      <w:r>
        <w:rPr>
          <w:rFonts w:hint="eastAsia" w:ascii="宋体" w:hAnsi="宋体" w:eastAsia="宋体" w:cs="宋体"/>
          <w:color w:val="auto"/>
          <w:kern w:val="2"/>
          <w:sz w:val="21"/>
          <w:szCs w:val="21"/>
          <w:highlight w:val="none"/>
          <w:lang w:val="en-US" w:eastAsia="zh-CN" w:bidi="ar"/>
        </w:rPr>
        <w:t>4.10  承包人现场查勘</w:t>
      </w:r>
      <w:bookmarkEnd w:id="602"/>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4.10.1  发包人提供的本合同工程的道路现状、交通流量、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4.10.2  承包人在送交投标文件之前，应认为已进行了现场考察，对现场和其周围环境以及可得到的有关资料进行了察看和核查，在考察时间允许的情况下已经查明了以下方面：</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（1）现场的地形地貌和特征，包括地表以下的情况；</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（2）水文和气象条件；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（3）实施和完成本合同大中修养护工程的工作范围、性质和所需用的材料采购和加工；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（4）附近道路和水、电、食宿供应条件；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（5）当地的乡规民约和风俗习惯。</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因此认为，承包人的投标文件是以发包人所提供资料和他自己察看和核查为依据的。承包人已取得可能对投标有影响或起作用的风险、意外等必要资料；</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还应认为，在全部合同工作中，承包人已充分估计了应承担的责任和风险。</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603" w:name="_Toc144974618"/>
      <w:bookmarkEnd w:id="603"/>
      <w:bookmarkStart w:id="604" w:name="_Toc287853353"/>
      <w:bookmarkEnd w:id="604"/>
      <w:bookmarkStart w:id="605" w:name="_Toc282779513"/>
      <w:bookmarkEnd w:id="605"/>
      <w:bookmarkStart w:id="606" w:name="_Toc282779004"/>
      <w:bookmarkEnd w:id="606"/>
      <w:bookmarkStart w:id="607" w:name="_Toc288491529"/>
      <w:bookmarkEnd w:id="607"/>
      <w:bookmarkStart w:id="608" w:name="_Toc179632668"/>
      <w:bookmarkEnd w:id="608"/>
      <w:bookmarkStart w:id="609" w:name="_Toc152042428"/>
      <w:bookmarkEnd w:id="609"/>
      <w:bookmarkStart w:id="610" w:name="_Toc152045650"/>
      <w:bookmarkEnd w:id="610"/>
      <w:bookmarkStart w:id="611" w:name="_Toc283794201"/>
      <w:bookmarkEnd w:id="611"/>
      <w:bookmarkStart w:id="612" w:name="_Toc282787450"/>
      <w:bookmarkEnd w:id="612"/>
      <w:bookmarkStart w:id="613" w:name="_Toc237923829"/>
      <w:r>
        <w:rPr>
          <w:rFonts w:hint="eastAsia" w:ascii="宋体" w:hAnsi="宋体" w:eastAsia="宋体" w:cs="宋体"/>
          <w:color w:val="auto"/>
          <w:kern w:val="2"/>
          <w:sz w:val="21"/>
          <w:szCs w:val="21"/>
          <w:highlight w:val="none"/>
          <w:lang w:val="en-US" w:eastAsia="zh-CN" w:bidi="ar"/>
        </w:rPr>
        <w:t>4.11  不利物质条件</w:t>
      </w:r>
      <w:bookmarkEnd w:id="61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4.11.1  不利物质条件，除专用合同条款另有约定外，是指承包人在施工场地遇到的不可预见的自然物质条件、非自然的物质障碍和污染物，包括地下和水文条件，但不包括气候条件。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4.11.3  可预见的不利物质条件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（1）对于项目专用合同条款中已经明确指出的不利物质条件无论承包人是否有其经历和经验均视为承包人在接受合同时已预见其影响，并已在签约合同价中计入因其影响而可能发生的一切费用。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（2）对于项目专用合同条款未明确指出，但是在不利物质条件发生之前，监理人已经指示承包人有可能发生，但承包人未能及时采取有效措施，而导致的损失和后果均由承包人承担。</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614" w:name="_Toc282787451"/>
      <w:bookmarkEnd w:id="614"/>
      <w:r>
        <w:rPr>
          <w:rFonts w:hint="eastAsia" w:ascii="宋体" w:hAnsi="宋体" w:eastAsia="宋体" w:cs="宋体"/>
          <w:color w:val="auto"/>
          <w:kern w:val="2"/>
          <w:sz w:val="21"/>
          <w:szCs w:val="21"/>
          <w:highlight w:val="none"/>
          <w:lang w:val="en-US" w:eastAsia="zh-CN" w:bidi="ar"/>
        </w:rPr>
        <w:t>4.12  投标文件的完备性</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双方一致认为，承包人在递交投标文件前，对本养护工程合同的投标文件和已标价工程量清单中开列的单价和总额价是正确和完备的。投标的单价和总额价应已包括了合同中规定的承包人的全部义务（包括提供货物、材料、设备、服务的义务，并包括了暂列金额和暂估价范围内的额外工作的义务）以及为实施和完成本合同养护工程及其缺陷修复所必需的一切工作和条件。</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615" w:name="_Toc282779514"/>
      <w:bookmarkEnd w:id="615"/>
      <w:bookmarkStart w:id="616" w:name="_Toc28167"/>
      <w:bookmarkEnd w:id="616"/>
      <w:bookmarkStart w:id="617" w:name="_Toc3497"/>
      <w:bookmarkEnd w:id="617"/>
      <w:bookmarkStart w:id="618" w:name="_Toc27539"/>
      <w:bookmarkEnd w:id="618"/>
      <w:bookmarkStart w:id="619" w:name="_Toc118378076"/>
      <w:bookmarkEnd w:id="619"/>
      <w:bookmarkStart w:id="620" w:name="_Toc287853354"/>
      <w:bookmarkEnd w:id="620"/>
      <w:bookmarkStart w:id="621" w:name="_Toc28104"/>
      <w:bookmarkEnd w:id="621"/>
      <w:bookmarkStart w:id="622" w:name="_Toc283794202"/>
      <w:bookmarkEnd w:id="622"/>
      <w:bookmarkStart w:id="623" w:name="_Toc514936605"/>
      <w:bookmarkEnd w:id="623"/>
      <w:bookmarkStart w:id="624" w:name="_Toc26181"/>
      <w:bookmarkEnd w:id="624"/>
      <w:bookmarkStart w:id="625" w:name="_Toc19900"/>
      <w:bookmarkEnd w:id="625"/>
      <w:bookmarkStart w:id="626" w:name="_Toc288491530"/>
      <w:bookmarkEnd w:id="626"/>
      <w:bookmarkStart w:id="627" w:name="_Toc282779005"/>
      <w:bookmarkEnd w:id="627"/>
      <w:bookmarkStart w:id="628" w:name="_Toc282787452"/>
      <w:bookmarkEnd w:id="628"/>
      <w:bookmarkStart w:id="629" w:name="_Toc8747"/>
      <w:bookmarkEnd w:id="629"/>
      <w:bookmarkStart w:id="630" w:name="_Toc25037"/>
      <w:bookmarkEnd w:id="630"/>
      <w:bookmarkStart w:id="631" w:name="_Toc152042429"/>
      <w:bookmarkEnd w:id="631"/>
      <w:bookmarkStart w:id="632" w:name="_Toc11611"/>
      <w:bookmarkEnd w:id="632"/>
      <w:bookmarkStart w:id="633" w:name="_Toc10547"/>
      <w:bookmarkEnd w:id="633"/>
      <w:bookmarkStart w:id="634" w:name="_Toc20839"/>
      <w:bookmarkEnd w:id="634"/>
      <w:bookmarkStart w:id="635" w:name="_Toc5030"/>
      <w:bookmarkEnd w:id="635"/>
      <w:bookmarkStart w:id="636" w:name="_Toc144974619"/>
      <w:bookmarkEnd w:id="636"/>
      <w:bookmarkStart w:id="637" w:name="_Toc152045651"/>
      <w:bookmarkEnd w:id="637"/>
      <w:bookmarkStart w:id="638" w:name="_Toc237923830"/>
      <w:bookmarkEnd w:id="638"/>
      <w:bookmarkStart w:id="639" w:name="_Toc179632669"/>
      <w:bookmarkEnd w:id="639"/>
      <w:bookmarkStart w:id="640" w:name="_Toc13264"/>
      <w:r>
        <w:rPr>
          <w:rFonts w:hint="eastAsia" w:ascii="宋体" w:hAnsi="宋体" w:eastAsia="宋体" w:cs="宋体"/>
          <w:color w:val="auto"/>
          <w:kern w:val="2"/>
          <w:sz w:val="21"/>
          <w:szCs w:val="21"/>
          <w:highlight w:val="none"/>
          <w:lang w:val="en-US" w:eastAsia="zh-CN" w:bidi="ar"/>
        </w:rPr>
        <w:t>5. 材料和工程设备</w:t>
      </w:r>
      <w:bookmarkEnd w:id="640"/>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641" w:name="_Toc179632670"/>
      <w:bookmarkEnd w:id="641"/>
      <w:bookmarkStart w:id="642" w:name="_Toc144974620"/>
      <w:bookmarkEnd w:id="642"/>
      <w:bookmarkStart w:id="643" w:name="_Toc283794203"/>
      <w:bookmarkEnd w:id="643"/>
      <w:bookmarkStart w:id="644" w:name="_Toc282779006"/>
      <w:bookmarkEnd w:id="644"/>
      <w:bookmarkStart w:id="645" w:name="_Toc152045652"/>
      <w:bookmarkEnd w:id="645"/>
      <w:bookmarkStart w:id="646" w:name="_Toc152042430"/>
      <w:bookmarkEnd w:id="646"/>
      <w:bookmarkStart w:id="647" w:name="_Toc287853355"/>
      <w:bookmarkEnd w:id="647"/>
      <w:bookmarkStart w:id="648" w:name="_Toc237923831"/>
      <w:bookmarkEnd w:id="648"/>
      <w:bookmarkStart w:id="649" w:name="_Toc282787453"/>
      <w:bookmarkEnd w:id="649"/>
      <w:bookmarkStart w:id="650" w:name="_Toc282779515"/>
      <w:bookmarkEnd w:id="650"/>
      <w:bookmarkStart w:id="651" w:name="_Toc288491531"/>
      <w:r>
        <w:rPr>
          <w:rFonts w:hint="eastAsia" w:ascii="宋体" w:hAnsi="宋体" w:eastAsia="宋体" w:cs="宋体"/>
          <w:color w:val="auto"/>
          <w:kern w:val="2"/>
          <w:sz w:val="21"/>
          <w:szCs w:val="21"/>
          <w:highlight w:val="none"/>
          <w:lang w:val="en-US" w:eastAsia="zh-CN" w:bidi="ar"/>
        </w:rPr>
        <w:t>5.1  承包人提供的材料和工程设备</w:t>
      </w:r>
      <w:bookmarkEnd w:id="651"/>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5.1.1  除专用合同条款另有约定外，承包人提供的材料和工程设备均由承包人负责采购、运输和保管。承包人应对其采购的材料和工程设备负责。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5.1.2  承包人在用于本养护工程的材料和设备进场以前，承包人必须向监理人提交生产厂商出具的质量合格证书和承包人检验合格证书，证明材料、设备质量应符合本合同技术规范的规定，供监理人批准。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5.1.3  对承包人提供的材料和工程设备，承包人应会同监理人对材料或设备进行的检验、查验材料合格证明、产品合格证书和交货验收提供一切必要的协助；并按合同约定和监理人指示，在材料用于工程之前，承包人应按监理人的要求进行材料的抽样检验和工程设备的检验测试，提供材料样品以供检验。检验和测试结果应提交监理人，所需费用由承包人承担。</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652" w:name="_Toc282787454"/>
      <w:bookmarkEnd w:id="652"/>
      <w:bookmarkStart w:id="653" w:name="_Toc283794204"/>
      <w:bookmarkEnd w:id="653"/>
      <w:bookmarkStart w:id="654" w:name="_Toc282779516"/>
      <w:bookmarkEnd w:id="654"/>
      <w:bookmarkStart w:id="655" w:name="_Toc179632671"/>
      <w:bookmarkEnd w:id="655"/>
      <w:bookmarkStart w:id="656" w:name="_Toc152042431"/>
      <w:bookmarkEnd w:id="656"/>
      <w:bookmarkStart w:id="657" w:name="_Toc152045653"/>
      <w:bookmarkEnd w:id="657"/>
      <w:bookmarkStart w:id="658" w:name="_Toc282779007"/>
      <w:bookmarkEnd w:id="658"/>
      <w:bookmarkStart w:id="659" w:name="_Toc288491532"/>
      <w:bookmarkEnd w:id="659"/>
      <w:bookmarkStart w:id="660" w:name="_Toc287853356"/>
      <w:bookmarkEnd w:id="660"/>
      <w:bookmarkStart w:id="661" w:name="_Toc144974621"/>
      <w:bookmarkEnd w:id="661"/>
      <w:bookmarkStart w:id="662" w:name="_Toc237923832"/>
      <w:r>
        <w:rPr>
          <w:rFonts w:hint="eastAsia" w:ascii="宋体" w:hAnsi="宋体" w:eastAsia="宋体" w:cs="宋体"/>
          <w:color w:val="auto"/>
          <w:kern w:val="2"/>
          <w:sz w:val="21"/>
          <w:szCs w:val="21"/>
          <w:highlight w:val="none"/>
          <w:lang w:val="en-US" w:eastAsia="zh-CN" w:bidi="ar"/>
        </w:rPr>
        <w:t>5.2  发包人提供的材料和工程设备</w:t>
      </w:r>
      <w:bookmarkEnd w:id="662"/>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5.2.1  发包人提供的材料和工程设备，应在专用合同条款中写明材料和工程设备的名称、规格、数量、价格、交货方式、交货地点和计划交货日期等。</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5.2.2  承包人应根据合同进度计划的安排，向监理人报送要求发包人交货的日期计划。发包人应按照监理人与合同双方当事人商定的交货日期，向承包人提交材料和工程设备。</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5.2.4  发包人要求向承包人提前交货的，承包人不得拒绝，但发包人应承担承包人由此增加的费用。 </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5.2.5 承包人要求更改交货日期或地点的，应事先报请监理人批准。由于承包人要求更改交货时间或地点所增加的费用和（或）工期延误由承包人承担。 </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663" w:name="_Toc288491533"/>
      <w:bookmarkEnd w:id="663"/>
      <w:bookmarkStart w:id="664" w:name="_Toc282779517"/>
      <w:bookmarkEnd w:id="664"/>
      <w:bookmarkStart w:id="665" w:name="_Toc282787455"/>
      <w:bookmarkEnd w:id="665"/>
      <w:bookmarkStart w:id="666" w:name="_Toc282779008"/>
      <w:bookmarkEnd w:id="666"/>
      <w:bookmarkStart w:id="667" w:name="_Toc283794205"/>
      <w:bookmarkEnd w:id="667"/>
      <w:bookmarkStart w:id="668" w:name="_Toc152042432"/>
      <w:bookmarkEnd w:id="668"/>
      <w:bookmarkStart w:id="669" w:name="_Toc179632672"/>
      <w:bookmarkEnd w:id="669"/>
      <w:bookmarkStart w:id="670" w:name="_Toc287853357"/>
      <w:bookmarkEnd w:id="670"/>
      <w:bookmarkStart w:id="671" w:name="_Toc152045654"/>
      <w:bookmarkEnd w:id="671"/>
      <w:bookmarkStart w:id="672" w:name="_Toc144974622"/>
      <w:bookmarkEnd w:id="672"/>
      <w:bookmarkStart w:id="673" w:name="_Toc237923833"/>
      <w:r>
        <w:rPr>
          <w:rFonts w:hint="eastAsia" w:ascii="宋体" w:hAnsi="宋体" w:eastAsia="宋体" w:cs="宋体"/>
          <w:color w:val="auto"/>
          <w:kern w:val="2"/>
          <w:sz w:val="21"/>
          <w:szCs w:val="21"/>
          <w:highlight w:val="none"/>
          <w:lang w:val="en-US" w:eastAsia="zh-CN" w:bidi="ar"/>
        </w:rPr>
        <w:t>5.3  材料和工程设备专用于合同工程</w:t>
      </w:r>
      <w:bookmarkEnd w:id="67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5.3.1  运入施工场地的材料、工程设备，包括备品备件、安装专用工器具与随机资料，必须专用于合同工程，未经监理人同意，承包人不得运出施工场地或挪作他用。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5.3.3  用于本养护工程的材料和设备进场以前，承包人必须向监理人提交生产厂商出具的质量合格证书和承包人检验合格证书，证明材料、设备质量应符合本合同技术规范的规定，供监理人批准。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承包人应随时按发包人的指令，在制造、加工或施工现场对材料和设备进行检验。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承包人应为监理人对材料或设备的检验提供一切必要的协助，在材料用于工程之前，承包人应按监理人的要求提供材料样品以供检验。</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674" w:name="_Toc282779518"/>
      <w:bookmarkEnd w:id="674"/>
      <w:bookmarkStart w:id="675" w:name="_Toc287853358"/>
      <w:bookmarkEnd w:id="675"/>
      <w:bookmarkStart w:id="676" w:name="_Toc152042433"/>
      <w:bookmarkEnd w:id="676"/>
      <w:bookmarkStart w:id="677" w:name="_Toc282779009"/>
      <w:bookmarkEnd w:id="677"/>
      <w:bookmarkStart w:id="678" w:name="_Toc152045655"/>
      <w:bookmarkEnd w:id="678"/>
      <w:bookmarkStart w:id="679" w:name="_Toc237923834"/>
      <w:bookmarkEnd w:id="679"/>
      <w:bookmarkStart w:id="680" w:name="_Toc179632673"/>
      <w:bookmarkEnd w:id="680"/>
      <w:bookmarkStart w:id="681" w:name="_Toc288491534"/>
      <w:bookmarkEnd w:id="681"/>
      <w:bookmarkStart w:id="682" w:name="_Toc282787456"/>
      <w:bookmarkEnd w:id="682"/>
      <w:bookmarkStart w:id="683" w:name="_Toc283794206"/>
      <w:bookmarkEnd w:id="683"/>
      <w:bookmarkStart w:id="684" w:name="_Toc144974623"/>
      <w:r>
        <w:rPr>
          <w:rFonts w:hint="eastAsia" w:ascii="宋体" w:hAnsi="宋体" w:eastAsia="宋体" w:cs="宋体"/>
          <w:color w:val="auto"/>
          <w:kern w:val="2"/>
          <w:sz w:val="21"/>
          <w:szCs w:val="21"/>
          <w:highlight w:val="none"/>
          <w:lang w:val="en-US" w:eastAsia="zh-CN" w:bidi="ar"/>
        </w:rPr>
        <w:t>5.4  禁止使用不合格的材料和工程设备</w:t>
      </w:r>
      <w:bookmarkEnd w:id="68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5.4.1  监理人有权拒绝承包人提供的不合格材料或工程设备，并要求承包人立即进行更换。监理人应在更换后再次进行检查和检验，由此增加的费用和（或）工期延误由承包人承担。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5.4.2  监理人发现承包人使用了不合格的材料和工程设备，应即时发出指示要求承包人立即改正，并禁止在工程中继续使用不合格的材料和工程设备。</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5.4.3  发包人提供的材料或工程设备不符合合同要求的，承包人有权拒绝，并可要求发包人更换，由此增加的费用和（或）工期延误由发包人承担。</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685" w:name="_Toc31895"/>
      <w:bookmarkEnd w:id="685"/>
      <w:bookmarkStart w:id="686" w:name="_Toc10209"/>
      <w:bookmarkEnd w:id="686"/>
      <w:bookmarkStart w:id="687" w:name="_Toc287853359"/>
      <w:bookmarkEnd w:id="687"/>
      <w:bookmarkStart w:id="688" w:name="_Toc20731"/>
      <w:bookmarkEnd w:id="688"/>
      <w:bookmarkStart w:id="689" w:name="_Toc288491535"/>
      <w:bookmarkEnd w:id="689"/>
      <w:bookmarkStart w:id="690" w:name="_Toc152042434"/>
      <w:bookmarkEnd w:id="690"/>
      <w:bookmarkStart w:id="691" w:name="_Toc282779519"/>
      <w:bookmarkEnd w:id="691"/>
      <w:bookmarkStart w:id="692" w:name="_Toc22341"/>
      <w:bookmarkEnd w:id="692"/>
      <w:bookmarkStart w:id="693" w:name="_Toc237923835"/>
      <w:bookmarkEnd w:id="693"/>
      <w:bookmarkStart w:id="694" w:name="_Toc15614"/>
      <w:bookmarkEnd w:id="694"/>
      <w:bookmarkStart w:id="695" w:name="_Toc27823"/>
      <w:bookmarkEnd w:id="695"/>
      <w:bookmarkStart w:id="696" w:name="_Toc514936606"/>
      <w:bookmarkEnd w:id="696"/>
      <w:bookmarkStart w:id="697" w:name="_Toc283794207"/>
      <w:bookmarkEnd w:id="697"/>
      <w:bookmarkStart w:id="698" w:name="_Toc179632674"/>
      <w:bookmarkEnd w:id="698"/>
      <w:bookmarkStart w:id="699" w:name="_Toc21675"/>
      <w:bookmarkEnd w:id="699"/>
      <w:bookmarkStart w:id="700" w:name="_Toc144974624"/>
      <w:bookmarkEnd w:id="700"/>
      <w:bookmarkStart w:id="701" w:name="_Toc28351"/>
      <w:bookmarkEnd w:id="701"/>
      <w:bookmarkStart w:id="702" w:name="_Toc118378077"/>
      <w:bookmarkEnd w:id="702"/>
      <w:bookmarkStart w:id="703" w:name="_Toc27627"/>
      <w:bookmarkEnd w:id="703"/>
      <w:bookmarkStart w:id="704" w:name="_Toc20692"/>
      <w:bookmarkEnd w:id="704"/>
      <w:bookmarkStart w:id="705" w:name="_Toc282779010"/>
      <w:bookmarkEnd w:id="705"/>
      <w:bookmarkStart w:id="706" w:name="_Toc2136"/>
      <w:bookmarkEnd w:id="706"/>
      <w:bookmarkStart w:id="707" w:name="_Toc152045656"/>
      <w:bookmarkEnd w:id="707"/>
      <w:bookmarkStart w:id="708" w:name="_Toc16680"/>
      <w:bookmarkEnd w:id="708"/>
      <w:bookmarkStart w:id="709" w:name="_Toc11812"/>
      <w:bookmarkEnd w:id="709"/>
      <w:bookmarkStart w:id="710" w:name="_Toc282787457"/>
      <w:r>
        <w:rPr>
          <w:rFonts w:hint="eastAsia" w:ascii="宋体" w:hAnsi="宋体" w:eastAsia="宋体" w:cs="宋体"/>
          <w:color w:val="auto"/>
          <w:kern w:val="2"/>
          <w:sz w:val="21"/>
          <w:szCs w:val="21"/>
          <w:highlight w:val="none"/>
          <w:lang w:val="en-US" w:eastAsia="zh-CN" w:bidi="ar"/>
        </w:rPr>
        <w:t>6．施工设备和临时设施</w:t>
      </w:r>
      <w:bookmarkEnd w:id="710"/>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711" w:name="_Toc237923836"/>
      <w:bookmarkEnd w:id="711"/>
      <w:bookmarkStart w:id="712" w:name="_Toc282779520"/>
      <w:bookmarkEnd w:id="712"/>
      <w:bookmarkStart w:id="713" w:name="_Toc287853360"/>
      <w:bookmarkEnd w:id="713"/>
      <w:bookmarkStart w:id="714" w:name="_Toc144974625"/>
      <w:bookmarkEnd w:id="714"/>
      <w:bookmarkStart w:id="715" w:name="_Toc179632675"/>
      <w:bookmarkEnd w:id="715"/>
      <w:bookmarkStart w:id="716" w:name="_Toc288491536"/>
      <w:bookmarkEnd w:id="716"/>
      <w:bookmarkStart w:id="717" w:name="_Toc283794208"/>
      <w:bookmarkEnd w:id="717"/>
      <w:bookmarkStart w:id="718" w:name="_Toc282787458"/>
      <w:bookmarkEnd w:id="718"/>
      <w:bookmarkStart w:id="719" w:name="_Toc282779011"/>
      <w:bookmarkEnd w:id="719"/>
      <w:bookmarkStart w:id="720" w:name="_Toc152042435"/>
      <w:bookmarkEnd w:id="720"/>
      <w:bookmarkStart w:id="721" w:name="_Toc152045657"/>
      <w:r>
        <w:rPr>
          <w:rFonts w:hint="eastAsia" w:ascii="宋体" w:hAnsi="宋体" w:eastAsia="宋体" w:cs="宋体"/>
          <w:color w:val="auto"/>
          <w:kern w:val="2"/>
          <w:sz w:val="21"/>
          <w:szCs w:val="21"/>
          <w:highlight w:val="none"/>
          <w:lang w:val="en-US" w:eastAsia="zh-CN" w:bidi="ar"/>
        </w:rPr>
        <w:t>6.1  承包人提供的施工设备和临时设施</w:t>
      </w:r>
      <w:bookmarkEnd w:id="721"/>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6.1.1  承包人应按合同进度计划的要求，及时配置施工设备和修建临时设施。进入施工场地的承包人设备需经监理人核查后才能投入使用。承包人更换合同约定的承包人设备的，应报监理人批准。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6.1.2  除专用合同条款另有约定外，承包人应自行承担修建临时设施的费用，需要临时占地的，应由发包人办理申请手续并承担相应费用。</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722" w:name="_Toc283794209"/>
      <w:bookmarkEnd w:id="722"/>
      <w:bookmarkStart w:id="723" w:name="_Toc282787459"/>
      <w:bookmarkEnd w:id="723"/>
      <w:bookmarkStart w:id="724" w:name="_Toc237923837"/>
      <w:bookmarkEnd w:id="724"/>
      <w:bookmarkStart w:id="725" w:name="_Toc287853361"/>
      <w:bookmarkEnd w:id="725"/>
      <w:bookmarkStart w:id="726" w:name="_Toc282779012"/>
      <w:bookmarkEnd w:id="726"/>
      <w:bookmarkStart w:id="727" w:name="_Toc152042436"/>
      <w:bookmarkEnd w:id="727"/>
      <w:bookmarkStart w:id="728" w:name="_Toc288491537"/>
      <w:bookmarkEnd w:id="728"/>
      <w:bookmarkStart w:id="729" w:name="_Toc144974626"/>
      <w:bookmarkEnd w:id="729"/>
      <w:bookmarkStart w:id="730" w:name="_Toc282779521"/>
      <w:bookmarkEnd w:id="730"/>
      <w:bookmarkStart w:id="731" w:name="_Toc179632676"/>
      <w:bookmarkEnd w:id="731"/>
      <w:bookmarkStart w:id="732" w:name="_Toc152045658"/>
      <w:r>
        <w:rPr>
          <w:rFonts w:hint="eastAsia" w:ascii="宋体" w:hAnsi="宋体" w:eastAsia="宋体" w:cs="宋体"/>
          <w:color w:val="auto"/>
          <w:kern w:val="2"/>
          <w:sz w:val="21"/>
          <w:szCs w:val="21"/>
          <w:highlight w:val="none"/>
          <w:lang w:val="en-US" w:eastAsia="zh-CN" w:bidi="ar"/>
        </w:rPr>
        <w:t>6.2  发包人提供的施工设备和临时设施</w:t>
      </w:r>
      <w:bookmarkEnd w:id="732"/>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发包人提供的施工设备或临时设施在专用合同条款中约定。</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733" w:name="_Toc179632677"/>
      <w:bookmarkEnd w:id="733"/>
      <w:bookmarkStart w:id="734" w:name="_Toc283794210"/>
      <w:bookmarkEnd w:id="734"/>
      <w:bookmarkStart w:id="735" w:name="_Toc282779013"/>
      <w:bookmarkEnd w:id="735"/>
      <w:bookmarkStart w:id="736" w:name="_Toc282779522"/>
      <w:bookmarkEnd w:id="736"/>
      <w:bookmarkStart w:id="737" w:name="_Toc152042437"/>
      <w:bookmarkEnd w:id="737"/>
      <w:bookmarkStart w:id="738" w:name="_Toc152045659"/>
      <w:bookmarkEnd w:id="738"/>
      <w:bookmarkStart w:id="739" w:name="_Toc282787460"/>
      <w:bookmarkEnd w:id="739"/>
      <w:bookmarkStart w:id="740" w:name="_Toc144974627"/>
      <w:bookmarkEnd w:id="740"/>
      <w:bookmarkStart w:id="741" w:name="_Toc288491538"/>
      <w:bookmarkEnd w:id="741"/>
      <w:bookmarkStart w:id="742" w:name="_Toc237923838"/>
      <w:bookmarkEnd w:id="742"/>
      <w:bookmarkStart w:id="743" w:name="_Toc287853362"/>
      <w:r>
        <w:rPr>
          <w:rFonts w:hint="eastAsia" w:ascii="宋体" w:hAnsi="宋体" w:eastAsia="宋体" w:cs="宋体"/>
          <w:color w:val="auto"/>
          <w:kern w:val="2"/>
          <w:sz w:val="21"/>
          <w:szCs w:val="21"/>
          <w:highlight w:val="none"/>
          <w:lang w:val="en-US" w:eastAsia="zh-CN" w:bidi="ar"/>
        </w:rPr>
        <w:t>6.3  要求承包人增加或更换施工设备</w:t>
      </w:r>
      <w:bookmarkEnd w:id="74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承包人使用的施工设备不能满足合同进度计划和（或）质量要求时，监理人有权要求承包人增加或更换施工设备，承包人应及时增加或更换，由此增加的费用和（或）工期延误由承包人承担。</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744" w:name="_Toc282779523"/>
      <w:bookmarkEnd w:id="744"/>
      <w:bookmarkStart w:id="745" w:name="_Toc152045660"/>
      <w:bookmarkEnd w:id="745"/>
      <w:bookmarkStart w:id="746" w:name="_Toc144974628"/>
      <w:bookmarkEnd w:id="746"/>
      <w:bookmarkStart w:id="747" w:name="_Toc179632678"/>
      <w:bookmarkEnd w:id="747"/>
      <w:bookmarkStart w:id="748" w:name="_Toc152042438"/>
      <w:bookmarkEnd w:id="748"/>
      <w:bookmarkStart w:id="749" w:name="_Toc287853363"/>
      <w:bookmarkEnd w:id="749"/>
      <w:bookmarkStart w:id="750" w:name="_Toc282779014"/>
      <w:bookmarkEnd w:id="750"/>
      <w:bookmarkStart w:id="751" w:name="_Toc288491539"/>
      <w:bookmarkEnd w:id="751"/>
      <w:bookmarkStart w:id="752" w:name="_Toc282787461"/>
      <w:bookmarkEnd w:id="752"/>
      <w:bookmarkStart w:id="753" w:name="_Toc237923839"/>
      <w:bookmarkEnd w:id="753"/>
      <w:bookmarkStart w:id="754" w:name="_Toc283794211"/>
      <w:r>
        <w:rPr>
          <w:rFonts w:hint="eastAsia" w:ascii="宋体" w:hAnsi="宋体" w:eastAsia="宋体" w:cs="宋体"/>
          <w:color w:val="auto"/>
          <w:kern w:val="2"/>
          <w:sz w:val="21"/>
          <w:szCs w:val="21"/>
          <w:highlight w:val="none"/>
          <w:lang w:val="en-US" w:eastAsia="zh-CN" w:bidi="ar"/>
        </w:rPr>
        <w:t>6.4  施工设备和临时设施专用于合同工程</w:t>
      </w:r>
      <w:bookmarkEnd w:id="75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6.4.1  除合同另有约定外，运入施工场地的所有施工设备以及在施工场地建设的临时设施应专用于合同工程。未经监理人同意，不得将上述施工设备和临时设施中的任何部分运出施工场地或挪作他用。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6.4.2  经监理人同意，承包人可根据合同进度计划撤走闲置的施工设备。</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755" w:name="_Toc5702"/>
      <w:bookmarkEnd w:id="755"/>
      <w:bookmarkStart w:id="756" w:name="_Toc7452"/>
      <w:bookmarkEnd w:id="756"/>
      <w:bookmarkStart w:id="757" w:name="_Toc179632679"/>
      <w:bookmarkEnd w:id="757"/>
      <w:bookmarkStart w:id="758" w:name="_Toc287853364"/>
      <w:bookmarkEnd w:id="758"/>
      <w:bookmarkStart w:id="759" w:name="_Toc514936607"/>
      <w:bookmarkEnd w:id="759"/>
      <w:bookmarkStart w:id="760" w:name="_Toc237923840"/>
      <w:bookmarkEnd w:id="760"/>
      <w:bookmarkStart w:id="761" w:name="_Toc152045661"/>
      <w:bookmarkEnd w:id="761"/>
      <w:bookmarkStart w:id="762" w:name="_Toc6718"/>
      <w:bookmarkEnd w:id="762"/>
      <w:bookmarkStart w:id="763" w:name="_Toc5040"/>
      <w:bookmarkEnd w:id="763"/>
      <w:bookmarkStart w:id="764" w:name="_Toc283794212"/>
      <w:bookmarkEnd w:id="764"/>
      <w:bookmarkStart w:id="765" w:name="_Toc282779524"/>
      <w:bookmarkEnd w:id="765"/>
      <w:bookmarkStart w:id="766" w:name="_Toc282787462"/>
      <w:bookmarkEnd w:id="766"/>
      <w:bookmarkStart w:id="767" w:name="_Toc118378078"/>
      <w:bookmarkEnd w:id="767"/>
      <w:bookmarkStart w:id="768" w:name="_Toc12611"/>
      <w:bookmarkEnd w:id="768"/>
      <w:bookmarkStart w:id="769" w:name="_Toc29500"/>
      <w:bookmarkEnd w:id="769"/>
      <w:bookmarkStart w:id="770" w:name="_Toc3840"/>
      <w:bookmarkEnd w:id="770"/>
      <w:bookmarkStart w:id="771" w:name="_Toc32006"/>
      <w:bookmarkEnd w:id="771"/>
      <w:bookmarkStart w:id="772" w:name="_Toc27523"/>
      <w:bookmarkEnd w:id="772"/>
      <w:bookmarkStart w:id="773" w:name="_Toc10696"/>
      <w:bookmarkEnd w:id="773"/>
      <w:bookmarkStart w:id="774" w:name="_Toc31825"/>
      <w:bookmarkEnd w:id="774"/>
      <w:bookmarkStart w:id="775" w:name="_Toc152042439"/>
      <w:bookmarkEnd w:id="775"/>
      <w:bookmarkStart w:id="776" w:name="_Toc144974629"/>
      <w:bookmarkEnd w:id="776"/>
      <w:bookmarkStart w:id="777" w:name="_Toc288491540"/>
      <w:bookmarkEnd w:id="777"/>
      <w:bookmarkStart w:id="778" w:name="_Toc282779015"/>
      <w:bookmarkEnd w:id="778"/>
      <w:bookmarkStart w:id="779" w:name="_Toc26731"/>
      <w:bookmarkEnd w:id="779"/>
      <w:bookmarkStart w:id="780" w:name="_Toc31582"/>
      <w:r>
        <w:rPr>
          <w:rFonts w:hint="eastAsia" w:ascii="宋体" w:hAnsi="宋体" w:eastAsia="宋体" w:cs="宋体"/>
          <w:color w:val="auto"/>
          <w:kern w:val="2"/>
          <w:sz w:val="21"/>
          <w:szCs w:val="21"/>
          <w:highlight w:val="none"/>
          <w:lang w:val="en-US" w:eastAsia="zh-CN" w:bidi="ar"/>
        </w:rPr>
        <w:t>7. 交通运输</w:t>
      </w:r>
      <w:bookmarkEnd w:id="780"/>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781" w:name="_Toc152042440"/>
      <w:bookmarkEnd w:id="781"/>
      <w:bookmarkStart w:id="782" w:name="_Toc282779525"/>
      <w:bookmarkEnd w:id="782"/>
      <w:bookmarkStart w:id="783" w:name="_Toc237923841"/>
      <w:bookmarkEnd w:id="783"/>
      <w:bookmarkStart w:id="784" w:name="_Toc152045662"/>
      <w:bookmarkEnd w:id="784"/>
      <w:bookmarkStart w:id="785" w:name="_Toc282787463"/>
      <w:bookmarkEnd w:id="785"/>
      <w:bookmarkStart w:id="786" w:name="_Toc179632680"/>
      <w:bookmarkEnd w:id="786"/>
      <w:bookmarkStart w:id="787" w:name="_Toc287853365"/>
      <w:bookmarkEnd w:id="787"/>
      <w:bookmarkStart w:id="788" w:name="_Toc282779016"/>
      <w:bookmarkEnd w:id="788"/>
      <w:bookmarkStart w:id="789" w:name="_Toc283794213"/>
      <w:bookmarkEnd w:id="789"/>
      <w:bookmarkStart w:id="790" w:name="_Toc288491541"/>
      <w:bookmarkEnd w:id="790"/>
      <w:bookmarkStart w:id="791" w:name="_Toc144974630"/>
      <w:r>
        <w:rPr>
          <w:rFonts w:hint="eastAsia" w:ascii="宋体" w:hAnsi="宋体" w:eastAsia="宋体" w:cs="宋体"/>
          <w:color w:val="auto"/>
          <w:kern w:val="2"/>
          <w:sz w:val="21"/>
          <w:szCs w:val="21"/>
          <w:highlight w:val="none"/>
          <w:lang w:val="en-US" w:eastAsia="zh-CN" w:bidi="ar"/>
        </w:rPr>
        <w:t>7.1  道路通行权和场外设施</w:t>
      </w:r>
      <w:bookmarkEnd w:id="791"/>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792" w:name="_Toc282779526"/>
      <w:bookmarkEnd w:id="792"/>
      <w:bookmarkStart w:id="793" w:name="_Toc144974631"/>
      <w:bookmarkEnd w:id="793"/>
      <w:bookmarkStart w:id="794" w:name="_Toc237923842"/>
      <w:bookmarkEnd w:id="794"/>
      <w:bookmarkStart w:id="795" w:name="_Toc283794214"/>
      <w:bookmarkEnd w:id="795"/>
      <w:bookmarkStart w:id="796" w:name="_Toc282779017"/>
      <w:bookmarkEnd w:id="796"/>
      <w:bookmarkStart w:id="797" w:name="_Toc282787464"/>
      <w:bookmarkEnd w:id="797"/>
      <w:bookmarkStart w:id="798" w:name="_Toc179632681"/>
      <w:bookmarkEnd w:id="798"/>
      <w:bookmarkStart w:id="799" w:name="_Toc287853366"/>
      <w:bookmarkEnd w:id="799"/>
      <w:bookmarkStart w:id="800" w:name="_Toc152045663"/>
      <w:bookmarkEnd w:id="800"/>
      <w:bookmarkStart w:id="801" w:name="_Toc152042441"/>
      <w:bookmarkEnd w:id="801"/>
      <w:bookmarkStart w:id="802" w:name="_Toc288491542"/>
      <w:r>
        <w:rPr>
          <w:rFonts w:hint="eastAsia" w:ascii="宋体" w:hAnsi="宋体" w:eastAsia="宋体" w:cs="宋体"/>
          <w:color w:val="auto"/>
          <w:kern w:val="2"/>
          <w:sz w:val="21"/>
          <w:szCs w:val="21"/>
          <w:highlight w:val="none"/>
          <w:lang w:val="en-US" w:eastAsia="zh-CN" w:bidi="ar"/>
        </w:rPr>
        <w:t>7.2  场内施工道路</w:t>
      </w:r>
      <w:bookmarkEnd w:id="802"/>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7.2.1  除专用合同条款另有约定外，承包人应负责修建、维修、养护和管理施工所需的临时道路和交通设施，包括维修、养护和管理发包人提供的道路和交通设施，并承担相应费用。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7.2.2  除专用合同条款另有约定外，承包人修建的临时道路和交通设施应免费提供发包人和监理人使用。</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803" w:name="_Toc179632682"/>
      <w:bookmarkEnd w:id="803"/>
      <w:bookmarkStart w:id="804" w:name="_Toc144974632"/>
      <w:bookmarkEnd w:id="804"/>
      <w:bookmarkStart w:id="805" w:name="_Toc152042442"/>
      <w:bookmarkEnd w:id="805"/>
      <w:bookmarkStart w:id="806" w:name="_Toc282779018"/>
      <w:bookmarkEnd w:id="806"/>
      <w:bookmarkStart w:id="807" w:name="_Toc282787465"/>
      <w:bookmarkEnd w:id="807"/>
      <w:bookmarkStart w:id="808" w:name="_Toc288491543"/>
      <w:bookmarkEnd w:id="808"/>
      <w:bookmarkStart w:id="809" w:name="_Toc282779527"/>
      <w:bookmarkEnd w:id="809"/>
      <w:bookmarkStart w:id="810" w:name="_Toc283794215"/>
      <w:bookmarkEnd w:id="810"/>
      <w:bookmarkStart w:id="811" w:name="_Toc287853367"/>
      <w:bookmarkEnd w:id="811"/>
      <w:bookmarkStart w:id="812" w:name="_Toc237923843"/>
      <w:bookmarkEnd w:id="812"/>
      <w:bookmarkStart w:id="813" w:name="_Toc152045664"/>
      <w:r>
        <w:rPr>
          <w:rFonts w:hint="eastAsia" w:ascii="宋体" w:hAnsi="宋体" w:eastAsia="宋体" w:cs="宋体"/>
          <w:color w:val="auto"/>
          <w:kern w:val="2"/>
          <w:sz w:val="21"/>
          <w:szCs w:val="21"/>
          <w:highlight w:val="none"/>
          <w:lang w:val="en-US" w:eastAsia="zh-CN" w:bidi="ar"/>
        </w:rPr>
        <w:t>7.3  场外交通</w:t>
      </w:r>
      <w:bookmarkEnd w:id="81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7.3.1  承包人车辆外出行驶所需的场外公共道路的通行费、养路费和税款等由承包人承担。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7.3.2  承包人应遵守有关交通法规，严格按照道路和桥梁的限制荷重安全行驶，并服从交通管理部门的检查和监督。</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814" w:name="_Toc179632683"/>
      <w:bookmarkEnd w:id="814"/>
      <w:bookmarkStart w:id="815" w:name="_Toc282779528"/>
      <w:bookmarkEnd w:id="815"/>
      <w:bookmarkStart w:id="816" w:name="_Toc152042443"/>
      <w:bookmarkEnd w:id="816"/>
      <w:bookmarkStart w:id="817" w:name="_Toc282779019"/>
      <w:bookmarkEnd w:id="817"/>
      <w:bookmarkStart w:id="818" w:name="_Toc144974633"/>
      <w:bookmarkEnd w:id="818"/>
      <w:bookmarkStart w:id="819" w:name="_Toc237923844"/>
      <w:bookmarkEnd w:id="819"/>
      <w:bookmarkStart w:id="820" w:name="_Toc152045665"/>
      <w:bookmarkEnd w:id="820"/>
      <w:bookmarkStart w:id="821" w:name="_Toc288491544"/>
      <w:bookmarkEnd w:id="821"/>
      <w:bookmarkStart w:id="822" w:name="_Toc283794216"/>
      <w:bookmarkEnd w:id="822"/>
      <w:bookmarkStart w:id="823" w:name="_Toc282787466"/>
      <w:bookmarkEnd w:id="823"/>
      <w:bookmarkStart w:id="824" w:name="_Toc287853368"/>
      <w:r>
        <w:rPr>
          <w:rFonts w:hint="eastAsia" w:ascii="宋体" w:hAnsi="宋体" w:eastAsia="宋体" w:cs="宋体"/>
          <w:color w:val="auto"/>
          <w:kern w:val="2"/>
          <w:sz w:val="21"/>
          <w:szCs w:val="21"/>
          <w:highlight w:val="none"/>
          <w:lang w:val="en-US" w:eastAsia="zh-CN" w:bidi="ar"/>
        </w:rPr>
        <w:t>7.4  超大件和超重件的运输</w:t>
      </w:r>
      <w:bookmarkEnd w:id="82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825" w:name="_Toc287853369"/>
      <w:bookmarkEnd w:id="825"/>
      <w:bookmarkStart w:id="826" w:name="_Toc282779529"/>
      <w:bookmarkEnd w:id="826"/>
      <w:bookmarkStart w:id="827" w:name="_Toc144974634"/>
      <w:bookmarkEnd w:id="827"/>
      <w:bookmarkStart w:id="828" w:name="_Toc152045666"/>
      <w:bookmarkEnd w:id="828"/>
      <w:bookmarkStart w:id="829" w:name="_Toc282787467"/>
      <w:bookmarkEnd w:id="829"/>
      <w:bookmarkStart w:id="830" w:name="_Toc288491545"/>
      <w:bookmarkEnd w:id="830"/>
      <w:bookmarkStart w:id="831" w:name="_Toc282779020"/>
      <w:bookmarkEnd w:id="831"/>
      <w:bookmarkStart w:id="832" w:name="_Toc179632684"/>
      <w:bookmarkEnd w:id="832"/>
      <w:bookmarkStart w:id="833" w:name="_Toc283794217"/>
      <w:bookmarkEnd w:id="833"/>
      <w:bookmarkStart w:id="834" w:name="_Toc152042444"/>
      <w:bookmarkEnd w:id="834"/>
      <w:bookmarkStart w:id="835" w:name="_Toc237923845"/>
      <w:r>
        <w:rPr>
          <w:rFonts w:hint="eastAsia" w:ascii="宋体" w:hAnsi="宋体" w:eastAsia="宋体" w:cs="宋体"/>
          <w:color w:val="auto"/>
          <w:kern w:val="2"/>
          <w:sz w:val="21"/>
          <w:szCs w:val="21"/>
          <w:highlight w:val="none"/>
          <w:lang w:val="en-US" w:eastAsia="zh-CN" w:bidi="ar"/>
        </w:rPr>
        <w:t>7.5  道路和桥梁的损坏责任</w:t>
      </w:r>
      <w:bookmarkEnd w:id="835"/>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因承包人运输造成施工场地内外公共道路和桥梁损坏的，由承包人承担修复损坏的全部费用和可能引起的赔偿。</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836" w:name="_Toc287853370"/>
      <w:bookmarkEnd w:id="836"/>
      <w:bookmarkStart w:id="837" w:name="_Toc179632685"/>
      <w:bookmarkEnd w:id="837"/>
      <w:bookmarkStart w:id="838" w:name="_Toc282779021"/>
      <w:bookmarkEnd w:id="838"/>
      <w:bookmarkStart w:id="839" w:name="_Toc237923846"/>
      <w:bookmarkEnd w:id="839"/>
      <w:bookmarkStart w:id="840" w:name="_Toc282779530"/>
      <w:bookmarkEnd w:id="840"/>
      <w:bookmarkStart w:id="841" w:name="_Toc144974635"/>
      <w:bookmarkEnd w:id="841"/>
      <w:bookmarkStart w:id="842" w:name="_Toc152045667"/>
      <w:bookmarkEnd w:id="842"/>
      <w:bookmarkStart w:id="843" w:name="_Toc152042445"/>
      <w:bookmarkEnd w:id="843"/>
      <w:bookmarkStart w:id="844" w:name="_Toc288491546"/>
      <w:bookmarkEnd w:id="844"/>
      <w:bookmarkStart w:id="845" w:name="_Toc283794218"/>
      <w:bookmarkEnd w:id="845"/>
      <w:bookmarkStart w:id="846" w:name="_Toc282787468"/>
      <w:r>
        <w:rPr>
          <w:rFonts w:hint="eastAsia" w:ascii="宋体" w:hAnsi="宋体" w:eastAsia="宋体" w:cs="宋体"/>
          <w:color w:val="auto"/>
          <w:kern w:val="2"/>
          <w:sz w:val="21"/>
          <w:szCs w:val="21"/>
          <w:highlight w:val="none"/>
          <w:lang w:val="en-US" w:eastAsia="zh-CN" w:bidi="ar"/>
        </w:rPr>
        <w:t>7.6  水路和航空运输</w:t>
      </w:r>
      <w:bookmarkEnd w:id="846"/>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本条上述各款的内容适用于水路运输和航空运输，其中“道路”一词的涵义包括河道、航线、船闸、机场、码头、堤防以及水路或航空运输中其他相似结构物；“车辆”一词的涵义包括船舶和飞机等。 </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847" w:name="_Toc179632686"/>
      <w:bookmarkEnd w:id="847"/>
      <w:bookmarkStart w:id="848" w:name="_Toc28031"/>
      <w:bookmarkEnd w:id="848"/>
      <w:bookmarkStart w:id="849" w:name="_Toc282779531"/>
      <w:bookmarkEnd w:id="849"/>
      <w:bookmarkStart w:id="850" w:name="_Toc6048"/>
      <w:bookmarkEnd w:id="850"/>
      <w:bookmarkStart w:id="851" w:name="_Toc283794219"/>
      <w:bookmarkEnd w:id="851"/>
      <w:bookmarkStart w:id="852" w:name="_Toc10984"/>
      <w:bookmarkEnd w:id="852"/>
      <w:bookmarkStart w:id="853" w:name="_Toc9595"/>
      <w:bookmarkEnd w:id="853"/>
      <w:bookmarkStart w:id="854" w:name="_Toc144974636"/>
      <w:bookmarkEnd w:id="854"/>
      <w:bookmarkStart w:id="855" w:name="_Toc118378079"/>
      <w:bookmarkEnd w:id="855"/>
      <w:bookmarkStart w:id="856" w:name="_Toc30918"/>
      <w:bookmarkEnd w:id="856"/>
      <w:bookmarkStart w:id="857" w:name="_Toc9571"/>
      <w:bookmarkEnd w:id="857"/>
      <w:bookmarkStart w:id="858" w:name="_Toc26227"/>
      <w:bookmarkEnd w:id="858"/>
      <w:bookmarkStart w:id="859" w:name="_Toc26121"/>
      <w:bookmarkEnd w:id="859"/>
      <w:bookmarkStart w:id="860" w:name="_Toc503"/>
      <w:bookmarkEnd w:id="860"/>
      <w:bookmarkStart w:id="861" w:name="_Toc287853371"/>
      <w:bookmarkEnd w:id="861"/>
      <w:bookmarkStart w:id="862" w:name="_Toc1531"/>
      <w:bookmarkEnd w:id="862"/>
      <w:bookmarkStart w:id="863" w:name="_Toc237923847"/>
      <w:bookmarkEnd w:id="863"/>
      <w:bookmarkStart w:id="864" w:name="_Toc282779022"/>
      <w:bookmarkEnd w:id="864"/>
      <w:bookmarkStart w:id="865" w:name="_Toc282787469"/>
      <w:bookmarkEnd w:id="865"/>
      <w:bookmarkStart w:id="866" w:name="_Toc152045668"/>
      <w:bookmarkEnd w:id="866"/>
      <w:bookmarkStart w:id="867" w:name="_Toc152042446"/>
      <w:bookmarkEnd w:id="867"/>
      <w:bookmarkStart w:id="868" w:name="_Toc514936608"/>
      <w:bookmarkEnd w:id="868"/>
      <w:bookmarkStart w:id="869" w:name="_Toc10022"/>
      <w:bookmarkEnd w:id="869"/>
      <w:bookmarkStart w:id="870" w:name="_Toc26793"/>
      <w:bookmarkEnd w:id="870"/>
      <w:bookmarkStart w:id="871" w:name="_Toc288491547"/>
      <w:bookmarkEnd w:id="871"/>
      <w:bookmarkStart w:id="872" w:name="_Toc26850"/>
      <w:r>
        <w:rPr>
          <w:rFonts w:hint="eastAsia" w:ascii="宋体" w:hAnsi="宋体" w:eastAsia="宋体" w:cs="宋体"/>
          <w:color w:val="auto"/>
          <w:kern w:val="2"/>
          <w:sz w:val="21"/>
          <w:szCs w:val="21"/>
          <w:highlight w:val="none"/>
          <w:lang w:val="en-US" w:eastAsia="zh-CN" w:bidi="ar"/>
        </w:rPr>
        <w:t>8．测量放线</w:t>
      </w:r>
      <w:bookmarkEnd w:id="872"/>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873" w:name="_Toc282779532"/>
      <w:bookmarkEnd w:id="873"/>
      <w:bookmarkStart w:id="874" w:name="_Toc283794220"/>
      <w:bookmarkEnd w:id="874"/>
      <w:bookmarkStart w:id="875" w:name="_Toc288491548"/>
      <w:bookmarkEnd w:id="875"/>
      <w:bookmarkStart w:id="876" w:name="_Toc282787470"/>
      <w:bookmarkEnd w:id="876"/>
      <w:bookmarkStart w:id="877" w:name="_Toc282779023"/>
      <w:bookmarkEnd w:id="877"/>
      <w:bookmarkStart w:id="878" w:name="_Toc237923848"/>
      <w:bookmarkEnd w:id="878"/>
      <w:bookmarkStart w:id="879" w:name="_Toc152045669"/>
      <w:bookmarkEnd w:id="879"/>
      <w:bookmarkStart w:id="880" w:name="_Toc287853372"/>
      <w:bookmarkEnd w:id="880"/>
      <w:bookmarkStart w:id="881" w:name="_Toc144974637"/>
      <w:bookmarkEnd w:id="881"/>
      <w:bookmarkStart w:id="882" w:name="_Toc179632687"/>
      <w:bookmarkEnd w:id="882"/>
      <w:bookmarkStart w:id="883" w:name="_Toc152042447"/>
      <w:r>
        <w:rPr>
          <w:rFonts w:hint="eastAsia" w:ascii="宋体" w:hAnsi="宋体" w:eastAsia="宋体" w:cs="宋体"/>
          <w:color w:val="auto"/>
          <w:kern w:val="2"/>
          <w:sz w:val="21"/>
          <w:szCs w:val="21"/>
          <w:highlight w:val="none"/>
          <w:lang w:val="en-US" w:eastAsia="zh-CN" w:bidi="ar"/>
        </w:rPr>
        <w:t>8.1  施工控制网</w:t>
      </w:r>
      <w:bookmarkEnd w:id="88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8.1.2  承包人应负责管理施工控制网点。施工控制网点丢失或损坏的，承包人应及时修复。承包人应承担施工控制网点的管理与修复费用，并在工程竣工后将施工控制网点移交发包人。</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884" w:name="_Toc152042448"/>
      <w:bookmarkEnd w:id="884"/>
      <w:bookmarkStart w:id="885" w:name="_Toc152045670"/>
      <w:bookmarkEnd w:id="885"/>
      <w:bookmarkStart w:id="886" w:name="_Toc237923849"/>
      <w:bookmarkEnd w:id="886"/>
      <w:bookmarkStart w:id="887" w:name="_Toc179632688"/>
      <w:bookmarkEnd w:id="887"/>
      <w:bookmarkStart w:id="888" w:name="_Toc144974638"/>
      <w:bookmarkEnd w:id="888"/>
      <w:bookmarkStart w:id="889" w:name="_Toc282779024"/>
      <w:bookmarkEnd w:id="889"/>
      <w:bookmarkStart w:id="890" w:name="_Toc287853373"/>
      <w:bookmarkEnd w:id="890"/>
      <w:bookmarkStart w:id="891" w:name="_Toc282787471"/>
      <w:bookmarkEnd w:id="891"/>
      <w:bookmarkStart w:id="892" w:name="_Toc282779533"/>
      <w:bookmarkEnd w:id="892"/>
      <w:bookmarkStart w:id="893" w:name="_Toc283794221"/>
      <w:bookmarkEnd w:id="893"/>
      <w:bookmarkStart w:id="894" w:name="_Toc288491549"/>
      <w:r>
        <w:rPr>
          <w:rFonts w:hint="eastAsia" w:ascii="宋体" w:hAnsi="宋体" w:eastAsia="宋体" w:cs="宋体"/>
          <w:color w:val="auto"/>
          <w:kern w:val="2"/>
          <w:sz w:val="21"/>
          <w:szCs w:val="21"/>
          <w:highlight w:val="none"/>
          <w:lang w:val="en-US" w:eastAsia="zh-CN" w:bidi="ar"/>
        </w:rPr>
        <w:t>8.2  施工测量</w:t>
      </w:r>
      <w:bookmarkEnd w:id="89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8.2.1  承包人应负责施工过程中的全部施工测量放线工作，并配置合格的人员、仪器、设备和其他物品。</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8.2.2  监理人可以指示承包人进行抽样复测，当复测中发现错误或出现超过合同约定的误差时，承包人应按监理人指示进行修正或补测，并承担相应的复测费用。</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895" w:name="_Toc179632689"/>
      <w:bookmarkEnd w:id="895"/>
      <w:bookmarkStart w:id="896" w:name="_Toc237923850"/>
      <w:bookmarkEnd w:id="896"/>
      <w:bookmarkStart w:id="897" w:name="_Toc282779025"/>
      <w:bookmarkEnd w:id="897"/>
      <w:bookmarkStart w:id="898" w:name="_Toc152045671"/>
      <w:bookmarkEnd w:id="898"/>
      <w:bookmarkStart w:id="899" w:name="_Toc282779534"/>
      <w:bookmarkEnd w:id="899"/>
      <w:bookmarkStart w:id="900" w:name="_Toc283794222"/>
      <w:bookmarkEnd w:id="900"/>
      <w:bookmarkStart w:id="901" w:name="_Toc287853374"/>
      <w:bookmarkEnd w:id="901"/>
      <w:bookmarkStart w:id="902" w:name="_Toc144974639"/>
      <w:bookmarkEnd w:id="902"/>
      <w:bookmarkStart w:id="903" w:name="_Toc282787472"/>
      <w:bookmarkEnd w:id="903"/>
      <w:bookmarkStart w:id="904" w:name="_Toc288491550"/>
      <w:bookmarkEnd w:id="904"/>
      <w:bookmarkStart w:id="905" w:name="_Toc152042449"/>
      <w:r>
        <w:rPr>
          <w:rFonts w:hint="eastAsia" w:ascii="宋体" w:hAnsi="宋体" w:eastAsia="宋体" w:cs="宋体"/>
          <w:color w:val="auto"/>
          <w:kern w:val="2"/>
          <w:sz w:val="21"/>
          <w:szCs w:val="21"/>
          <w:highlight w:val="none"/>
          <w:lang w:val="en-US" w:eastAsia="zh-CN" w:bidi="ar"/>
        </w:rPr>
        <w:t>8.3  基准资料错误的责任</w:t>
      </w:r>
      <w:bookmarkEnd w:id="905"/>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906" w:name="_Toc237923851"/>
      <w:bookmarkEnd w:id="906"/>
      <w:bookmarkStart w:id="907" w:name="_Toc282779535"/>
      <w:bookmarkEnd w:id="907"/>
      <w:bookmarkStart w:id="908" w:name="_Toc152045672"/>
      <w:bookmarkEnd w:id="908"/>
      <w:bookmarkStart w:id="909" w:name="_Toc288491551"/>
      <w:bookmarkEnd w:id="909"/>
      <w:bookmarkStart w:id="910" w:name="_Toc282787473"/>
      <w:bookmarkEnd w:id="910"/>
      <w:bookmarkStart w:id="911" w:name="_Toc282779026"/>
      <w:bookmarkEnd w:id="911"/>
      <w:bookmarkStart w:id="912" w:name="_Toc152042450"/>
      <w:bookmarkEnd w:id="912"/>
      <w:bookmarkStart w:id="913" w:name="_Toc283794223"/>
      <w:bookmarkEnd w:id="913"/>
      <w:bookmarkStart w:id="914" w:name="_Toc287853375"/>
      <w:bookmarkEnd w:id="914"/>
      <w:bookmarkStart w:id="915" w:name="_Toc179632690"/>
      <w:bookmarkEnd w:id="915"/>
      <w:bookmarkStart w:id="916" w:name="_Toc144974640"/>
      <w:r>
        <w:rPr>
          <w:rFonts w:hint="eastAsia" w:ascii="宋体" w:hAnsi="宋体" w:eastAsia="宋体" w:cs="宋体"/>
          <w:color w:val="auto"/>
          <w:kern w:val="2"/>
          <w:sz w:val="21"/>
          <w:szCs w:val="21"/>
          <w:highlight w:val="none"/>
          <w:lang w:val="en-US" w:eastAsia="zh-CN" w:bidi="ar"/>
        </w:rPr>
        <w:t>8.4  监理人使用施工控制网</w:t>
      </w:r>
      <w:bookmarkEnd w:id="916"/>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监理人需要使用施工控制网的，承包人应提供必要的协助，发包人不再为此支付费用。</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917" w:name="_Toc11608"/>
      <w:bookmarkEnd w:id="917"/>
      <w:bookmarkStart w:id="918" w:name="_Toc283794224"/>
      <w:bookmarkEnd w:id="918"/>
      <w:bookmarkStart w:id="919" w:name="_Toc282779536"/>
      <w:bookmarkEnd w:id="919"/>
      <w:bookmarkStart w:id="920" w:name="_Toc4541"/>
      <w:bookmarkEnd w:id="920"/>
      <w:bookmarkStart w:id="921" w:name="_Toc179632691"/>
      <w:bookmarkEnd w:id="921"/>
      <w:bookmarkStart w:id="922" w:name="_Toc514936609"/>
      <w:bookmarkEnd w:id="922"/>
      <w:bookmarkStart w:id="923" w:name="_Toc237923852"/>
      <w:bookmarkEnd w:id="923"/>
      <w:bookmarkStart w:id="924" w:name="_Toc152042451"/>
      <w:bookmarkEnd w:id="924"/>
      <w:bookmarkStart w:id="925" w:name="_Toc27642"/>
      <w:bookmarkEnd w:id="925"/>
      <w:bookmarkStart w:id="926" w:name="_Toc287853376"/>
      <w:bookmarkEnd w:id="926"/>
      <w:bookmarkStart w:id="927" w:name="_Toc6162"/>
      <w:bookmarkEnd w:id="927"/>
      <w:bookmarkStart w:id="928" w:name="_Toc144974641"/>
      <w:bookmarkEnd w:id="928"/>
      <w:bookmarkStart w:id="929" w:name="_Toc11893"/>
      <w:bookmarkEnd w:id="929"/>
      <w:bookmarkStart w:id="930" w:name="_Toc18798"/>
      <w:bookmarkEnd w:id="930"/>
      <w:bookmarkStart w:id="931" w:name="_Toc118378080"/>
      <w:bookmarkEnd w:id="931"/>
      <w:bookmarkStart w:id="932" w:name="_Toc152045673"/>
      <w:bookmarkEnd w:id="932"/>
      <w:bookmarkStart w:id="933" w:name="_Toc288491552"/>
      <w:bookmarkEnd w:id="933"/>
      <w:bookmarkStart w:id="934" w:name="_Toc282779027"/>
      <w:bookmarkEnd w:id="934"/>
      <w:bookmarkStart w:id="935" w:name="_Toc282787474"/>
      <w:bookmarkEnd w:id="935"/>
      <w:bookmarkStart w:id="936" w:name="_Toc28647"/>
      <w:bookmarkEnd w:id="936"/>
      <w:bookmarkStart w:id="937" w:name="_Toc22367"/>
      <w:bookmarkEnd w:id="937"/>
      <w:bookmarkStart w:id="938" w:name="_Toc32543"/>
      <w:bookmarkEnd w:id="938"/>
      <w:bookmarkStart w:id="939" w:name="_Toc4060"/>
      <w:bookmarkEnd w:id="939"/>
      <w:bookmarkStart w:id="940" w:name="_Toc21722"/>
      <w:bookmarkEnd w:id="940"/>
      <w:bookmarkStart w:id="941" w:name="_Toc16933"/>
      <w:bookmarkEnd w:id="941"/>
      <w:bookmarkStart w:id="942" w:name="_Toc12809"/>
      <w:r>
        <w:rPr>
          <w:rFonts w:hint="eastAsia" w:ascii="宋体" w:hAnsi="宋体" w:eastAsia="宋体" w:cs="宋体"/>
          <w:color w:val="auto"/>
          <w:kern w:val="2"/>
          <w:sz w:val="21"/>
          <w:szCs w:val="21"/>
          <w:highlight w:val="none"/>
          <w:lang w:val="en-US" w:eastAsia="zh-CN" w:bidi="ar"/>
        </w:rPr>
        <w:t>9．施工安全、治安保卫和环境保护</w:t>
      </w:r>
      <w:bookmarkEnd w:id="942"/>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943" w:name="_Toc152042452"/>
      <w:bookmarkEnd w:id="943"/>
      <w:bookmarkStart w:id="944" w:name="_Toc288491553"/>
      <w:bookmarkEnd w:id="944"/>
      <w:bookmarkStart w:id="945" w:name="_Toc179632692"/>
      <w:bookmarkEnd w:id="945"/>
      <w:bookmarkStart w:id="946" w:name="_Toc237923853"/>
      <w:bookmarkEnd w:id="946"/>
      <w:bookmarkStart w:id="947" w:name="_Toc144974642"/>
      <w:bookmarkEnd w:id="947"/>
      <w:bookmarkStart w:id="948" w:name="_Toc152045674"/>
      <w:bookmarkEnd w:id="948"/>
      <w:bookmarkStart w:id="949" w:name="_Toc282787475"/>
      <w:bookmarkEnd w:id="949"/>
      <w:bookmarkStart w:id="950" w:name="_Toc283794225"/>
      <w:bookmarkEnd w:id="950"/>
      <w:bookmarkStart w:id="951" w:name="_Toc282779028"/>
      <w:bookmarkEnd w:id="951"/>
      <w:bookmarkStart w:id="952" w:name="_Toc287853377"/>
      <w:bookmarkEnd w:id="952"/>
      <w:bookmarkStart w:id="953" w:name="_Toc282779537"/>
      <w:r>
        <w:rPr>
          <w:rFonts w:hint="eastAsia" w:ascii="宋体" w:hAnsi="宋体" w:eastAsia="宋体" w:cs="宋体"/>
          <w:color w:val="auto"/>
          <w:kern w:val="2"/>
          <w:sz w:val="21"/>
          <w:szCs w:val="21"/>
          <w:highlight w:val="none"/>
          <w:lang w:val="en-US" w:eastAsia="zh-CN" w:bidi="ar"/>
        </w:rPr>
        <w:t>9.1  发包人的施工安全责任</w:t>
      </w:r>
      <w:bookmarkEnd w:id="95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9.1.1  发包人应按合同约定履行安全职责，授权监理人按合同约定的安全工作内容监督、检查承包人安全工作的实施，组织承包人和有关单位进行安全检查。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9.1.2  发包人应对其现场机构雇佣的全部人员的工伤事故承担责任，但由于承包人原因造成发包人人员工伤的，应由承包人承担责任。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9.1.3  发包人应负责赔偿以下各种情况造成的第三者人身伤亡和财产损失：</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（1）工程或工程的任何部分对土地的占用所造成的第三者财产损失；</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（2）由于发包人原因在施工场地及其毗邻地带造成的第三者人身伤亡和财产损失。</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954" w:name="_Toc288491554"/>
      <w:bookmarkEnd w:id="954"/>
      <w:bookmarkStart w:id="955" w:name="_Toc287853378"/>
      <w:bookmarkEnd w:id="955"/>
      <w:bookmarkStart w:id="956" w:name="_Toc144974643"/>
      <w:bookmarkEnd w:id="956"/>
      <w:bookmarkStart w:id="957" w:name="_Toc179632693"/>
      <w:bookmarkEnd w:id="957"/>
      <w:bookmarkStart w:id="958" w:name="_Toc283794226"/>
      <w:bookmarkEnd w:id="958"/>
      <w:bookmarkStart w:id="959" w:name="_Toc282779538"/>
      <w:bookmarkEnd w:id="959"/>
      <w:bookmarkStart w:id="960" w:name="_Toc152042453"/>
      <w:bookmarkEnd w:id="960"/>
      <w:bookmarkStart w:id="961" w:name="_Toc282779029"/>
      <w:bookmarkEnd w:id="961"/>
      <w:bookmarkStart w:id="962" w:name="_Toc237923854"/>
      <w:bookmarkEnd w:id="962"/>
      <w:bookmarkStart w:id="963" w:name="_Toc282787476"/>
      <w:bookmarkEnd w:id="963"/>
      <w:bookmarkStart w:id="964" w:name="_Toc152045675"/>
      <w:r>
        <w:rPr>
          <w:rFonts w:hint="eastAsia" w:ascii="宋体" w:hAnsi="宋体" w:eastAsia="宋体" w:cs="宋体"/>
          <w:color w:val="auto"/>
          <w:kern w:val="2"/>
          <w:sz w:val="21"/>
          <w:szCs w:val="21"/>
          <w:highlight w:val="none"/>
          <w:lang w:val="en-US" w:eastAsia="zh-CN" w:bidi="ar"/>
        </w:rPr>
        <w:t>9.2  承包人的施工安全责任</w:t>
      </w:r>
      <w:bookmarkEnd w:id="96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9.2.1  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危险性较大的工程应编制专项养护施工方案，并附安全验算结果，经承包人项目总工签字并报监理人和发包人批准后实施，由专职安全生产管理人员进行现场监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监理人和发包人在检查中发现有安全问题或有违反安全管理规章制度的情况时，可视为承包人违约，应按第22.1款的规定办理。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9.2.2  承包人应加强施工作业安全管理，特别应加强易燃、易爆材料、火工器材、有毒与腐蚀性材料和其他危险品的管理，以及对爆破作业和地下工程施工等危险作业的管理。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9.2.3  承包人应严格按照国家安全标准制定施工安全操作规程，配备必要的安全生产和劳动保护设施，加强对承包人人员的安全教育，并发放安全工作手册和劳动保护用具。</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9.2.4  承包人应按监理人的指示制定应对灾害的紧急预案，报送监理人审批。承包人还应按预案做好安全检查，配置必要的救助物资和器材，切实保护好有关人员的人身和财产安全。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9.2.5  除项目专用合同条款另有约定外，安全生产费用应为投标价（不含安全生产费及建筑工程一切险及第三者责任险的保险费）的2%。安全生产费用应用于施工安全防护用具及设施的采购和更新、安全施工措施的落实、安全生产条件的改善，不得挪作它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9.2.6  承包人应对其履行合同所雇佣的全部人员，包括分包人人员的工伤事故承担责任，但由于发包人原因造成承包人人员工伤事故的，应由发包人承担责任。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9.2.7  由于承包人原因在施工场地内及其毗邻地带造成的第三者人员伤亡和财产损失，由承包人负责赔偿。</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9.2.8  在通航水域施工时，承包人应与当地主管部门取得联系，设置必要的导航标志，及时发布航行通告，确保施工水域安全。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9.2.9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965" w:name="_Toc179632694"/>
      <w:bookmarkEnd w:id="965"/>
      <w:bookmarkStart w:id="966" w:name="_Toc288491555"/>
      <w:bookmarkEnd w:id="966"/>
      <w:bookmarkStart w:id="967" w:name="_Toc282779030"/>
      <w:bookmarkEnd w:id="967"/>
      <w:bookmarkStart w:id="968" w:name="_Toc282779539"/>
      <w:bookmarkEnd w:id="968"/>
      <w:bookmarkStart w:id="969" w:name="_Toc237923855"/>
      <w:bookmarkEnd w:id="969"/>
      <w:bookmarkStart w:id="970" w:name="_Toc144974644"/>
      <w:bookmarkEnd w:id="970"/>
      <w:bookmarkStart w:id="971" w:name="_Toc152042454"/>
      <w:bookmarkEnd w:id="971"/>
      <w:bookmarkStart w:id="972" w:name="_Toc287853379"/>
      <w:bookmarkEnd w:id="972"/>
      <w:bookmarkStart w:id="973" w:name="_Toc282787477"/>
      <w:bookmarkEnd w:id="973"/>
      <w:bookmarkStart w:id="974" w:name="_Toc283794227"/>
      <w:bookmarkEnd w:id="974"/>
      <w:bookmarkStart w:id="975" w:name="_Toc152045676"/>
      <w:r>
        <w:rPr>
          <w:rFonts w:hint="eastAsia" w:ascii="宋体" w:hAnsi="宋体" w:eastAsia="宋体" w:cs="宋体"/>
          <w:color w:val="auto"/>
          <w:kern w:val="2"/>
          <w:sz w:val="21"/>
          <w:szCs w:val="21"/>
          <w:highlight w:val="none"/>
          <w:lang w:val="en-US" w:eastAsia="zh-CN" w:bidi="ar"/>
        </w:rPr>
        <w:t>9.3  治安保卫</w:t>
      </w:r>
      <w:bookmarkEnd w:id="975"/>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9.3.1  除合同另有约定外，发包人应与当地公安部门协商，在现场建立治安管理机构或联防组织，统一管理施工场地的治安保卫事项，履行合同工程的治安保卫职责。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9.3.2  发包人和承包人除应协助现场治安管理机构或联防组织维护施工场地的社会治安外，还应做好包括生活区在内的各自管辖区的治安保卫工作。</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976" w:name="_Toc144974645"/>
      <w:bookmarkEnd w:id="976"/>
      <w:bookmarkStart w:id="977" w:name="_Toc179632695"/>
      <w:bookmarkEnd w:id="977"/>
      <w:bookmarkStart w:id="978" w:name="_Toc282779031"/>
      <w:bookmarkEnd w:id="978"/>
      <w:bookmarkStart w:id="979" w:name="_Toc152042455"/>
      <w:bookmarkEnd w:id="979"/>
      <w:bookmarkStart w:id="980" w:name="_Toc152045677"/>
      <w:bookmarkEnd w:id="980"/>
      <w:bookmarkStart w:id="981" w:name="_Toc282779540"/>
      <w:bookmarkEnd w:id="981"/>
      <w:bookmarkStart w:id="982" w:name="_Toc237923856"/>
      <w:bookmarkEnd w:id="982"/>
      <w:bookmarkStart w:id="983" w:name="_Toc283794228"/>
      <w:bookmarkEnd w:id="983"/>
      <w:bookmarkStart w:id="984" w:name="_Toc288491556"/>
      <w:bookmarkEnd w:id="984"/>
      <w:bookmarkStart w:id="985" w:name="_Toc287853380"/>
      <w:bookmarkEnd w:id="985"/>
      <w:bookmarkStart w:id="986" w:name="_Toc282787478"/>
      <w:r>
        <w:rPr>
          <w:rFonts w:hint="eastAsia" w:ascii="宋体" w:hAnsi="宋体" w:eastAsia="宋体" w:cs="宋体"/>
          <w:color w:val="auto"/>
          <w:kern w:val="2"/>
          <w:sz w:val="21"/>
          <w:szCs w:val="21"/>
          <w:highlight w:val="none"/>
          <w:lang w:val="en-US" w:eastAsia="zh-CN" w:bidi="ar"/>
        </w:rPr>
        <w:t>9.4  环境保护</w:t>
      </w:r>
      <w:bookmarkEnd w:id="986"/>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9.4.1  承包人在施工过程中，应遵守有关环境保护的法律，履行合同约定的环境保护义务，并对违反法律和合同约定义务所造成的环境破坏、人身伤害和财产损失负责。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9.4.2  承包人应按合同约定的环保工作内容，编制施工环保措施计划，报送监理人审批。</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9.4.4  承包人应按合同约定采取有效措施，对施工开挖的边坡及时进行支护,维护排水设施，并进行水土保护，避免因施工造成的地质灾害。</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9.4.5  承包人应按国家饮用水管理标准定期对饮用水源进行监测，防止施工活动污染饮用水源。</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9.4.6  承包人应按合同约定，加强对噪声、粉尘、废气、废水和废油的控制，努力降低噪声，控制粉尘和废气浓度，做好废水和废油的治理和排放。</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9.4.7  承包人应切实执行技术规范中有关环境保护方面的条款和规定。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对于来自养护工程实施时的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（2）对于养护施工中粉尘的主要污染源——灰土拌和、施工车辆和筑路机械运行及运输产生的扬尘，应采取有效措施减轻其对施工现场的大气污染，保护人民健康，如：</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a．拌和设备应有较好的密封，或有防尘设备。</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b．施工通道、沥青混凝土拌和站及灰土拌和站应经常进行洒水降尘。</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c．路面施工应注意保持水分，以免扬尘。</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（3）采取可靠措施保证原有交通的正常通行，维持沿线村镇的居民饮水、农田灌溉、生产生活用电及通信等管线的正常使用。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9.4.8  在养护工程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9.4.9  在养护工程施工期间，承包人应随时保持现场整洁，施工设备和材料、工程设备应整齐妥善存放和储存，废料与垃圾及不再需要的临时设施应及时从现场清除、拆除运走。</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9.4.10  承包人应严格按照国家有关法规要求，做好施工过程中的生态保护和水土保持工作。施工中要尽可能减少对原地面的扰动，减少对地面草木的破坏，需要爆破作业的，应按规定进行控爆设计。雨季填筑路基应随挖、随填、随压，要完善施工中的临时排水系统，加强施工便道的管理。取（弃）土场必须先挡后弃，严禁在指定的取（弃）土场以外的地方乱挖乱弃。</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987" w:name="_Toc144974646"/>
      <w:bookmarkEnd w:id="987"/>
      <w:bookmarkStart w:id="988" w:name="_Toc282779541"/>
      <w:bookmarkEnd w:id="988"/>
      <w:bookmarkStart w:id="989" w:name="_Toc152042456"/>
      <w:bookmarkEnd w:id="989"/>
      <w:bookmarkStart w:id="990" w:name="_Toc283794229"/>
      <w:bookmarkEnd w:id="990"/>
      <w:bookmarkStart w:id="991" w:name="_Toc152045678"/>
      <w:bookmarkEnd w:id="991"/>
      <w:bookmarkStart w:id="992" w:name="_Toc287853381"/>
      <w:bookmarkEnd w:id="992"/>
      <w:bookmarkStart w:id="993" w:name="_Toc288491557"/>
      <w:bookmarkEnd w:id="993"/>
      <w:bookmarkStart w:id="994" w:name="_Toc282787479"/>
      <w:bookmarkEnd w:id="994"/>
      <w:bookmarkStart w:id="995" w:name="_Toc237923857"/>
      <w:bookmarkEnd w:id="995"/>
      <w:bookmarkStart w:id="996" w:name="_Toc179632696"/>
      <w:bookmarkEnd w:id="996"/>
      <w:bookmarkStart w:id="997" w:name="_Toc282779032"/>
      <w:r>
        <w:rPr>
          <w:rFonts w:hint="eastAsia" w:ascii="宋体" w:hAnsi="宋体" w:eastAsia="宋体" w:cs="宋体"/>
          <w:color w:val="auto"/>
          <w:kern w:val="2"/>
          <w:sz w:val="21"/>
          <w:szCs w:val="21"/>
          <w:highlight w:val="none"/>
          <w:lang w:val="en-US" w:eastAsia="zh-CN" w:bidi="ar"/>
        </w:rPr>
        <w:t>9.5  事故处理</w:t>
      </w:r>
      <w:bookmarkEnd w:id="997"/>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998" w:name="_Toc31820"/>
      <w:bookmarkEnd w:id="998"/>
      <w:bookmarkStart w:id="999" w:name="_Toc20921"/>
      <w:bookmarkEnd w:id="999"/>
      <w:bookmarkStart w:id="1000" w:name="_Toc6898"/>
      <w:bookmarkEnd w:id="1000"/>
      <w:bookmarkStart w:id="1001" w:name="_Toc152042457"/>
      <w:bookmarkEnd w:id="1001"/>
      <w:bookmarkStart w:id="1002" w:name="_Toc283794230"/>
      <w:bookmarkEnd w:id="1002"/>
      <w:bookmarkStart w:id="1003" w:name="_Toc514936610"/>
      <w:bookmarkEnd w:id="1003"/>
      <w:bookmarkStart w:id="1004" w:name="_Toc152045679"/>
      <w:bookmarkEnd w:id="1004"/>
      <w:bookmarkStart w:id="1005" w:name="_Toc23816"/>
      <w:bookmarkEnd w:id="1005"/>
      <w:bookmarkStart w:id="1006" w:name="_Toc282779033"/>
      <w:bookmarkEnd w:id="1006"/>
      <w:bookmarkStart w:id="1007" w:name="_Toc5025"/>
      <w:bookmarkEnd w:id="1007"/>
      <w:bookmarkStart w:id="1008" w:name="_Toc14253"/>
      <w:bookmarkEnd w:id="1008"/>
      <w:bookmarkStart w:id="1009" w:name="_Toc7038"/>
      <w:bookmarkEnd w:id="1009"/>
      <w:bookmarkStart w:id="1010" w:name="_Toc287853382"/>
      <w:bookmarkEnd w:id="1010"/>
      <w:bookmarkStart w:id="1011" w:name="_Toc179632697"/>
      <w:bookmarkEnd w:id="1011"/>
      <w:bookmarkStart w:id="1012" w:name="_Toc237923858"/>
      <w:bookmarkEnd w:id="1012"/>
      <w:bookmarkStart w:id="1013" w:name="_Toc8061"/>
      <w:bookmarkEnd w:id="1013"/>
      <w:bookmarkStart w:id="1014" w:name="_Toc288491558"/>
      <w:bookmarkEnd w:id="1014"/>
      <w:bookmarkStart w:id="1015" w:name="_Toc29894"/>
      <w:bookmarkEnd w:id="1015"/>
      <w:bookmarkStart w:id="1016" w:name="_Toc4976"/>
      <w:bookmarkEnd w:id="1016"/>
      <w:bookmarkStart w:id="1017" w:name="_Toc282787480"/>
      <w:bookmarkEnd w:id="1017"/>
      <w:bookmarkStart w:id="1018" w:name="_Toc144974647"/>
      <w:bookmarkEnd w:id="1018"/>
      <w:bookmarkStart w:id="1019" w:name="_Toc282779542"/>
      <w:bookmarkEnd w:id="1019"/>
      <w:bookmarkStart w:id="1020" w:name="_Toc15671"/>
      <w:bookmarkEnd w:id="1020"/>
      <w:bookmarkStart w:id="1021" w:name="_Toc118378081"/>
      <w:bookmarkEnd w:id="1021"/>
      <w:bookmarkStart w:id="1022" w:name="_Toc30427"/>
      <w:bookmarkEnd w:id="1022"/>
      <w:bookmarkStart w:id="1023" w:name="_Toc22592"/>
      <w:r>
        <w:rPr>
          <w:rFonts w:hint="eastAsia" w:ascii="宋体" w:hAnsi="宋体" w:eastAsia="宋体" w:cs="宋体"/>
          <w:color w:val="auto"/>
          <w:kern w:val="2"/>
          <w:sz w:val="21"/>
          <w:szCs w:val="21"/>
          <w:highlight w:val="none"/>
          <w:lang w:val="en-US" w:eastAsia="zh-CN" w:bidi="ar"/>
        </w:rPr>
        <w:t>10．进度计划</w:t>
      </w:r>
      <w:bookmarkEnd w:id="1023"/>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024" w:name="_Toc152042458"/>
      <w:bookmarkEnd w:id="1024"/>
      <w:bookmarkStart w:id="1025" w:name="_Toc282787481"/>
      <w:bookmarkEnd w:id="1025"/>
      <w:bookmarkStart w:id="1026" w:name="_Toc152045680"/>
      <w:bookmarkEnd w:id="1026"/>
      <w:bookmarkStart w:id="1027" w:name="_Toc282779034"/>
      <w:bookmarkEnd w:id="1027"/>
      <w:bookmarkStart w:id="1028" w:name="_Toc179632698"/>
      <w:bookmarkEnd w:id="1028"/>
      <w:bookmarkStart w:id="1029" w:name="_Toc144974648"/>
      <w:bookmarkEnd w:id="1029"/>
      <w:bookmarkStart w:id="1030" w:name="_Toc288491559"/>
      <w:bookmarkEnd w:id="1030"/>
      <w:bookmarkStart w:id="1031" w:name="_Toc283794231"/>
      <w:bookmarkEnd w:id="1031"/>
      <w:bookmarkStart w:id="1032" w:name="_Toc237923859"/>
      <w:bookmarkEnd w:id="1032"/>
      <w:bookmarkStart w:id="1033" w:name="_Toc287853383"/>
      <w:bookmarkEnd w:id="1033"/>
      <w:bookmarkStart w:id="1034" w:name="_Toc282779543"/>
      <w:r>
        <w:rPr>
          <w:rFonts w:hint="eastAsia" w:ascii="宋体" w:hAnsi="宋体" w:eastAsia="宋体" w:cs="宋体"/>
          <w:color w:val="auto"/>
          <w:kern w:val="2"/>
          <w:sz w:val="21"/>
          <w:szCs w:val="21"/>
          <w:highlight w:val="none"/>
          <w:lang w:val="en-US" w:eastAsia="zh-CN" w:bidi="ar"/>
        </w:rPr>
        <w:t>10.1  合同进度计划</w:t>
      </w:r>
      <w:bookmarkEnd w:id="103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在签订合同协议书后21天之内，向监理人提交2份其格式和内容符合监理人规定的养护工程施工计划，以及为完成该计划而建议采用的工作安排和施工方案说明。监理人应在收到该计划后的14天内审查同意或提出修改意见。</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035" w:name="_Toc237923860"/>
      <w:bookmarkEnd w:id="1035"/>
      <w:bookmarkStart w:id="1036" w:name="_Toc282779544"/>
      <w:bookmarkEnd w:id="1036"/>
      <w:bookmarkStart w:id="1037" w:name="_Toc152042459"/>
      <w:bookmarkEnd w:id="1037"/>
      <w:bookmarkStart w:id="1038" w:name="_Toc288491560"/>
      <w:bookmarkEnd w:id="1038"/>
      <w:bookmarkStart w:id="1039" w:name="_Toc287853384"/>
      <w:bookmarkEnd w:id="1039"/>
      <w:bookmarkStart w:id="1040" w:name="_Toc283794232"/>
      <w:bookmarkEnd w:id="1040"/>
      <w:bookmarkStart w:id="1041" w:name="_Toc282779035"/>
      <w:bookmarkEnd w:id="1041"/>
      <w:bookmarkStart w:id="1042" w:name="_Toc179632699"/>
      <w:bookmarkEnd w:id="1042"/>
      <w:bookmarkStart w:id="1043" w:name="_Toc282787482"/>
      <w:bookmarkEnd w:id="1043"/>
      <w:bookmarkStart w:id="1044" w:name="_Toc152045681"/>
      <w:bookmarkEnd w:id="1044"/>
      <w:bookmarkStart w:id="1045" w:name="_Toc144974649"/>
      <w:r>
        <w:rPr>
          <w:rFonts w:hint="eastAsia" w:ascii="宋体" w:hAnsi="宋体" w:eastAsia="宋体" w:cs="宋体"/>
          <w:color w:val="auto"/>
          <w:kern w:val="2"/>
          <w:sz w:val="21"/>
          <w:szCs w:val="21"/>
          <w:highlight w:val="none"/>
          <w:lang w:val="en-US" w:eastAsia="zh-CN" w:bidi="ar"/>
        </w:rPr>
        <w:t>10.2  合同进度计划的修订</w:t>
      </w:r>
      <w:bookmarkEnd w:id="1045"/>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1046" w:name="_Toc26482"/>
      <w:bookmarkEnd w:id="1046"/>
      <w:bookmarkStart w:id="1047" w:name="_Toc5523"/>
      <w:bookmarkEnd w:id="1047"/>
      <w:bookmarkStart w:id="1048" w:name="_Toc282779545"/>
      <w:bookmarkEnd w:id="1048"/>
      <w:bookmarkStart w:id="1049" w:name="_Toc28643"/>
      <w:bookmarkEnd w:id="1049"/>
      <w:bookmarkStart w:id="1050" w:name="_Toc14146"/>
      <w:bookmarkEnd w:id="1050"/>
      <w:bookmarkStart w:id="1051" w:name="_Toc13074"/>
      <w:bookmarkEnd w:id="1051"/>
      <w:bookmarkStart w:id="1052" w:name="_Toc29788"/>
      <w:bookmarkEnd w:id="1052"/>
      <w:bookmarkStart w:id="1053" w:name="_Toc17963"/>
      <w:bookmarkEnd w:id="1053"/>
      <w:bookmarkStart w:id="1054" w:name="_Toc4707"/>
      <w:bookmarkEnd w:id="1054"/>
      <w:bookmarkStart w:id="1055" w:name="_Toc152045682"/>
      <w:bookmarkEnd w:id="1055"/>
      <w:bookmarkStart w:id="1056" w:name="_Toc118378082"/>
      <w:bookmarkEnd w:id="1056"/>
      <w:bookmarkStart w:id="1057" w:name="_Toc237923861"/>
      <w:bookmarkEnd w:id="1057"/>
      <w:bookmarkStart w:id="1058" w:name="_Toc283794233"/>
      <w:bookmarkEnd w:id="1058"/>
      <w:bookmarkStart w:id="1059" w:name="_Toc282779036"/>
      <w:bookmarkEnd w:id="1059"/>
      <w:bookmarkStart w:id="1060" w:name="_Toc282787483"/>
      <w:bookmarkEnd w:id="1060"/>
      <w:bookmarkStart w:id="1061" w:name="_Toc5961"/>
      <w:bookmarkEnd w:id="1061"/>
      <w:bookmarkStart w:id="1062" w:name="_Toc12175"/>
      <w:bookmarkEnd w:id="1062"/>
      <w:bookmarkStart w:id="1063" w:name="_Toc288491561"/>
      <w:bookmarkEnd w:id="1063"/>
      <w:bookmarkStart w:id="1064" w:name="_Toc287853385"/>
      <w:bookmarkEnd w:id="1064"/>
      <w:bookmarkStart w:id="1065" w:name="_Toc12773"/>
      <w:bookmarkEnd w:id="1065"/>
      <w:bookmarkStart w:id="1066" w:name="_Toc514936611"/>
      <w:bookmarkEnd w:id="1066"/>
      <w:bookmarkStart w:id="1067" w:name="_Toc179632700"/>
      <w:bookmarkEnd w:id="1067"/>
      <w:bookmarkStart w:id="1068" w:name="_Toc144974650"/>
      <w:bookmarkEnd w:id="1068"/>
      <w:bookmarkStart w:id="1069" w:name="_Toc30411"/>
      <w:bookmarkEnd w:id="1069"/>
      <w:bookmarkStart w:id="1070" w:name="_Toc152042460"/>
      <w:bookmarkEnd w:id="1070"/>
      <w:bookmarkStart w:id="1071" w:name="_Toc23509"/>
      <w:r>
        <w:rPr>
          <w:rFonts w:hint="eastAsia" w:ascii="宋体" w:hAnsi="宋体" w:eastAsia="宋体" w:cs="宋体"/>
          <w:color w:val="auto"/>
          <w:kern w:val="2"/>
          <w:sz w:val="21"/>
          <w:szCs w:val="21"/>
          <w:highlight w:val="none"/>
          <w:lang w:val="en-US" w:eastAsia="zh-CN" w:bidi="ar"/>
        </w:rPr>
        <w:t>11. 开工和交工</w:t>
      </w:r>
      <w:bookmarkEnd w:id="1071"/>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072" w:name="_Toc144974651"/>
      <w:bookmarkEnd w:id="1072"/>
      <w:bookmarkStart w:id="1073" w:name="_Toc282779037"/>
      <w:bookmarkEnd w:id="1073"/>
      <w:bookmarkStart w:id="1074" w:name="_Toc288491562"/>
      <w:bookmarkEnd w:id="1074"/>
      <w:bookmarkStart w:id="1075" w:name="_Toc152042461"/>
      <w:bookmarkEnd w:id="1075"/>
      <w:bookmarkStart w:id="1076" w:name="_Toc237923862"/>
      <w:bookmarkEnd w:id="1076"/>
      <w:bookmarkStart w:id="1077" w:name="_Toc152045683"/>
      <w:bookmarkEnd w:id="1077"/>
      <w:bookmarkStart w:id="1078" w:name="_Toc283794234"/>
      <w:bookmarkEnd w:id="1078"/>
      <w:bookmarkStart w:id="1079" w:name="_Toc287853386"/>
      <w:bookmarkEnd w:id="1079"/>
      <w:bookmarkStart w:id="1080" w:name="_Toc179632701"/>
      <w:bookmarkEnd w:id="1080"/>
      <w:bookmarkStart w:id="1081" w:name="_Toc282787484"/>
      <w:bookmarkEnd w:id="1081"/>
      <w:bookmarkStart w:id="1082" w:name="_Toc282779546"/>
      <w:r>
        <w:rPr>
          <w:rFonts w:hint="eastAsia" w:ascii="宋体" w:hAnsi="宋体" w:eastAsia="宋体" w:cs="宋体"/>
          <w:color w:val="auto"/>
          <w:kern w:val="2"/>
          <w:sz w:val="21"/>
          <w:szCs w:val="21"/>
          <w:highlight w:val="none"/>
          <w:lang w:val="en-US" w:eastAsia="zh-CN" w:bidi="ar"/>
        </w:rPr>
        <w:t>11.1  开工</w:t>
      </w:r>
      <w:bookmarkEnd w:id="1082"/>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11.1.1  监理人应在开工日期7天前向承包人发出开工通知。监理人在发出开工通知前应获得发包人同意。工期自监理人发出的开工通知中载明的开工日期起计算。承包人应在开工日期后尽快施工。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shd w:val="clear" w:fill="7F7F7F"/>
        </w:rPr>
      </w:pPr>
      <w:r>
        <w:rPr>
          <w:rFonts w:hint="eastAsia" w:ascii="宋体" w:hAnsi="宋体" w:eastAsia="宋体" w:cs="宋体"/>
          <w:color w:val="auto"/>
          <w:kern w:val="2"/>
          <w:sz w:val="21"/>
          <w:szCs w:val="21"/>
          <w:highlight w:val="none"/>
          <w:lang w:val="en-US" w:eastAsia="zh-CN" w:bidi="ar"/>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监理人将在投标书附录的期限内发布进驻通知令，承包人应在投标书附录规定期限内进驻。</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083" w:name="_Toc237923863"/>
      <w:bookmarkEnd w:id="1083"/>
      <w:bookmarkStart w:id="1084" w:name="_Toc152045684"/>
      <w:bookmarkEnd w:id="1084"/>
      <w:bookmarkStart w:id="1085" w:name="_Toc282779038"/>
      <w:bookmarkEnd w:id="1085"/>
      <w:bookmarkStart w:id="1086" w:name="_Toc152042462"/>
      <w:bookmarkEnd w:id="1086"/>
      <w:bookmarkStart w:id="1087" w:name="_Toc283794235"/>
      <w:bookmarkEnd w:id="1087"/>
      <w:bookmarkStart w:id="1088" w:name="_Toc287853387"/>
      <w:bookmarkEnd w:id="1088"/>
      <w:bookmarkStart w:id="1089" w:name="_Toc179632702"/>
      <w:bookmarkEnd w:id="1089"/>
      <w:bookmarkStart w:id="1090" w:name="_Toc282787485"/>
      <w:bookmarkEnd w:id="1090"/>
      <w:bookmarkStart w:id="1091" w:name="_Toc282779547"/>
      <w:bookmarkEnd w:id="1091"/>
      <w:bookmarkStart w:id="1092" w:name="_Toc144974652"/>
      <w:bookmarkEnd w:id="1092"/>
      <w:bookmarkStart w:id="1093" w:name="_Toc288491563"/>
      <w:r>
        <w:rPr>
          <w:rFonts w:hint="eastAsia" w:ascii="宋体" w:hAnsi="宋体" w:eastAsia="宋体" w:cs="宋体"/>
          <w:color w:val="auto"/>
          <w:kern w:val="2"/>
          <w:sz w:val="21"/>
          <w:szCs w:val="21"/>
          <w:highlight w:val="none"/>
          <w:lang w:val="en-US" w:eastAsia="zh-CN" w:bidi="ar"/>
        </w:rPr>
        <w:t>11.2  交工</w:t>
      </w:r>
      <w:bookmarkEnd w:id="109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承包人应在第1.1.4.3目约定的期限内完成合同工程。实际交工日期在接收证书中写明。</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094" w:name="_Toc152045685"/>
      <w:bookmarkEnd w:id="1094"/>
      <w:bookmarkStart w:id="1095" w:name="_Toc152042463"/>
      <w:bookmarkEnd w:id="1095"/>
      <w:bookmarkStart w:id="1096" w:name="_Toc179632703"/>
      <w:bookmarkEnd w:id="1096"/>
      <w:bookmarkStart w:id="1097" w:name="_Toc237923864"/>
      <w:bookmarkEnd w:id="1097"/>
      <w:bookmarkStart w:id="1098" w:name="_Toc144974653"/>
      <w:bookmarkEnd w:id="1098"/>
      <w:bookmarkStart w:id="1099" w:name="_Toc282779039"/>
      <w:bookmarkEnd w:id="1099"/>
      <w:bookmarkStart w:id="1100" w:name="_Toc282787486"/>
      <w:bookmarkEnd w:id="1100"/>
      <w:bookmarkStart w:id="1101" w:name="_Toc287853388"/>
      <w:bookmarkEnd w:id="1101"/>
      <w:bookmarkStart w:id="1102" w:name="_Toc283794236"/>
      <w:bookmarkEnd w:id="1102"/>
      <w:bookmarkStart w:id="1103" w:name="_Toc288491564"/>
      <w:bookmarkEnd w:id="1103"/>
      <w:bookmarkStart w:id="1104" w:name="_Toc282779548"/>
      <w:r>
        <w:rPr>
          <w:rFonts w:hint="eastAsia" w:ascii="宋体" w:hAnsi="宋体" w:eastAsia="宋体" w:cs="宋体"/>
          <w:color w:val="auto"/>
          <w:kern w:val="2"/>
          <w:sz w:val="21"/>
          <w:szCs w:val="21"/>
          <w:highlight w:val="none"/>
          <w:lang w:val="en-US" w:eastAsia="zh-CN" w:bidi="ar"/>
        </w:rPr>
        <w:t>11.3  发包人的工期延误</w:t>
      </w:r>
      <w:bookmarkEnd w:id="110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在履行合同过程中，由于发包人的下列原因造成工期延误的，承包人有权要求发包人延长工期和（或）增加费用，并支付合理利润。需要修订合同进度计划的，按照第10.2款的约定办理。</w:t>
      </w:r>
    </w:p>
    <w:p>
      <w:pPr>
        <w:keepNext w:val="0"/>
        <w:keepLines w:val="0"/>
        <w:widowControl w:val="0"/>
        <w:suppressLineNumbers w:val="0"/>
        <w:spacing w:before="0" w:beforeAutospacing="0" w:after="0" w:afterAutospacing="0" w:line="400" w:lineRule="exact"/>
        <w:ind w:left="0" w:right="0" w:firstLine="359" w:firstLineChars="171"/>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（1）增加合同工作内容；</w:t>
      </w:r>
    </w:p>
    <w:p>
      <w:pPr>
        <w:keepNext w:val="0"/>
        <w:keepLines w:val="0"/>
        <w:widowControl w:val="0"/>
        <w:suppressLineNumbers w:val="0"/>
        <w:spacing w:before="0" w:beforeAutospacing="0" w:after="0" w:afterAutospacing="0" w:line="400" w:lineRule="exact"/>
        <w:ind w:left="0" w:right="0" w:firstLine="359" w:firstLineChars="171"/>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（2）改变合同中任何一项工作的质量要求或其他特性；</w:t>
      </w:r>
    </w:p>
    <w:p>
      <w:pPr>
        <w:keepNext w:val="0"/>
        <w:keepLines w:val="0"/>
        <w:widowControl w:val="0"/>
        <w:suppressLineNumbers w:val="0"/>
        <w:spacing w:before="0" w:beforeAutospacing="0" w:after="0" w:afterAutospacing="0" w:line="400" w:lineRule="exact"/>
        <w:ind w:left="0" w:right="0" w:firstLine="359" w:firstLineChars="171"/>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（3）发包人迟延提供材料、工程设备或变更交货地点的；</w:t>
      </w:r>
    </w:p>
    <w:p>
      <w:pPr>
        <w:keepNext w:val="0"/>
        <w:keepLines w:val="0"/>
        <w:widowControl w:val="0"/>
        <w:suppressLineNumbers w:val="0"/>
        <w:spacing w:before="0" w:beforeAutospacing="0" w:after="0" w:afterAutospacing="0" w:line="400" w:lineRule="exact"/>
        <w:ind w:left="0" w:right="0" w:firstLine="359" w:firstLineChars="171"/>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（4）因发包人原因导致的暂停施工；</w:t>
      </w:r>
    </w:p>
    <w:p>
      <w:pPr>
        <w:keepNext w:val="0"/>
        <w:keepLines w:val="0"/>
        <w:widowControl w:val="0"/>
        <w:suppressLineNumbers w:val="0"/>
        <w:spacing w:before="0" w:beforeAutospacing="0" w:after="0" w:afterAutospacing="0" w:line="400" w:lineRule="exact"/>
        <w:ind w:left="0" w:right="0" w:firstLine="359" w:firstLineChars="171"/>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（5）提供图纸延误；</w:t>
      </w:r>
    </w:p>
    <w:p>
      <w:pPr>
        <w:keepNext w:val="0"/>
        <w:keepLines w:val="0"/>
        <w:widowControl w:val="0"/>
        <w:suppressLineNumbers w:val="0"/>
        <w:spacing w:before="0" w:beforeAutospacing="0" w:after="0" w:afterAutospacing="0" w:line="400" w:lineRule="exact"/>
        <w:ind w:left="0" w:right="0" w:firstLine="359" w:firstLineChars="171"/>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（6）未按合同约定及时支付预付款、进度款；</w:t>
      </w:r>
    </w:p>
    <w:p>
      <w:pPr>
        <w:keepNext w:val="0"/>
        <w:keepLines w:val="0"/>
        <w:widowControl w:val="0"/>
        <w:suppressLineNumbers w:val="0"/>
        <w:spacing w:before="0" w:beforeAutospacing="0" w:after="0" w:afterAutospacing="0" w:line="400" w:lineRule="exact"/>
        <w:ind w:left="0" w:right="0" w:firstLine="359" w:firstLineChars="171"/>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（7）发包人造成工期延误的其他原因。</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105" w:name="_Toc282787487"/>
      <w:bookmarkEnd w:id="1105"/>
      <w:bookmarkStart w:id="1106" w:name="_Toc152045686"/>
      <w:bookmarkEnd w:id="1106"/>
      <w:bookmarkStart w:id="1107" w:name="_Toc152042464"/>
      <w:bookmarkEnd w:id="1107"/>
      <w:bookmarkStart w:id="1108" w:name="_Toc282779040"/>
      <w:bookmarkEnd w:id="1108"/>
      <w:bookmarkStart w:id="1109" w:name="_Toc179632704"/>
      <w:bookmarkEnd w:id="1109"/>
      <w:bookmarkStart w:id="1110" w:name="_Toc144974654"/>
      <w:bookmarkEnd w:id="1110"/>
      <w:bookmarkStart w:id="1111" w:name="_Toc283794237"/>
      <w:bookmarkEnd w:id="1111"/>
      <w:bookmarkStart w:id="1112" w:name="_Toc288491565"/>
      <w:bookmarkEnd w:id="1112"/>
      <w:bookmarkStart w:id="1113" w:name="_Toc237923865"/>
      <w:bookmarkEnd w:id="1113"/>
      <w:bookmarkStart w:id="1114" w:name="_Toc287853389"/>
      <w:bookmarkEnd w:id="1114"/>
      <w:bookmarkStart w:id="1115" w:name="_Toc282779549"/>
      <w:r>
        <w:rPr>
          <w:rFonts w:hint="eastAsia" w:ascii="宋体" w:hAnsi="宋体" w:eastAsia="宋体" w:cs="宋体"/>
          <w:color w:val="auto"/>
          <w:kern w:val="2"/>
          <w:sz w:val="21"/>
          <w:szCs w:val="21"/>
          <w:highlight w:val="none"/>
          <w:lang w:val="en-US" w:eastAsia="zh-CN" w:bidi="ar"/>
        </w:rPr>
        <w:t>11.4  异常恶劣的气候条件</w:t>
      </w:r>
      <w:bookmarkEnd w:id="1115"/>
    </w:p>
    <w:p>
      <w:pPr>
        <w:keepNext w:val="0"/>
        <w:keepLines w:val="0"/>
        <w:widowControl w:val="0"/>
        <w:suppressLineNumbers w:val="0"/>
        <w:spacing w:before="0" w:beforeAutospacing="0" w:after="0" w:afterAutospacing="0" w:line="400" w:lineRule="exact"/>
        <w:ind w:left="0" w:right="0" w:firstLine="359" w:firstLineChars="171"/>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由于出现专用合同条款规定的异常恶劣气候的条件导致工期延误的，承包人有权要求发包人延长工期。</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116" w:name="_Toc282787488"/>
      <w:bookmarkEnd w:id="1116"/>
      <w:bookmarkStart w:id="1117" w:name="_Toc144974655"/>
      <w:bookmarkEnd w:id="1117"/>
      <w:bookmarkStart w:id="1118" w:name="_Toc179632705"/>
      <w:bookmarkEnd w:id="1118"/>
      <w:bookmarkStart w:id="1119" w:name="_Toc152045687"/>
      <w:bookmarkEnd w:id="1119"/>
      <w:bookmarkStart w:id="1120" w:name="_Toc282779041"/>
      <w:bookmarkEnd w:id="1120"/>
      <w:bookmarkStart w:id="1121" w:name="_Toc287853390"/>
      <w:bookmarkEnd w:id="1121"/>
      <w:bookmarkStart w:id="1122" w:name="_Toc237923866"/>
      <w:bookmarkEnd w:id="1122"/>
      <w:bookmarkStart w:id="1123" w:name="_Toc152042465"/>
      <w:bookmarkEnd w:id="1123"/>
      <w:bookmarkStart w:id="1124" w:name="_Toc283794238"/>
      <w:bookmarkEnd w:id="1124"/>
      <w:bookmarkStart w:id="1125" w:name="_Toc282779550"/>
      <w:bookmarkEnd w:id="1125"/>
      <w:bookmarkStart w:id="1126" w:name="_Toc288491566"/>
      <w:r>
        <w:rPr>
          <w:rFonts w:hint="eastAsia" w:ascii="宋体" w:hAnsi="宋体" w:eastAsia="宋体" w:cs="宋体"/>
          <w:color w:val="auto"/>
          <w:kern w:val="2"/>
          <w:sz w:val="21"/>
          <w:szCs w:val="21"/>
          <w:highlight w:val="none"/>
          <w:lang w:val="en-US" w:eastAsia="zh-CN" w:bidi="ar"/>
        </w:rPr>
        <w:t>11.5  承包人的工期延误</w:t>
      </w:r>
      <w:bookmarkEnd w:id="1126"/>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由于承包人原因，未能按合同进度计划完成工作，或监理人认为承包人施工进度不能满足合同工期要求的，承包人应采取措施加快进度，并承担加快进度所增加的费用。由于承包人原因造成工期延误，承包人应支付逾期交工违约金。逾期交工违约金的日期计算，自预定的交工日期起到养护工程合同的工程交工证书中写明的交工日期或已批准的延长工期止，按天计算。逾期交工违约金应不超过在投标书附录中写明的限额。发包人可以从应付或到期应付给承包人的任何款项中扣除此违约金，不排除采用其他扣款方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承包人支付逾期交工违约金，不免除承包人完成工程及修补缺陷的义务。</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127" w:name="_Toc282787489"/>
      <w:bookmarkEnd w:id="1127"/>
      <w:bookmarkStart w:id="1128" w:name="_Toc288491567"/>
      <w:bookmarkEnd w:id="1128"/>
      <w:bookmarkStart w:id="1129" w:name="_Toc287853391"/>
      <w:bookmarkEnd w:id="1129"/>
      <w:bookmarkStart w:id="1130" w:name="_Toc237923867"/>
      <w:bookmarkEnd w:id="1130"/>
      <w:bookmarkStart w:id="1131" w:name="_Toc283794239"/>
      <w:bookmarkEnd w:id="1131"/>
      <w:bookmarkStart w:id="1132" w:name="_Toc282779042"/>
      <w:bookmarkEnd w:id="1132"/>
      <w:bookmarkStart w:id="1133" w:name="_Toc144974656"/>
      <w:bookmarkEnd w:id="1133"/>
      <w:bookmarkStart w:id="1134" w:name="_Toc179632706"/>
      <w:bookmarkEnd w:id="1134"/>
      <w:bookmarkStart w:id="1135" w:name="_Toc152045688"/>
      <w:bookmarkEnd w:id="1135"/>
      <w:bookmarkStart w:id="1136" w:name="_Toc152042466"/>
      <w:bookmarkEnd w:id="1136"/>
      <w:bookmarkStart w:id="1137" w:name="_Toc282779551"/>
      <w:r>
        <w:rPr>
          <w:rFonts w:hint="eastAsia" w:ascii="宋体" w:hAnsi="宋体" w:eastAsia="宋体" w:cs="宋体"/>
          <w:color w:val="auto"/>
          <w:kern w:val="2"/>
          <w:sz w:val="21"/>
          <w:szCs w:val="21"/>
          <w:highlight w:val="none"/>
          <w:lang w:val="en-US" w:eastAsia="zh-CN" w:bidi="ar"/>
        </w:rPr>
        <w:t>11.6</w:t>
      </w:r>
      <w:bookmarkEnd w:id="1137"/>
      <w:bookmarkStart w:id="1138" w:name="_Toc144974657"/>
      <w:bookmarkEnd w:id="1138"/>
      <w:r>
        <w:rPr>
          <w:rFonts w:hint="eastAsia" w:ascii="宋体" w:hAnsi="宋体" w:eastAsia="宋体" w:cs="宋体"/>
          <w:color w:val="auto"/>
          <w:kern w:val="2"/>
          <w:sz w:val="21"/>
          <w:szCs w:val="21"/>
          <w:highlight w:val="none"/>
          <w:lang w:val="en-US" w:eastAsia="zh-CN" w:bidi="ar"/>
        </w:rPr>
        <w:t xml:space="preserve">  工期提前</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在投标书附录中写明的相应奖金。</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139" w:name="_Toc282787490"/>
      <w:bookmarkEnd w:id="1139"/>
      <w:r>
        <w:rPr>
          <w:rFonts w:hint="eastAsia" w:ascii="宋体" w:hAnsi="宋体" w:eastAsia="宋体" w:cs="宋体"/>
          <w:color w:val="auto"/>
          <w:kern w:val="2"/>
          <w:sz w:val="21"/>
          <w:szCs w:val="21"/>
          <w:highlight w:val="none"/>
          <w:lang w:val="en-US" w:eastAsia="zh-CN" w:bidi="ar"/>
        </w:rPr>
        <w:t>11.7  工作时间的限制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承包人在夜间或国家规定的节假日进行公路养护工程的施工，应向监理人报告，以便监理人履行监理职责和义务。</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但是，为了抢救生命或保护财产，或为了工程的安全、质量而不可避免地短暂作业，则不必事先向监理人报告。但承包人应在事后立即向监理人报告。</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本款规定不适用于习惯上或施工本身要求实行连续生产的作业。</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1140" w:name="_Toc282779552"/>
      <w:bookmarkEnd w:id="1140"/>
      <w:bookmarkStart w:id="1141" w:name="_Toc24249"/>
      <w:bookmarkEnd w:id="1141"/>
      <w:bookmarkStart w:id="1142" w:name="_Toc29260"/>
      <w:bookmarkEnd w:id="1142"/>
      <w:bookmarkStart w:id="1143" w:name="_Toc27097"/>
      <w:bookmarkEnd w:id="1143"/>
      <w:bookmarkStart w:id="1144" w:name="_Toc288491568"/>
      <w:bookmarkEnd w:id="1144"/>
      <w:bookmarkStart w:id="1145" w:name="_Toc3170"/>
      <w:bookmarkEnd w:id="1145"/>
      <w:bookmarkStart w:id="1146" w:name="_Toc179632708"/>
      <w:bookmarkEnd w:id="1146"/>
      <w:bookmarkStart w:id="1147" w:name="_Toc9481"/>
      <w:bookmarkEnd w:id="1147"/>
      <w:bookmarkStart w:id="1148" w:name="_Toc17530"/>
      <w:bookmarkEnd w:id="1148"/>
      <w:bookmarkStart w:id="1149" w:name="_Toc987"/>
      <w:bookmarkEnd w:id="1149"/>
      <w:bookmarkStart w:id="1150" w:name="_Toc282787491"/>
      <w:bookmarkEnd w:id="1150"/>
      <w:bookmarkStart w:id="1151" w:name="_Toc237923869"/>
      <w:bookmarkEnd w:id="1151"/>
      <w:bookmarkStart w:id="1152" w:name="_Toc144974659"/>
      <w:bookmarkEnd w:id="1152"/>
      <w:bookmarkStart w:id="1153" w:name="_Toc282779043"/>
      <w:bookmarkEnd w:id="1153"/>
      <w:bookmarkStart w:id="1154" w:name="_Toc19440"/>
      <w:bookmarkEnd w:id="1154"/>
      <w:bookmarkStart w:id="1155" w:name="_Toc514936612"/>
      <w:bookmarkEnd w:id="1155"/>
      <w:bookmarkStart w:id="1156" w:name="_Toc283794240"/>
      <w:bookmarkEnd w:id="1156"/>
      <w:bookmarkStart w:id="1157" w:name="_Toc152042468"/>
      <w:bookmarkEnd w:id="1157"/>
      <w:bookmarkStart w:id="1158" w:name="_Toc16841"/>
      <w:bookmarkEnd w:id="1158"/>
      <w:bookmarkStart w:id="1159" w:name="_Toc118378083"/>
      <w:bookmarkEnd w:id="1159"/>
      <w:bookmarkStart w:id="1160" w:name="_Toc10905"/>
      <w:bookmarkEnd w:id="1160"/>
      <w:bookmarkStart w:id="1161" w:name="_Toc15118"/>
      <w:bookmarkEnd w:id="1161"/>
      <w:bookmarkStart w:id="1162" w:name="_Toc18768"/>
      <w:bookmarkEnd w:id="1162"/>
      <w:bookmarkStart w:id="1163" w:name="_Toc22797"/>
      <w:bookmarkEnd w:id="1163"/>
      <w:bookmarkStart w:id="1164" w:name="_Toc287853392"/>
      <w:bookmarkEnd w:id="1164"/>
      <w:bookmarkStart w:id="1165" w:name="_Toc152045690"/>
      <w:r>
        <w:rPr>
          <w:rFonts w:hint="eastAsia" w:ascii="宋体" w:hAnsi="宋体" w:eastAsia="宋体" w:cs="宋体"/>
          <w:color w:val="auto"/>
          <w:kern w:val="2"/>
          <w:sz w:val="21"/>
          <w:szCs w:val="21"/>
          <w:highlight w:val="none"/>
          <w:lang w:val="en-US" w:eastAsia="zh-CN" w:bidi="ar"/>
        </w:rPr>
        <w:t>12. 暂停施工</w:t>
      </w:r>
      <w:bookmarkEnd w:id="1165"/>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166" w:name="_Toc287853393"/>
      <w:bookmarkEnd w:id="1166"/>
      <w:bookmarkStart w:id="1167" w:name="_Toc282787492"/>
      <w:bookmarkEnd w:id="1167"/>
      <w:bookmarkStart w:id="1168" w:name="_Toc283794241"/>
      <w:bookmarkEnd w:id="1168"/>
      <w:bookmarkStart w:id="1169" w:name="_Toc282779044"/>
      <w:bookmarkEnd w:id="1169"/>
      <w:bookmarkStart w:id="1170" w:name="_Toc288491569"/>
      <w:bookmarkEnd w:id="1170"/>
      <w:bookmarkStart w:id="1171" w:name="_Toc282779553"/>
      <w:r>
        <w:rPr>
          <w:rFonts w:hint="eastAsia" w:ascii="宋体" w:hAnsi="宋体" w:eastAsia="宋体" w:cs="宋体"/>
          <w:color w:val="auto"/>
          <w:kern w:val="2"/>
          <w:sz w:val="21"/>
          <w:szCs w:val="21"/>
          <w:highlight w:val="none"/>
          <w:lang w:val="en-US" w:eastAsia="zh-CN" w:bidi="ar"/>
        </w:rPr>
        <w:t>12.1  承包人暂停施工的责任</w:t>
      </w:r>
      <w:bookmarkEnd w:id="1171"/>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因下列暂停施工增加的费用和（或）工期延误由承包人承担：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（1）承包人违约引起的暂停施工；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（2）由于承包人原因为工程合理施工和安全保障所必需的暂停施工；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（3）承包人擅自暂停施工；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（4）承包人其他原因引起的暂停施工；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（5）现场气候条件导致的必要停工（第11.4款规定的异常恶劣的气候条件除外）；</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（6）项目专用合同条款可能约定的由承包人承担的其他暂停施工。</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172" w:name="_Toc237923870"/>
      <w:bookmarkEnd w:id="1172"/>
      <w:bookmarkStart w:id="1173" w:name="_Toc287853394"/>
      <w:bookmarkEnd w:id="1173"/>
      <w:bookmarkStart w:id="1174" w:name="_Toc152042469"/>
      <w:bookmarkEnd w:id="1174"/>
      <w:bookmarkStart w:id="1175" w:name="_Toc144974660"/>
      <w:bookmarkEnd w:id="1175"/>
      <w:bookmarkStart w:id="1176" w:name="_Toc179632709"/>
      <w:bookmarkEnd w:id="1176"/>
      <w:bookmarkStart w:id="1177" w:name="_Toc282779045"/>
      <w:bookmarkEnd w:id="1177"/>
      <w:bookmarkStart w:id="1178" w:name="_Toc283794242"/>
      <w:bookmarkEnd w:id="1178"/>
      <w:bookmarkStart w:id="1179" w:name="_Toc282787493"/>
      <w:bookmarkEnd w:id="1179"/>
      <w:bookmarkStart w:id="1180" w:name="_Toc282779554"/>
      <w:bookmarkEnd w:id="1180"/>
      <w:bookmarkStart w:id="1181" w:name="_Toc152045691"/>
      <w:bookmarkEnd w:id="1181"/>
      <w:bookmarkStart w:id="1182" w:name="_Toc288491570"/>
      <w:r>
        <w:rPr>
          <w:rFonts w:hint="eastAsia" w:ascii="宋体" w:hAnsi="宋体" w:eastAsia="宋体" w:cs="宋体"/>
          <w:color w:val="auto"/>
          <w:kern w:val="2"/>
          <w:sz w:val="21"/>
          <w:szCs w:val="21"/>
          <w:highlight w:val="none"/>
          <w:lang w:val="en-US" w:eastAsia="zh-CN" w:bidi="ar"/>
        </w:rPr>
        <w:t>12.2  发包人暂停施工的责任</w:t>
      </w:r>
      <w:bookmarkEnd w:id="1182"/>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由于发包人原因引起的暂停施工造成工期延误的，承包人有权要求发包人延长工期和（或）增加费用，并支付合理利润。</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183" w:name="_Toc287853395"/>
      <w:bookmarkEnd w:id="1183"/>
      <w:bookmarkStart w:id="1184" w:name="_Toc152042470"/>
      <w:bookmarkEnd w:id="1184"/>
      <w:bookmarkStart w:id="1185" w:name="_Toc282779046"/>
      <w:bookmarkEnd w:id="1185"/>
      <w:bookmarkStart w:id="1186" w:name="_Toc152045692"/>
      <w:bookmarkEnd w:id="1186"/>
      <w:bookmarkStart w:id="1187" w:name="_Toc144974661"/>
      <w:bookmarkEnd w:id="1187"/>
      <w:bookmarkStart w:id="1188" w:name="_Toc179632710"/>
      <w:bookmarkEnd w:id="1188"/>
      <w:bookmarkStart w:id="1189" w:name="_Toc282779555"/>
      <w:bookmarkEnd w:id="1189"/>
      <w:bookmarkStart w:id="1190" w:name="_Toc288491571"/>
      <w:bookmarkEnd w:id="1190"/>
      <w:bookmarkStart w:id="1191" w:name="_Toc237923871"/>
      <w:bookmarkEnd w:id="1191"/>
      <w:bookmarkStart w:id="1192" w:name="_Toc282787494"/>
      <w:bookmarkEnd w:id="1192"/>
      <w:bookmarkStart w:id="1193" w:name="_Toc283794243"/>
      <w:r>
        <w:rPr>
          <w:rFonts w:hint="eastAsia" w:ascii="宋体" w:hAnsi="宋体" w:eastAsia="宋体" w:cs="宋体"/>
          <w:color w:val="auto"/>
          <w:kern w:val="2"/>
          <w:sz w:val="21"/>
          <w:szCs w:val="21"/>
          <w:highlight w:val="none"/>
          <w:lang w:val="en-US" w:eastAsia="zh-CN" w:bidi="ar"/>
        </w:rPr>
        <w:t>12.3  监理人暂停施工指示</w:t>
      </w:r>
      <w:bookmarkEnd w:id="119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12.3.1  监理人认为有必要时，可向承包人作出暂停施工的指示，承包人应按监理人指示暂停施工。不论由于何种原因引起的暂停施工，暂停施工期间承包人应负责妥善保护工程并提供安全保障。</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194" w:name="_Toc179632711"/>
      <w:bookmarkEnd w:id="1194"/>
      <w:bookmarkStart w:id="1195" w:name="_Toc283794244"/>
      <w:bookmarkEnd w:id="1195"/>
      <w:bookmarkStart w:id="1196" w:name="_Toc288491572"/>
      <w:bookmarkEnd w:id="1196"/>
      <w:bookmarkStart w:id="1197" w:name="_Toc152042471"/>
      <w:bookmarkEnd w:id="1197"/>
      <w:bookmarkStart w:id="1198" w:name="_Toc282779047"/>
      <w:bookmarkEnd w:id="1198"/>
      <w:bookmarkStart w:id="1199" w:name="_Toc152045693"/>
      <w:bookmarkEnd w:id="1199"/>
      <w:bookmarkStart w:id="1200" w:name="_Toc287853396"/>
      <w:bookmarkEnd w:id="1200"/>
      <w:bookmarkStart w:id="1201" w:name="_Toc282779556"/>
      <w:bookmarkEnd w:id="1201"/>
      <w:bookmarkStart w:id="1202" w:name="_Toc237923872"/>
      <w:bookmarkEnd w:id="1202"/>
      <w:bookmarkStart w:id="1203" w:name="_Toc144974662"/>
      <w:bookmarkEnd w:id="1203"/>
      <w:bookmarkStart w:id="1204" w:name="_Toc282787495"/>
      <w:r>
        <w:rPr>
          <w:rFonts w:hint="eastAsia" w:ascii="宋体" w:hAnsi="宋体" w:eastAsia="宋体" w:cs="宋体"/>
          <w:color w:val="auto"/>
          <w:kern w:val="2"/>
          <w:sz w:val="21"/>
          <w:szCs w:val="21"/>
          <w:highlight w:val="none"/>
          <w:lang w:val="en-US" w:eastAsia="zh-CN" w:bidi="ar"/>
        </w:rPr>
        <w:t>12.4  暂停施工后的复工</w:t>
      </w:r>
      <w:bookmarkEnd w:id="120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12.4.2  承包人无故拖延和拒绝复工的，由此增加的费用和工期延误由承包人承担；因发包人原因无法按时复工的，承包人有权要求发包人延长工期和（或）增加费用，并支付合理利润。</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205" w:name="_Toc144974663"/>
      <w:bookmarkEnd w:id="1205"/>
      <w:bookmarkStart w:id="1206" w:name="_Toc288491573"/>
      <w:bookmarkEnd w:id="1206"/>
      <w:bookmarkStart w:id="1207" w:name="_Toc237923873"/>
      <w:bookmarkEnd w:id="1207"/>
      <w:bookmarkStart w:id="1208" w:name="_Toc282787496"/>
      <w:bookmarkEnd w:id="1208"/>
      <w:bookmarkStart w:id="1209" w:name="_Toc282779048"/>
      <w:bookmarkEnd w:id="1209"/>
      <w:bookmarkStart w:id="1210" w:name="_Toc152045694"/>
      <w:bookmarkEnd w:id="1210"/>
      <w:bookmarkStart w:id="1211" w:name="_Toc287853397"/>
      <w:bookmarkEnd w:id="1211"/>
      <w:bookmarkStart w:id="1212" w:name="_Toc152042472"/>
      <w:bookmarkEnd w:id="1212"/>
      <w:bookmarkStart w:id="1213" w:name="_Toc282779557"/>
      <w:bookmarkEnd w:id="1213"/>
      <w:bookmarkStart w:id="1214" w:name="_Toc179632712"/>
      <w:bookmarkEnd w:id="1214"/>
      <w:bookmarkStart w:id="1215" w:name="_Toc283794245"/>
      <w:r>
        <w:rPr>
          <w:rFonts w:hint="eastAsia" w:ascii="宋体" w:hAnsi="宋体" w:eastAsia="宋体" w:cs="宋体"/>
          <w:color w:val="auto"/>
          <w:kern w:val="2"/>
          <w:sz w:val="21"/>
          <w:szCs w:val="21"/>
          <w:highlight w:val="none"/>
          <w:lang w:val="en-US" w:eastAsia="zh-CN" w:bidi="ar"/>
        </w:rPr>
        <w:t xml:space="preserve">12.5  </w:t>
      </w:r>
      <w:bookmarkEnd w:id="1215"/>
      <w:r>
        <w:rPr>
          <w:rFonts w:hint="eastAsia" w:ascii="宋体" w:hAnsi="宋体" w:eastAsia="宋体" w:cs="宋体"/>
          <w:color w:val="auto"/>
          <w:kern w:val="2"/>
          <w:sz w:val="21"/>
          <w:szCs w:val="21"/>
          <w:highlight w:val="none"/>
          <w:lang w:val="en-US" w:eastAsia="zh-CN" w:bidi="ar"/>
        </w:rPr>
        <w:t>暂停施工持续56天以上</w:t>
      </w:r>
    </w:p>
    <w:p>
      <w:pPr>
        <w:keepNext w:val="0"/>
        <w:keepLines w:val="0"/>
        <w:widowControl w:val="0"/>
        <w:suppressLineNumbers w:val="0"/>
        <w:spacing w:before="0" w:beforeAutospacing="0" w:after="0" w:afterAutospacing="0" w:line="400" w:lineRule="exact"/>
        <w:ind w:left="0" w:right="0" w:firstLine="411" w:firstLineChars="196"/>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12.5.2  由于承包人责任引起的暂停施工，如承包人在收到监理人暂停施工指示后56天内不认真采取有效的复工措施，造成工期延误，可视为承包人违约，应按第22.1款的规定办理。</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1216" w:name="_Toc8250"/>
      <w:bookmarkEnd w:id="1216"/>
      <w:bookmarkStart w:id="1217" w:name="_Toc288491574"/>
      <w:bookmarkEnd w:id="1217"/>
      <w:bookmarkStart w:id="1218" w:name="_Toc283794246"/>
      <w:bookmarkEnd w:id="1218"/>
      <w:bookmarkStart w:id="1219" w:name="_Toc26364"/>
      <w:bookmarkEnd w:id="1219"/>
      <w:bookmarkStart w:id="1220" w:name="_Toc514936613"/>
      <w:bookmarkEnd w:id="1220"/>
      <w:bookmarkStart w:id="1221" w:name="_Toc282779049"/>
      <w:bookmarkEnd w:id="1221"/>
      <w:bookmarkStart w:id="1222" w:name="_Toc31039"/>
      <w:bookmarkEnd w:id="1222"/>
      <w:bookmarkStart w:id="1223" w:name="_Toc28297"/>
      <w:bookmarkEnd w:id="1223"/>
      <w:bookmarkStart w:id="1224" w:name="_Toc282779558"/>
      <w:bookmarkEnd w:id="1224"/>
      <w:bookmarkStart w:id="1225" w:name="_Toc118378084"/>
      <w:bookmarkEnd w:id="1225"/>
      <w:bookmarkStart w:id="1226" w:name="_Toc237923874"/>
      <w:bookmarkEnd w:id="1226"/>
      <w:bookmarkStart w:id="1227" w:name="_Toc16248"/>
      <w:bookmarkEnd w:id="1227"/>
      <w:bookmarkStart w:id="1228" w:name="_Toc282787497"/>
      <w:bookmarkEnd w:id="1228"/>
      <w:bookmarkStart w:id="1229" w:name="_Toc144974664"/>
      <w:bookmarkEnd w:id="1229"/>
      <w:bookmarkStart w:id="1230" w:name="_Toc19911"/>
      <w:bookmarkEnd w:id="1230"/>
      <w:bookmarkStart w:id="1231" w:name="_Toc2846"/>
      <w:bookmarkEnd w:id="1231"/>
      <w:bookmarkStart w:id="1232" w:name="_Toc25887"/>
      <w:bookmarkEnd w:id="1232"/>
      <w:bookmarkStart w:id="1233" w:name="_Toc152042473"/>
      <w:bookmarkEnd w:id="1233"/>
      <w:bookmarkStart w:id="1234" w:name="_Toc7843"/>
      <w:bookmarkEnd w:id="1234"/>
      <w:bookmarkStart w:id="1235" w:name="_Toc24762"/>
      <w:bookmarkEnd w:id="1235"/>
      <w:bookmarkStart w:id="1236" w:name="_Toc8846"/>
      <w:bookmarkEnd w:id="1236"/>
      <w:bookmarkStart w:id="1237" w:name="_Toc4338"/>
      <w:bookmarkEnd w:id="1237"/>
      <w:bookmarkStart w:id="1238" w:name="_Toc152045695"/>
      <w:bookmarkEnd w:id="1238"/>
      <w:bookmarkStart w:id="1239" w:name="_Toc16375"/>
      <w:bookmarkEnd w:id="1239"/>
      <w:bookmarkStart w:id="1240" w:name="_Toc179632713"/>
      <w:bookmarkEnd w:id="1240"/>
      <w:bookmarkStart w:id="1241" w:name="_Toc287853398"/>
      <w:r>
        <w:rPr>
          <w:rFonts w:hint="eastAsia" w:ascii="宋体" w:hAnsi="宋体" w:eastAsia="宋体" w:cs="宋体"/>
          <w:color w:val="auto"/>
          <w:kern w:val="2"/>
          <w:sz w:val="21"/>
          <w:szCs w:val="21"/>
          <w:highlight w:val="none"/>
          <w:lang w:val="en-US" w:eastAsia="zh-CN" w:bidi="ar"/>
        </w:rPr>
        <w:t>13．工程质量</w:t>
      </w:r>
      <w:bookmarkEnd w:id="1241"/>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242" w:name="_Toc282779559"/>
      <w:bookmarkEnd w:id="1242"/>
      <w:bookmarkStart w:id="1243" w:name="_Toc152042474"/>
      <w:bookmarkEnd w:id="1243"/>
      <w:bookmarkStart w:id="1244" w:name="_Toc287853399"/>
      <w:bookmarkEnd w:id="1244"/>
      <w:bookmarkStart w:id="1245" w:name="_Toc144974665"/>
      <w:bookmarkEnd w:id="1245"/>
      <w:bookmarkStart w:id="1246" w:name="_Toc282787498"/>
      <w:bookmarkEnd w:id="1246"/>
      <w:bookmarkStart w:id="1247" w:name="_Toc282779050"/>
      <w:bookmarkEnd w:id="1247"/>
      <w:bookmarkStart w:id="1248" w:name="_Toc288491575"/>
      <w:bookmarkEnd w:id="1248"/>
      <w:bookmarkStart w:id="1249" w:name="_Toc237923875"/>
      <w:bookmarkEnd w:id="1249"/>
      <w:bookmarkStart w:id="1250" w:name="_Toc152045696"/>
      <w:bookmarkEnd w:id="1250"/>
      <w:bookmarkStart w:id="1251" w:name="_Toc179632714"/>
      <w:bookmarkEnd w:id="1251"/>
      <w:bookmarkStart w:id="1252" w:name="_Toc283794247"/>
      <w:r>
        <w:rPr>
          <w:rFonts w:hint="eastAsia" w:ascii="宋体" w:hAnsi="宋体" w:eastAsia="宋体" w:cs="宋体"/>
          <w:color w:val="auto"/>
          <w:kern w:val="2"/>
          <w:sz w:val="21"/>
          <w:szCs w:val="21"/>
          <w:highlight w:val="none"/>
          <w:lang w:val="en-US" w:eastAsia="zh-CN" w:bidi="ar"/>
        </w:rPr>
        <w:t>13.1  工程质量要求</w:t>
      </w:r>
      <w:bookmarkEnd w:id="1252"/>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13.1.1  工程质量验收按验收标准执行。（适用于小修保养工程）</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已完成合同规定的养护工程质量，按技术规范及《公路养护技术状况标准》进行检测、调查和评定。公路养护质量指数（MQI）应经常保持在90分以上。</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13.1.1  工程质量验收按验收标准执行。（适用于大中修养护工程）</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工程质量验收按技术规范及《公路工程质量检验评定标准》执行。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质量目标为：交工验收工程质量评定得分大于等于90分为优良；小于90分且大于等于75分为合格；小于75分为不合格。承包人应为本合同的施工建立强有力的质保系统和质检系统，认真执行国家、交通运输部和浙江省交通运输厅有关加强质量管理的法规和文件，开展全面质量管理，确保工程质量达到质量目标。</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13.1.2  因承包人原因造成工程质量达不到合同约定验收标准的，监理人有权要求承包人返工直至符合合同要求为止，由此造成的费用增加和（或）工期延误由承包人承担。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13.1.3  因发包人原因造成工程质量达不到合同约定验收标准的，发包人应承担由于承包人返工造成的费用增加和（或）工期延误，并支付承包人合理利润。</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253" w:name="_Toc144974666"/>
      <w:bookmarkEnd w:id="1253"/>
      <w:bookmarkStart w:id="1254" w:name="_Toc287853400"/>
      <w:bookmarkEnd w:id="1254"/>
      <w:bookmarkStart w:id="1255" w:name="_Toc152045697"/>
      <w:bookmarkEnd w:id="1255"/>
      <w:bookmarkStart w:id="1256" w:name="_Toc179632715"/>
      <w:bookmarkEnd w:id="1256"/>
      <w:bookmarkStart w:id="1257" w:name="_Toc237923876"/>
      <w:bookmarkEnd w:id="1257"/>
      <w:bookmarkStart w:id="1258" w:name="_Toc152042475"/>
      <w:bookmarkEnd w:id="1258"/>
      <w:bookmarkStart w:id="1259" w:name="_Toc282787499"/>
      <w:bookmarkEnd w:id="1259"/>
      <w:bookmarkStart w:id="1260" w:name="_Toc282779051"/>
      <w:bookmarkEnd w:id="1260"/>
      <w:bookmarkStart w:id="1261" w:name="_Toc288491576"/>
      <w:bookmarkEnd w:id="1261"/>
      <w:bookmarkStart w:id="1262" w:name="_Toc283794248"/>
      <w:bookmarkEnd w:id="1262"/>
      <w:bookmarkStart w:id="1263" w:name="_Toc282779560"/>
      <w:r>
        <w:rPr>
          <w:rFonts w:hint="eastAsia" w:ascii="宋体" w:hAnsi="宋体" w:eastAsia="宋体" w:cs="宋体"/>
          <w:color w:val="auto"/>
          <w:kern w:val="2"/>
          <w:sz w:val="21"/>
          <w:szCs w:val="21"/>
          <w:highlight w:val="none"/>
          <w:lang w:val="en-US" w:eastAsia="zh-CN" w:bidi="ar"/>
        </w:rPr>
        <w:t>13.2  承包人的质量管理</w:t>
      </w:r>
      <w:bookmarkEnd w:id="126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13.2.2  承包人应加强对施工人员的质量教育和技术培训，定期考核施工人员的劳动技能，严格执行规范和操作规程。</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13.2.3  承包人必须遵守国家有关法律、法规和规章，严格执行《公路养护技术规范》（JTG H10-2009）、《公路技术状况评定标准》（JTG 5210-2018）等各类技术规范及规程，全面履行工程合同义务，依法对公路养护工程质量负责。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13.2.4  承包人应加强质量监控，确保规范规定的检验、抽检频率，现场质检的原始资料必须真实、准确、可靠，不得追记，接受质量检查时必须出示原始资料。</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13.2.5  承包人必须完善检验手段，根据技术规范的规定配齐检测和试验仪器、仪表，并应及时校正确保其精度；加强材料检验工作，不合格材料严禁用于本工程。</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264" w:name="_Toc287853401"/>
      <w:bookmarkEnd w:id="1264"/>
      <w:bookmarkStart w:id="1265" w:name="_Toc282779561"/>
      <w:bookmarkEnd w:id="1265"/>
      <w:bookmarkStart w:id="1266" w:name="_Toc283794249"/>
      <w:bookmarkEnd w:id="1266"/>
      <w:bookmarkStart w:id="1267" w:name="_Toc144974667"/>
      <w:bookmarkEnd w:id="1267"/>
      <w:bookmarkStart w:id="1268" w:name="_Toc282787500"/>
      <w:bookmarkEnd w:id="1268"/>
      <w:bookmarkStart w:id="1269" w:name="_Toc288491577"/>
      <w:bookmarkEnd w:id="1269"/>
      <w:bookmarkStart w:id="1270" w:name="_Toc152042476"/>
      <w:bookmarkEnd w:id="1270"/>
      <w:bookmarkStart w:id="1271" w:name="_Toc237923877"/>
      <w:bookmarkEnd w:id="1271"/>
      <w:bookmarkStart w:id="1272" w:name="_Toc152045698"/>
      <w:bookmarkEnd w:id="1272"/>
      <w:bookmarkStart w:id="1273" w:name="_Toc282779052"/>
      <w:bookmarkEnd w:id="1273"/>
      <w:bookmarkStart w:id="1274" w:name="_Toc179632716"/>
      <w:r>
        <w:rPr>
          <w:rFonts w:hint="eastAsia" w:ascii="宋体" w:hAnsi="宋体" w:eastAsia="宋体" w:cs="宋体"/>
          <w:color w:val="auto"/>
          <w:kern w:val="2"/>
          <w:sz w:val="21"/>
          <w:szCs w:val="21"/>
          <w:highlight w:val="none"/>
          <w:lang w:val="en-US" w:eastAsia="zh-CN" w:bidi="ar"/>
        </w:rPr>
        <w:t>13.3  承包人的质量检查</w:t>
      </w:r>
      <w:bookmarkEnd w:id="127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承包人应按合同约定对材料、工程设备以及工程的所有部位及其施工工艺进行全过程的质量检查和检验，并作详细记录，编制工程质量报表，报送监理人审查。</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275" w:name="_Toc283794250"/>
      <w:bookmarkEnd w:id="1275"/>
      <w:bookmarkStart w:id="1276" w:name="_Toc282787501"/>
      <w:bookmarkEnd w:id="1276"/>
      <w:bookmarkStart w:id="1277" w:name="_Toc179632717"/>
      <w:bookmarkEnd w:id="1277"/>
      <w:bookmarkStart w:id="1278" w:name="_Toc152045699"/>
      <w:bookmarkEnd w:id="1278"/>
      <w:bookmarkStart w:id="1279" w:name="_Toc288491578"/>
      <w:bookmarkEnd w:id="1279"/>
      <w:bookmarkStart w:id="1280" w:name="_Toc152042477"/>
      <w:bookmarkEnd w:id="1280"/>
      <w:bookmarkStart w:id="1281" w:name="_Toc282779053"/>
      <w:bookmarkEnd w:id="1281"/>
      <w:bookmarkStart w:id="1282" w:name="_Toc237923878"/>
      <w:bookmarkEnd w:id="1282"/>
      <w:bookmarkStart w:id="1283" w:name="_Toc144974668"/>
      <w:bookmarkEnd w:id="1283"/>
      <w:bookmarkStart w:id="1284" w:name="_Toc287853402"/>
      <w:bookmarkEnd w:id="1284"/>
      <w:bookmarkStart w:id="1285" w:name="_Toc282779562"/>
      <w:r>
        <w:rPr>
          <w:rFonts w:hint="eastAsia" w:ascii="宋体" w:hAnsi="宋体" w:eastAsia="宋体" w:cs="宋体"/>
          <w:color w:val="auto"/>
          <w:kern w:val="2"/>
          <w:sz w:val="21"/>
          <w:szCs w:val="21"/>
          <w:highlight w:val="none"/>
          <w:lang w:val="en-US" w:eastAsia="zh-CN" w:bidi="ar"/>
        </w:rPr>
        <w:t>13.4  监理人的质量检查</w:t>
      </w:r>
      <w:bookmarkEnd w:id="1285"/>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监理人及其委派的检验人员，应能进入工程现场，以及材料加工场所，包括不属于承包人的场所进行检查，承包人应为此提供便利和协助。</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监理人可以将材料检验委托一家独立的有质量检验认证资格的检验单位。该独立检验单位的检验结果应视为监理人完成的。监理人应将这种委托的通知书不少于7天前交给承包人。</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286" w:name="_Toc287853403"/>
      <w:bookmarkEnd w:id="1286"/>
      <w:bookmarkStart w:id="1287" w:name="_Toc288491579"/>
      <w:bookmarkEnd w:id="1287"/>
      <w:bookmarkStart w:id="1288" w:name="_Toc152042478"/>
      <w:bookmarkEnd w:id="1288"/>
      <w:bookmarkStart w:id="1289" w:name="_Toc144974669"/>
      <w:bookmarkEnd w:id="1289"/>
      <w:bookmarkStart w:id="1290" w:name="_Toc282787502"/>
      <w:bookmarkEnd w:id="1290"/>
      <w:bookmarkStart w:id="1291" w:name="_Toc237923879"/>
      <w:bookmarkEnd w:id="1291"/>
      <w:bookmarkStart w:id="1292" w:name="_Toc282779054"/>
      <w:bookmarkEnd w:id="1292"/>
      <w:bookmarkStart w:id="1293" w:name="_Toc282779563"/>
      <w:bookmarkEnd w:id="1293"/>
      <w:bookmarkStart w:id="1294" w:name="_Toc152045700"/>
      <w:bookmarkEnd w:id="1294"/>
      <w:bookmarkStart w:id="1295" w:name="_Toc179632718"/>
      <w:bookmarkEnd w:id="1295"/>
      <w:bookmarkStart w:id="1296" w:name="_Toc283794251"/>
      <w:r>
        <w:rPr>
          <w:rFonts w:hint="eastAsia" w:ascii="宋体" w:hAnsi="宋体" w:eastAsia="宋体" w:cs="宋体"/>
          <w:color w:val="auto"/>
          <w:kern w:val="2"/>
          <w:sz w:val="21"/>
          <w:szCs w:val="21"/>
          <w:highlight w:val="none"/>
          <w:lang w:val="en-US" w:eastAsia="zh-CN" w:bidi="ar"/>
        </w:rPr>
        <w:t>13.5  工程隐蔽部位覆盖前的检查</w:t>
      </w:r>
      <w:bookmarkEnd w:id="1296"/>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13.5.1  通知监理人检查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当监理人有指令时，承包人应对重要隐蔽工程进行拍摄或照相并应保证监理人有充分的机会对将要覆盖或掩蔽的工程进行检查和量测，特别是在基础以上的任一部分工程修筑之前，对该基础进行检查。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13.5.2  监理人未到场检查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13.5.3  监理人重新检查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13.5.4  承包人私自覆盖</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承包人未通知监理人到场检查，私自将工程隐蔽部位覆盖的，监理人有权指示承包人钻孔探测或揭开检查，由此增加的费用和（或）工期延误由承包人承担。</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297" w:name="_Toc288491580"/>
      <w:bookmarkEnd w:id="1297"/>
      <w:bookmarkStart w:id="1298" w:name="_Toc152042479"/>
      <w:bookmarkEnd w:id="1298"/>
      <w:bookmarkStart w:id="1299" w:name="_Toc283794252"/>
      <w:bookmarkEnd w:id="1299"/>
      <w:bookmarkStart w:id="1300" w:name="_Toc282787503"/>
      <w:bookmarkEnd w:id="1300"/>
      <w:bookmarkStart w:id="1301" w:name="_Toc179632719"/>
      <w:bookmarkEnd w:id="1301"/>
      <w:bookmarkStart w:id="1302" w:name="_Toc282779564"/>
      <w:bookmarkEnd w:id="1302"/>
      <w:bookmarkStart w:id="1303" w:name="_Toc144974670"/>
      <w:bookmarkEnd w:id="1303"/>
      <w:bookmarkStart w:id="1304" w:name="_Toc287853404"/>
      <w:bookmarkEnd w:id="1304"/>
      <w:bookmarkStart w:id="1305" w:name="_Toc152045701"/>
      <w:bookmarkEnd w:id="1305"/>
      <w:bookmarkStart w:id="1306" w:name="_Toc237923880"/>
      <w:bookmarkEnd w:id="1306"/>
      <w:bookmarkStart w:id="1307" w:name="_Toc282779055"/>
      <w:r>
        <w:rPr>
          <w:rFonts w:hint="eastAsia" w:ascii="宋体" w:hAnsi="宋体" w:eastAsia="宋体" w:cs="宋体"/>
          <w:color w:val="auto"/>
          <w:kern w:val="2"/>
          <w:sz w:val="21"/>
          <w:szCs w:val="21"/>
          <w:highlight w:val="none"/>
          <w:lang w:val="en-US" w:eastAsia="zh-CN" w:bidi="ar"/>
        </w:rPr>
        <w:t>13.6  清除不合格工程</w:t>
      </w:r>
      <w:bookmarkEnd w:id="1307"/>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13.6.1  （1）承包人使用不合格材料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（2）如果承包人未在规定时间内执行监理人的指示，发包人有权雇用他人执行，由此增加的费用和（或）工期延误由承包人承担。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13.6.2  由于发包人提供的材料或工程设备不合格造成的工程不合格，需要承包人采取措施补救的，发包人应承担由此增加的费用和（或）工期延误，并支付承包人合理利润。</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1308" w:name="_Toc5660"/>
      <w:bookmarkEnd w:id="1308"/>
      <w:bookmarkStart w:id="1309" w:name="_Toc21323"/>
      <w:bookmarkEnd w:id="1309"/>
      <w:bookmarkStart w:id="1310" w:name="_Toc287853405"/>
      <w:bookmarkEnd w:id="1310"/>
      <w:bookmarkStart w:id="1311" w:name="_Toc18146"/>
      <w:bookmarkEnd w:id="1311"/>
      <w:bookmarkStart w:id="1312" w:name="_Toc144974671"/>
      <w:bookmarkEnd w:id="1312"/>
      <w:bookmarkStart w:id="1313" w:name="_Toc24784"/>
      <w:bookmarkEnd w:id="1313"/>
      <w:bookmarkStart w:id="1314" w:name="_Toc7102"/>
      <w:bookmarkEnd w:id="1314"/>
      <w:bookmarkStart w:id="1315" w:name="_Toc295"/>
      <w:bookmarkEnd w:id="1315"/>
      <w:bookmarkStart w:id="1316" w:name="_Toc282779565"/>
      <w:bookmarkEnd w:id="1316"/>
      <w:bookmarkStart w:id="1317" w:name="_Toc288491581"/>
      <w:bookmarkEnd w:id="1317"/>
      <w:bookmarkStart w:id="1318" w:name="_Toc282779056"/>
      <w:bookmarkEnd w:id="1318"/>
      <w:bookmarkStart w:id="1319" w:name="_Toc283794253"/>
      <w:bookmarkEnd w:id="1319"/>
      <w:bookmarkStart w:id="1320" w:name="_Toc514936614"/>
      <w:bookmarkEnd w:id="1320"/>
      <w:bookmarkStart w:id="1321" w:name="_Toc7575"/>
      <w:bookmarkEnd w:id="1321"/>
      <w:bookmarkStart w:id="1322" w:name="_Toc12223"/>
      <w:bookmarkEnd w:id="1322"/>
      <w:bookmarkStart w:id="1323" w:name="_Toc237923881"/>
      <w:bookmarkEnd w:id="1323"/>
      <w:bookmarkStart w:id="1324" w:name="_Toc179632720"/>
      <w:bookmarkEnd w:id="1324"/>
      <w:bookmarkStart w:id="1325" w:name="_Toc23946"/>
      <w:bookmarkEnd w:id="1325"/>
      <w:bookmarkStart w:id="1326" w:name="_Toc31389"/>
      <w:bookmarkEnd w:id="1326"/>
      <w:bookmarkStart w:id="1327" w:name="_Toc29256"/>
      <w:bookmarkEnd w:id="1327"/>
      <w:bookmarkStart w:id="1328" w:name="_Toc152042480"/>
      <w:bookmarkEnd w:id="1328"/>
      <w:bookmarkStart w:id="1329" w:name="_Toc118378085"/>
      <w:bookmarkEnd w:id="1329"/>
      <w:bookmarkStart w:id="1330" w:name="_Toc10946"/>
      <w:bookmarkEnd w:id="1330"/>
      <w:bookmarkStart w:id="1331" w:name="_Toc152045702"/>
      <w:bookmarkEnd w:id="1331"/>
      <w:bookmarkStart w:id="1332" w:name="_Toc282787504"/>
      <w:bookmarkEnd w:id="1332"/>
      <w:bookmarkStart w:id="1333" w:name="_Toc25142"/>
      <w:r>
        <w:rPr>
          <w:rFonts w:hint="eastAsia" w:ascii="宋体" w:hAnsi="宋体" w:eastAsia="宋体" w:cs="宋体"/>
          <w:color w:val="auto"/>
          <w:kern w:val="2"/>
          <w:sz w:val="21"/>
          <w:szCs w:val="21"/>
          <w:highlight w:val="none"/>
          <w:lang w:val="en-US" w:eastAsia="zh-CN" w:bidi="ar"/>
        </w:rPr>
        <w:t>14．试验和检验</w:t>
      </w:r>
      <w:bookmarkEnd w:id="1333"/>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334" w:name="_Toc152045703"/>
      <w:bookmarkEnd w:id="1334"/>
      <w:bookmarkStart w:id="1335" w:name="_Toc152042481"/>
      <w:bookmarkEnd w:id="1335"/>
      <w:bookmarkStart w:id="1336" w:name="_Toc287853406"/>
      <w:bookmarkEnd w:id="1336"/>
      <w:bookmarkStart w:id="1337" w:name="_Toc283794254"/>
      <w:bookmarkEnd w:id="1337"/>
      <w:bookmarkStart w:id="1338" w:name="_Toc288491582"/>
      <w:bookmarkEnd w:id="1338"/>
      <w:bookmarkStart w:id="1339" w:name="_Toc237923882"/>
      <w:bookmarkEnd w:id="1339"/>
      <w:bookmarkStart w:id="1340" w:name="_Toc144974672"/>
      <w:bookmarkEnd w:id="1340"/>
      <w:bookmarkStart w:id="1341" w:name="_Toc282779566"/>
      <w:bookmarkEnd w:id="1341"/>
      <w:bookmarkStart w:id="1342" w:name="_Toc179632721"/>
      <w:bookmarkEnd w:id="1342"/>
      <w:bookmarkStart w:id="1343" w:name="_Toc282779057"/>
      <w:bookmarkEnd w:id="1343"/>
      <w:bookmarkStart w:id="1344" w:name="_Toc282787505"/>
      <w:r>
        <w:rPr>
          <w:rFonts w:hint="eastAsia" w:ascii="宋体" w:hAnsi="宋体" w:eastAsia="宋体" w:cs="宋体"/>
          <w:color w:val="auto"/>
          <w:kern w:val="2"/>
          <w:sz w:val="21"/>
          <w:szCs w:val="21"/>
          <w:highlight w:val="none"/>
          <w:lang w:val="en-US" w:eastAsia="zh-CN" w:bidi="ar"/>
        </w:rPr>
        <w:t>14.1  材料、工程设备和工程的试验和检验</w:t>
      </w:r>
      <w:bookmarkEnd w:id="134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14.1.2  监理人未按合同约定派员参加试验和检验的，除监理人另有指示外，承包人可自行试验和检验，并应立即将试验和检验结果报送监理人，监理人应签字确认。</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345" w:name="_Toc179632722"/>
      <w:bookmarkEnd w:id="1345"/>
      <w:bookmarkStart w:id="1346" w:name="_Toc144974673"/>
      <w:bookmarkEnd w:id="1346"/>
      <w:bookmarkStart w:id="1347" w:name="_Toc237923883"/>
      <w:bookmarkEnd w:id="1347"/>
      <w:bookmarkStart w:id="1348" w:name="_Toc152042482"/>
      <w:bookmarkEnd w:id="1348"/>
      <w:bookmarkStart w:id="1349" w:name="_Toc288491583"/>
      <w:bookmarkEnd w:id="1349"/>
      <w:bookmarkStart w:id="1350" w:name="_Toc287853407"/>
      <w:bookmarkEnd w:id="1350"/>
      <w:bookmarkStart w:id="1351" w:name="_Toc283794255"/>
      <w:bookmarkEnd w:id="1351"/>
      <w:bookmarkStart w:id="1352" w:name="_Toc152045704"/>
      <w:bookmarkEnd w:id="1352"/>
      <w:bookmarkStart w:id="1353" w:name="_Toc282787506"/>
      <w:bookmarkEnd w:id="1353"/>
      <w:bookmarkStart w:id="1354" w:name="_Toc282779567"/>
      <w:bookmarkEnd w:id="1354"/>
      <w:bookmarkStart w:id="1355" w:name="_Toc282779058"/>
      <w:r>
        <w:rPr>
          <w:rFonts w:hint="eastAsia" w:ascii="宋体" w:hAnsi="宋体" w:eastAsia="宋体" w:cs="宋体"/>
          <w:color w:val="auto"/>
          <w:kern w:val="2"/>
          <w:sz w:val="21"/>
          <w:szCs w:val="21"/>
          <w:highlight w:val="none"/>
          <w:lang w:val="en-US" w:eastAsia="zh-CN" w:bidi="ar"/>
        </w:rPr>
        <w:t>14.2  现场材料试验</w:t>
      </w:r>
      <w:bookmarkEnd w:id="1355"/>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14.2.1  承包人根据合同约定或监理人指示进行的现场材料试验，应由承包人提供试验场所、试验人员、试验设备器材以及其他必要的试验条件。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14.2.2  监理人在必要时可以使用承包人的试验场所、试验设备器材以及其他试验条件，进行以工程质量检查为目的的复核性材料试验，承包人应予以协助。</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356" w:name="_Toc288491584"/>
      <w:bookmarkEnd w:id="1356"/>
      <w:bookmarkStart w:id="1357" w:name="_Toc152042483"/>
      <w:bookmarkEnd w:id="1357"/>
      <w:bookmarkStart w:id="1358" w:name="_Toc179632723"/>
      <w:bookmarkEnd w:id="1358"/>
      <w:bookmarkStart w:id="1359" w:name="_Toc282787507"/>
      <w:bookmarkEnd w:id="1359"/>
      <w:bookmarkStart w:id="1360" w:name="_Toc287853408"/>
      <w:bookmarkEnd w:id="1360"/>
      <w:bookmarkStart w:id="1361" w:name="_Toc144974674"/>
      <w:bookmarkEnd w:id="1361"/>
      <w:bookmarkStart w:id="1362" w:name="_Toc282779059"/>
      <w:bookmarkEnd w:id="1362"/>
      <w:bookmarkStart w:id="1363" w:name="_Toc283794256"/>
      <w:bookmarkEnd w:id="1363"/>
      <w:bookmarkStart w:id="1364" w:name="_Toc282779568"/>
      <w:bookmarkEnd w:id="1364"/>
      <w:bookmarkStart w:id="1365" w:name="_Toc152045705"/>
      <w:bookmarkEnd w:id="1365"/>
      <w:bookmarkStart w:id="1366" w:name="_Toc237923884"/>
      <w:r>
        <w:rPr>
          <w:rFonts w:hint="eastAsia" w:ascii="宋体" w:hAnsi="宋体" w:eastAsia="宋体" w:cs="宋体"/>
          <w:color w:val="auto"/>
          <w:kern w:val="2"/>
          <w:sz w:val="21"/>
          <w:szCs w:val="21"/>
          <w:highlight w:val="none"/>
          <w:lang w:val="en-US" w:eastAsia="zh-CN" w:bidi="ar"/>
        </w:rPr>
        <w:t>14.3  现场工艺试验</w:t>
      </w:r>
      <w:bookmarkEnd w:id="1366"/>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承包人应按合同约定或监理人指示进行现场工艺试验。对大型的现场工艺试验，监理人认为必要时，应由承包人根据监理人提出的工艺试验要求，编制工艺试验措施计划，报送监理人审批。</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367" w:name="_Toc282787508"/>
      <w:bookmarkEnd w:id="1367"/>
      <w:r>
        <w:rPr>
          <w:rFonts w:hint="eastAsia" w:ascii="宋体" w:hAnsi="宋体" w:eastAsia="宋体" w:cs="宋体"/>
          <w:color w:val="auto"/>
          <w:kern w:val="2"/>
          <w:sz w:val="21"/>
          <w:szCs w:val="21"/>
          <w:highlight w:val="none"/>
          <w:lang w:val="en-US" w:eastAsia="zh-CN" w:bidi="ar"/>
        </w:rPr>
        <w:t>14.4  试验和检验费用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（1）承包人应负责提供合同和技术规范规定的试验和检验所需的全部样品，并承担其他费用。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（2）在合同中明确规定的试验和检验，包括无须在工程量清单中单独列项和已在工程量清单中单独列项的试验和检验，其试验和检验的费用由承包人负担。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1368" w:name="_Toc282779060"/>
      <w:bookmarkEnd w:id="1368"/>
      <w:bookmarkStart w:id="1369" w:name="_Toc15813"/>
      <w:bookmarkEnd w:id="1369"/>
      <w:bookmarkStart w:id="1370" w:name="_Toc144974675"/>
      <w:bookmarkEnd w:id="1370"/>
      <w:bookmarkStart w:id="1371" w:name="_Toc237923885"/>
      <w:bookmarkEnd w:id="1371"/>
      <w:bookmarkStart w:id="1372" w:name="_Toc152042484"/>
      <w:bookmarkEnd w:id="1372"/>
      <w:bookmarkStart w:id="1373" w:name="_Toc118378086"/>
      <w:bookmarkEnd w:id="1373"/>
      <w:bookmarkStart w:id="1374" w:name="_Toc179632724"/>
      <w:bookmarkEnd w:id="1374"/>
      <w:bookmarkStart w:id="1375" w:name="_Toc31212"/>
      <w:bookmarkEnd w:id="1375"/>
      <w:bookmarkStart w:id="1376" w:name="_Toc21665"/>
      <w:bookmarkEnd w:id="1376"/>
      <w:bookmarkStart w:id="1377" w:name="_Toc152045706"/>
      <w:bookmarkEnd w:id="1377"/>
      <w:bookmarkStart w:id="1378" w:name="_Toc514936615"/>
      <w:bookmarkEnd w:id="1378"/>
      <w:bookmarkStart w:id="1379" w:name="_Toc20138"/>
      <w:bookmarkEnd w:id="1379"/>
      <w:bookmarkStart w:id="1380" w:name="_Toc26345"/>
      <w:bookmarkEnd w:id="1380"/>
      <w:bookmarkStart w:id="1381" w:name="_Toc25413"/>
      <w:bookmarkEnd w:id="1381"/>
      <w:bookmarkStart w:id="1382" w:name="_Toc282787509"/>
      <w:bookmarkEnd w:id="1382"/>
      <w:bookmarkStart w:id="1383" w:name="_Toc17526"/>
      <w:bookmarkEnd w:id="1383"/>
      <w:bookmarkStart w:id="1384" w:name="_Toc5882"/>
      <w:bookmarkEnd w:id="1384"/>
      <w:bookmarkStart w:id="1385" w:name="_Toc287853409"/>
      <w:bookmarkEnd w:id="1385"/>
      <w:bookmarkStart w:id="1386" w:name="_Toc32365"/>
      <w:bookmarkEnd w:id="1386"/>
      <w:bookmarkStart w:id="1387" w:name="_Toc7781"/>
      <w:bookmarkEnd w:id="1387"/>
      <w:bookmarkStart w:id="1388" w:name="_Toc12808"/>
      <w:bookmarkEnd w:id="1388"/>
      <w:bookmarkStart w:id="1389" w:name="_Toc20797"/>
      <w:bookmarkEnd w:id="1389"/>
      <w:bookmarkStart w:id="1390" w:name="_Toc288491585"/>
      <w:bookmarkEnd w:id="1390"/>
      <w:bookmarkStart w:id="1391" w:name="_Toc282779569"/>
      <w:bookmarkEnd w:id="1391"/>
      <w:bookmarkStart w:id="1392" w:name="_Toc283794257"/>
      <w:bookmarkEnd w:id="1392"/>
      <w:bookmarkStart w:id="1393" w:name="_Toc12915"/>
      <w:r>
        <w:rPr>
          <w:rFonts w:hint="eastAsia" w:ascii="宋体" w:hAnsi="宋体" w:eastAsia="宋体" w:cs="宋体"/>
          <w:color w:val="auto"/>
          <w:kern w:val="2"/>
          <w:sz w:val="21"/>
          <w:szCs w:val="21"/>
          <w:highlight w:val="none"/>
          <w:lang w:val="en-US" w:eastAsia="zh-CN" w:bidi="ar"/>
        </w:rPr>
        <w:t>15．变更</w:t>
      </w:r>
      <w:bookmarkEnd w:id="1393"/>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394" w:name="_Toc282779061"/>
      <w:bookmarkEnd w:id="1394"/>
      <w:bookmarkStart w:id="1395" w:name="_Toc287853410"/>
      <w:bookmarkEnd w:id="1395"/>
      <w:bookmarkStart w:id="1396" w:name="_Toc282787510"/>
      <w:bookmarkEnd w:id="1396"/>
      <w:bookmarkStart w:id="1397" w:name="_Toc152045707"/>
      <w:bookmarkEnd w:id="1397"/>
      <w:bookmarkStart w:id="1398" w:name="_Toc283794258"/>
      <w:bookmarkEnd w:id="1398"/>
      <w:bookmarkStart w:id="1399" w:name="_Toc179632725"/>
      <w:bookmarkEnd w:id="1399"/>
      <w:bookmarkStart w:id="1400" w:name="_Toc144974676"/>
      <w:bookmarkEnd w:id="1400"/>
      <w:bookmarkStart w:id="1401" w:name="_Toc237923886"/>
      <w:bookmarkEnd w:id="1401"/>
      <w:bookmarkStart w:id="1402" w:name="_Toc152042485"/>
      <w:bookmarkEnd w:id="1402"/>
      <w:bookmarkStart w:id="1403" w:name="_Toc282779570"/>
      <w:bookmarkEnd w:id="1403"/>
      <w:bookmarkStart w:id="1404" w:name="_Toc288491586"/>
      <w:r>
        <w:rPr>
          <w:rFonts w:hint="eastAsia" w:ascii="宋体" w:hAnsi="宋体" w:eastAsia="宋体" w:cs="宋体"/>
          <w:color w:val="auto"/>
          <w:kern w:val="2"/>
          <w:sz w:val="21"/>
          <w:szCs w:val="21"/>
          <w:highlight w:val="none"/>
          <w:lang w:val="en-US" w:eastAsia="zh-CN" w:bidi="ar"/>
        </w:rPr>
        <w:t>15.1  变更的范围和内容</w:t>
      </w:r>
      <w:bookmarkEnd w:id="140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除专用合同条款另有约定外，在履行合同中发生以下情形之一，应按照本条规定进行变更。</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（1）取消合同中任何一项工作，但被取消的工作不能转由发包人或其他人实施，由于承包人违约造成的情况除外；</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（2）改变合同中任何一项工作的质量或其他特性；</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（3）改变合同工程的基线、标高、位置或尺寸；</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（4）改变合同中任何一项工作的施工时间或改变已批准的施工工艺或顺序；</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（5）为完成工程需要追加的额外工作。</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405" w:name="_Toc287853411"/>
      <w:bookmarkEnd w:id="1405"/>
      <w:bookmarkStart w:id="1406" w:name="_Toc282787511"/>
      <w:bookmarkEnd w:id="1406"/>
      <w:bookmarkStart w:id="1407" w:name="_Toc144974677"/>
      <w:bookmarkEnd w:id="1407"/>
      <w:bookmarkStart w:id="1408" w:name="_Toc179632726"/>
      <w:bookmarkEnd w:id="1408"/>
      <w:bookmarkStart w:id="1409" w:name="_Toc152042486"/>
      <w:bookmarkEnd w:id="1409"/>
      <w:bookmarkStart w:id="1410" w:name="_Toc282779571"/>
      <w:bookmarkEnd w:id="1410"/>
      <w:bookmarkStart w:id="1411" w:name="_Toc237923887"/>
      <w:bookmarkEnd w:id="1411"/>
      <w:bookmarkStart w:id="1412" w:name="_Toc152045708"/>
      <w:bookmarkEnd w:id="1412"/>
      <w:bookmarkStart w:id="1413" w:name="_Toc283794259"/>
      <w:bookmarkEnd w:id="1413"/>
      <w:bookmarkStart w:id="1414" w:name="_Toc288491587"/>
      <w:bookmarkEnd w:id="1414"/>
      <w:bookmarkStart w:id="1415" w:name="_Toc282779062"/>
      <w:r>
        <w:rPr>
          <w:rFonts w:hint="eastAsia" w:ascii="宋体" w:hAnsi="宋体" w:eastAsia="宋体" w:cs="宋体"/>
          <w:color w:val="auto"/>
          <w:kern w:val="2"/>
          <w:sz w:val="21"/>
          <w:szCs w:val="21"/>
          <w:highlight w:val="none"/>
          <w:lang w:val="en-US" w:eastAsia="zh-CN" w:bidi="ar"/>
        </w:rPr>
        <w:t>15.2  变更权</w:t>
      </w:r>
      <w:bookmarkEnd w:id="1415"/>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在履行合同过程中，经发包人同意，监理人可按第15.3款约定的变更程序向承包人作出变更指示，承包人应遵照执行。没有监理人的变更指示，承包人不得擅自变更。</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416" w:name="_Toc282779572"/>
      <w:bookmarkEnd w:id="1416"/>
      <w:bookmarkStart w:id="1417" w:name="_Toc144974678"/>
      <w:bookmarkEnd w:id="1417"/>
      <w:bookmarkStart w:id="1418" w:name="_Toc287853412"/>
      <w:bookmarkEnd w:id="1418"/>
      <w:bookmarkStart w:id="1419" w:name="_Toc152042487"/>
      <w:bookmarkEnd w:id="1419"/>
      <w:bookmarkStart w:id="1420" w:name="_Toc283794260"/>
      <w:bookmarkEnd w:id="1420"/>
      <w:bookmarkStart w:id="1421" w:name="_Toc288491588"/>
      <w:bookmarkEnd w:id="1421"/>
      <w:bookmarkStart w:id="1422" w:name="_Toc282779063"/>
      <w:bookmarkEnd w:id="1422"/>
      <w:bookmarkStart w:id="1423" w:name="_Toc152045709"/>
      <w:bookmarkEnd w:id="1423"/>
      <w:bookmarkStart w:id="1424" w:name="_Toc179632727"/>
      <w:bookmarkEnd w:id="1424"/>
      <w:bookmarkStart w:id="1425" w:name="_Toc237923888"/>
      <w:bookmarkEnd w:id="1425"/>
      <w:bookmarkStart w:id="1426" w:name="_Toc282787512"/>
      <w:r>
        <w:rPr>
          <w:rFonts w:hint="eastAsia" w:ascii="宋体" w:hAnsi="宋体" w:eastAsia="宋体" w:cs="宋体"/>
          <w:color w:val="auto"/>
          <w:kern w:val="2"/>
          <w:sz w:val="21"/>
          <w:szCs w:val="21"/>
          <w:highlight w:val="none"/>
          <w:lang w:val="en-US" w:eastAsia="zh-CN" w:bidi="ar"/>
        </w:rPr>
        <w:t>15.3  变更程序</w:t>
      </w:r>
      <w:bookmarkEnd w:id="1426"/>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15.3.1  变更的提出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（2）在合同履行过程中，发生第15.1款约定情形的，监理人应按照第15.3.3项约定向承包人发出变更指示。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（4）若承包人收到监理人的变更意向书后认为难以实施此项变更，应立即通知监理人，说明原因并附详细依据。监理人与承包人和发包人协商后确定撤销、改变或不改变原变更意向书。</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15.3.2  变更估价</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（2）变更工作影响工期的，承包人应提出调整工期的具体细节。监理人认为有必要时，可要求承包人提交要求提前或延长工期的施工进度计划及相应施工措施等详细资料。</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（3）除专用合同条款对期限另有约定外，监理人收到承包人变更报价书后的14天内，根据第15.4款约定的估价原则，按照第3.5款商定或确定变更价格。</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15.3.3  变更指示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（1）变更指示只能由监理人发出。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（2）变更指示应说明变更的目的、范围、变更内容以及变更的工程量及其进度和技术要求，并附有关图纸和文件。承包人收到变更指示后，应按变更指示进行变更工作。</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427" w:name="_Toc287853413"/>
      <w:bookmarkEnd w:id="1427"/>
      <w:bookmarkStart w:id="1428" w:name="_Toc282787513"/>
      <w:bookmarkEnd w:id="1428"/>
      <w:bookmarkStart w:id="1429" w:name="_Toc152045710"/>
      <w:bookmarkEnd w:id="1429"/>
      <w:bookmarkStart w:id="1430" w:name="_Toc179632728"/>
      <w:bookmarkEnd w:id="1430"/>
      <w:bookmarkStart w:id="1431" w:name="_Toc282779064"/>
      <w:bookmarkEnd w:id="1431"/>
      <w:bookmarkStart w:id="1432" w:name="_Toc282779573"/>
      <w:bookmarkEnd w:id="1432"/>
      <w:bookmarkStart w:id="1433" w:name="_Toc283794261"/>
      <w:bookmarkEnd w:id="1433"/>
      <w:bookmarkStart w:id="1434" w:name="_Toc237923889"/>
      <w:bookmarkEnd w:id="1434"/>
      <w:bookmarkStart w:id="1435" w:name="_Toc288491589"/>
      <w:bookmarkEnd w:id="1435"/>
      <w:bookmarkStart w:id="1436" w:name="_Toc144974679"/>
      <w:bookmarkEnd w:id="1436"/>
      <w:bookmarkStart w:id="1437" w:name="_Toc152042488"/>
      <w:r>
        <w:rPr>
          <w:rFonts w:hint="eastAsia" w:ascii="宋体" w:hAnsi="宋体" w:eastAsia="宋体" w:cs="宋体"/>
          <w:color w:val="auto"/>
          <w:kern w:val="2"/>
          <w:sz w:val="21"/>
          <w:szCs w:val="21"/>
          <w:highlight w:val="none"/>
          <w:lang w:val="en-US" w:eastAsia="zh-CN" w:bidi="ar"/>
        </w:rPr>
        <w:t>15.4  变更的估价原则</w:t>
      </w:r>
      <w:bookmarkEnd w:id="1437"/>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除项目专用合同条款另有约定外，因变更引起的价格调整按照本款约定处理。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15.4.1  如果取消某项工作，则该项工作的总额价不予支付；</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15.4.2  如养护路段对工程量清单中子目部分内容需实行专项工程的，则对实施专项工程子目的单价按里程及时间进行折算，相应工程子目单价每月折减2%。（适用于小修保养工程项目）</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15.4.3  已标价工程量清单中有适用于变更工作的子目的，采用该子目的单价。</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15.4.4  已标价工程量清单中无适用于变更工作的子目，但有类似子目的，可在合理范围内参照类似子目的单价，由监理人按第3.5款商定或确定变更工作的单价。</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15.4.5  已标价工程量清单中无适用或类似子目的单价，可在综合考虑承包人在投标时所提供的单价分析表的基础上，由监理人按第3.5款商定或确定变更工作的单价。</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15.4.6  如果本工程的变更指示是因承包人过错、承包人违反合同或承包人责任造成的，则这种违约引起的任何额外费用应由承包人承担。</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438" w:name="_Toc288491590"/>
      <w:bookmarkEnd w:id="1438"/>
      <w:bookmarkStart w:id="1439" w:name="_Toc179632729"/>
      <w:bookmarkEnd w:id="1439"/>
      <w:bookmarkStart w:id="1440" w:name="_Toc282779065"/>
      <w:bookmarkEnd w:id="1440"/>
      <w:bookmarkStart w:id="1441" w:name="_Toc152045711"/>
      <w:bookmarkEnd w:id="1441"/>
      <w:bookmarkStart w:id="1442" w:name="_Toc237923890"/>
      <w:bookmarkEnd w:id="1442"/>
      <w:bookmarkStart w:id="1443" w:name="_Toc283794262"/>
      <w:bookmarkEnd w:id="1443"/>
      <w:bookmarkStart w:id="1444" w:name="_Toc144974680"/>
      <w:bookmarkEnd w:id="1444"/>
      <w:bookmarkStart w:id="1445" w:name="_Toc287853414"/>
      <w:bookmarkEnd w:id="1445"/>
      <w:bookmarkStart w:id="1446" w:name="_Toc152042489"/>
      <w:bookmarkEnd w:id="1446"/>
      <w:bookmarkStart w:id="1447" w:name="_Toc282787514"/>
      <w:bookmarkEnd w:id="1447"/>
      <w:bookmarkStart w:id="1448" w:name="_Toc282779574"/>
      <w:r>
        <w:rPr>
          <w:rFonts w:hint="eastAsia" w:ascii="宋体" w:hAnsi="宋体" w:eastAsia="宋体" w:cs="宋体"/>
          <w:color w:val="auto"/>
          <w:kern w:val="2"/>
          <w:sz w:val="21"/>
          <w:szCs w:val="21"/>
          <w:highlight w:val="none"/>
          <w:lang w:val="en-US" w:eastAsia="zh-CN" w:bidi="ar"/>
        </w:rPr>
        <w:t>15.5  承包人的合理化建议</w:t>
      </w:r>
      <w:bookmarkEnd w:id="1448"/>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15.5.2  承包人提出的合理化建议降低了合同价格、缩短了工期或者提高了工程经济效益的，发包人可按国家有关规定在专用合同条款中约定给予奖励。</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449" w:name="_Toc144974681"/>
      <w:bookmarkEnd w:id="1449"/>
      <w:bookmarkStart w:id="1450" w:name="_Toc152045712"/>
      <w:bookmarkEnd w:id="1450"/>
      <w:bookmarkStart w:id="1451" w:name="_Toc282779066"/>
      <w:bookmarkEnd w:id="1451"/>
      <w:bookmarkStart w:id="1452" w:name="_Toc237923891"/>
      <w:bookmarkEnd w:id="1452"/>
      <w:bookmarkStart w:id="1453" w:name="_Toc288491591"/>
      <w:bookmarkEnd w:id="1453"/>
      <w:bookmarkStart w:id="1454" w:name="_Toc283794263"/>
      <w:bookmarkEnd w:id="1454"/>
      <w:bookmarkStart w:id="1455" w:name="_Toc282779575"/>
      <w:bookmarkEnd w:id="1455"/>
      <w:bookmarkStart w:id="1456" w:name="_Toc152042490"/>
      <w:bookmarkEnd w:id="1456"/>
      <w:bookmarkStart w:id="1457" w:name="_Toc287853415"/>
      <w:bookmarkEnd w:id="1457"/>
      <w:bookmarkStart w:id="1458" w:name="_Toc282787515"/>
      <w:bookmarkEnd w:id="1458"/>
      <w:bookmarkStart w:id="1459" w:name="_Toc179632730"/>
      <w:r>
        <w:rPr>
          <w:rFonts w:hint="eastAsia" w:ascii="宋体" w:hAnsi="宋体" w:eastAsia="宋体" w:cs="宋体"/>
          <w:color w:val="auto"/>
          <w:kern w:val="2"/>
          <w:sz w:val="21"/>
          <w:szCs w:val="21"/>
          <w:highlight w:val="none"/>
          <w:lang w:val="en-US" w:eastAsia="zh-CN" w:bidi="ar"/>
        </w:rPr>
        <w:t>15.6  暂列金额</w:t>
      </w:r>
      <w:bookmarkEnd w:id="1459"/>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15.6.1  暂列金额应由监理人报发包人批准后指令全部或部分地使用，或者根本不予动用。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15.6.2  对于经发包人批准的每一笔暂列金额，监理人有权向承包人发出实施工程或提供材料或服务的指令。这些指令应由承包人完成，监理人应根据第15.4款约定的变更估价原则和第15.7款的规定，对合同价格进行相应调整。</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15.6.3  当监理人提出要求时，承包人应提供有关暂列金额支出的所有报价单、发票、凭证和账单或收据，除非该工作是根据已标价工程量清单列明的单价或总额价进行的估价。</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460" w:name="_Toc288491592"/>
      <w:bookmarkEnd w:id="1460"/>
      <w:bookmarkStart w:id="1461" w:name="_Toc152042491"/>
      <w:bookmarkEnd w:id="1461"/>
      <w:bookmarkStart w:id="1462" w:name="_Toc282779067"/>
      <w:bookmarkEnd w:id="1462"/>
      <w:bookmarkStart w:id="1463" w:name="_Toc152045713"/>
      <w:bookmarkEnd w:id="1463"/>
      <w:bookmarkStart w:id="1464" w:name="_Toc282787516"/>
      <w:bookmarkEnd w:id="1464"/>
      <w:bookmarkStart w:id="1465" w:name="_Toc144974682"/>
      <w:bookmarkEnd w:id="1465"/>
      <w:bookmarkStart w:id="1466" w:name="_Toc237923892"/>
      <w:bookmarkEnd w:id="1466"/>
      <w:bookmarkStart w:id="1467" w:name="_Toc282779576"/>
      <w:bookmarkEnd w:id="1467"/>
      <w:bookmarkStart w:id="1468" w:name="_Toc179632731"/>
      <w:bookmarkEnd w:id="1468"/>
      <w:bookmarkStart w:id="1469" w:name="_Toc283794264"/>
      <w:bookmarkEnd w:id="1469"/>
      <w:bookmarkStart w:id="1470" w:name="_Toc287853416"/>
      <w:r>
        <w:rPr>
          <w:rFonts w:hint="eastAsia" w:ascii="宋体" w:hAnsi="宋体" w:eastAsia="宋体" w:cs="宋体"/>
          <w:color w:val="auto"/>
          <w:kern w:val="2"/>
          <w:sz w:val="21"/>
          <w:szCs w:val="21"/>
          <w:highlight w:val="none"/>
          <w:lang w:val="en-US" w:eastAsia="zh-CN" w:bidi="ar"/>
        </w:rPr>
        <w:t>15.7  计日工</w:t>
      </w:r>
      <w:bookmarkEnd w:id="1470"/>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shd w:val="clear" w:fill="7F7F7F"/>
        </w:rPr>
      </w:pPr>
      <w:r>
        <w:rPr>
          <w:rFonts w:hint="eastAsia" w:ascii="宋体" w:hAnsi="宋体" w:eastAsia="宋体" w:cs="宋体"/>
          <w:color w:val="auto"/>
          <w:kern w:val="2"/>
          <w:sz w:val="21"/>
          <w:szCs w:val="21"/>
          <w:highlight w:val="none"/>
          <w:lang w:val="en-US" w:eastAsia="zh-CN" w:bidi="ar"/>
        </w:rPr>
        <w:t>15.7.1  发包人认为有必要时，由监理人通知承包人以计日工方式实施变更的零星工作。其价款按列入已标价工程量清单中的计日工计价子目及其单价进行计算。</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15.7.2  采用计日工计价的任何一项变更工作，应从暂列金额中支付，承包人应在该项变更的实施过程中，每天提交以下报表和有关凭证报送监理人审批：</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（1）工作名称、内容和数量；</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（2）投入该工作所有人员的姓名、工种、级别和耗用工时；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（3）投入该工作的材料类别和数量；</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（4）投入该工作的施工设备型号、台数和耗用台时；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（5）监理人要求提交的其他资料和凭证。</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15.7.3  计日工由承包人汇总后，按第17.3.2项的约定列入进度付款申请单，由监理人复核并经发包人同意后列入进度付款。</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471" w:name="_Toc282779577"/>
      <w:bookmarkEnd w:id="1471"/>
      <w:bookmarkStart w:id="1472" w:name="_Toc152042492"/>
      <w:bookmarkEnd w:id="1472"/>
      <w:bookmarkStart w:id="1473" w:name="_Toc144974683"/>
      <w:bookmarkEnd w:id="1473"/>
      <w:bookmarkStart w:id="1474" w:name="_Toc179632732"/>
      <w:bookmarkEnd w:id="1474"/>
      <w:bookmarkStart w:id="1475" w:name="_Toc152045714"/>
      <w:bookmarkEnd w:id="1475"/>
      <w:bookmarkStart w:id="1476" w:name="_Toc237923893"/>
      <w:bookmarkEnd w:id="1476"/>
      <w:bookmarkStart w:id="1477" w:name="_Toc287853417"/>
      <w:bookmarkEnd w:id="1477"/>
      <w:bookmarkStart w:id="1478" w:name="_Toc288491593"/>
      <w:bookmarkEnd w:id="1478"/>
      <w:bookmarkStart w:id="1479" w:name="_Toc283794265"/>
      <w:bookmarkEnd w:id="1479"/>
      <w:bookmarkStart w:id="1480" w:name="_Toc282779068"/>
      <w:bookmarkEnd w:id="1480"/>
      <w:bookmarkStart w:id="1481" w:name="_Toc282787517"/>
      <w:r>
        <w:rPr>
          <w:rFonts w:hint="eastAsia" w:ascii="宋体" w:hAnsi="宋体" w:eastAsia="宋体" w:cs="宋体"/>
          <w:color w:val="auto"/>
          <w:kern w:val="2"/>
          <w:sz w:val="21"/>
          <w:szCs w:val="21"/>
          <w:highlight w:val="none"/>
          <w:lang w:val="en-US" w:eastAsia="zh-CN" w:bidi="ar"/>
        </w:rPr>
        <w:t>15.8  暂估价</w:t>
      </w:r>
      <w:bookmarkEnd w:id="1481"/>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1482" w:name="_Toc1380"/>
      <w:bookmarkEnd w:id="1482"/>
      <w:bookmarkStart w:id="1483" w:name="_Toc24805"/>
      <w:bookmarkEnd w:id="1483"/>
      <w:bookmarkStart w:id="1484" w:name="_Toc12041"/>
      <w:bookmarkEnd w:id="1484"/>
      <w:bookmarkStart w:id="1485" w:name="_Toc282787518"/>
      <w:bookmarkEnd w:id="1485"/>
      <w:bookmarkStart w:id="1486" w:name="_Toc283794266"/>
      <w:bookmarkEnd w:id="1486"/>
      <w:bookmarkStart w:id="1487" w:name="_Toc412"/>
      <w:bookmarkEnd w:id="1487"/>
      <w:bookmarkStart w:id="1488" w:name="_Toc144974684"/>
      <w:bookmarkEnd w:id="1488"/>
      <w:bookmarkStart w:id="1489" w:name="_Toc18714"/>
      <w:bookmarkEnd w:id="1489"/>
      <w:bookmarkStart w:id="1490" w:name="_Toc12076"/>
      <w:bookmarkEnd w:id="1490"/>
      <w:bookmarkStart w:id="1491" w:name="_Toc179632733"/>
      <w:bookmarkEnd w:id="1491"/>
      <w:bookmarkStart w:id="1492" w:name="_Toc9025"/>
      <w:bookmarkEnd w:id="1492"/>
      <w:bookmarkStart w:id="1493" w:name="_Toc282779069"/>
      <w:bookmarkEnd w:id="1493"/>
      <w:bookmarkStart w:id="1494" w:name="_Toc7302"/>
      <w:bookmarkEnd w:id="1494"/>
      <w:bookmarkStart w:id="1495" w:name="_Toc5004"/>
      <w:bookmarkEnd w:id="1495"/>
      <w:bookmarkStart w:id="1496" w:name="_Toc3736"/>
      <w:bookmarkEnd w:id="1496"/>
      <w:bookmarkStart w:id="1497" w:name="_Toc26400"/>
      <w:bookmarkEnd w:id="1497"/>
      <w:bookmarkStart w:id="1498" w:name="_Toc20238"/>
      <w:bookmarkEnd w:id="1498"/>
      <w:bookmarkStart w:id="1499" w:name="_Toc287853418"/>
      <w:bookmarkEnd w:id="1499"/>
      <w:bookmarkStart w:id="1500" w:name="_Toc152045715"/>
      <w:bookmarkEnd w:id="1500"/>
      <w:bookmarkStart w:id="1501" w:name="_Toc2855"/>
      <w:bookmarkEnd w:id="1501"/>
      <w:bookmarkStart w:id="1502" w:name="_Toc282779578"/>
      <w:bookmarkEnd w:id="1502"/>
      <w:bookmarkStart w:id="1503" w:name="_Toc514936616"/>
      <w:bookmarkEnd w:id="1503"/>
      <w:bookmarkStart w:id="1504" w:name="_Toc288491594"/>
      <w:bookmarkEnd w:id="1504"/>
      <w:bookmarkStart w:id="1505" w:name="_Toc152042493"/>
      <w:bookmarkEnd w:id="1505"/>
      <w:bookmarkStart w:id="1506" w:name="_Toc118378087"/>
      <w:bookmarkEnd w:id="1506"/>
      <w:bookmarkStart w:id="1507" w:name="_Toc237923894"/>
      <w:r>
        <w:rPr>
          <w:rFonts w:hint="eastAsia" w:ascii="宋体" w:hAnsi="宋体" w:eastAsia="宋体" w:cs="宋体"/>
          <w:color w:val="auto"/>
          <w:kern w:val="2"/>
          <w:sz w:val="21"/>
          <w:szCs w:val="21"/>
          <w:highlight w:val="none"/>
          <w:lang w:val="en-US" w:eastAsia="zh-CN" w:bidi="ar"/>
        </w:rPr>
        <w:t>16．价格调整</w:t>
      </w:r>
      <w:bookmarkEnd w:id="1507"/>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508" w:name="_Toc282779070"/>
      <w:bookmarkEnd w:id="1508"/>
      <w:bookmarkStart w:id="1509" w:name="_Toc288491595"/>
      <w:bookmarkEnd w:id="1509"/>
      <w:bookmarkStart w:id="1510" w:name="_Toc144974685"/>
      <w:bookmarkEnd w:id="1510"/>
      <w:bookmarkStart w:id="1511" w:name="_Toc287853419"/>
      <w:bookmarkEnd w:id="1511"/>
      <w:bookmarkStart w:id="1512" w:name="_Toc179632734"/>
      <w:bookmarkEnd w:id="1512"/>
      <w:bookmarkStart w:id="1513" w:name="_Toc152042494"/>
      <w:bookmarkEnd w:id="1513"/>
      <w:bookmarkStart w:id="1514" w:name="_Toc282787519"/>
      <w:bookmarkEnd w:id="1514"/>
      <w:bookmarkStart w:id="1515" w:name="_Toc237923895"/>
      <w:bookmarkEnd w:id="1515"/>
      <w:bookmarkStart w:id="1516" w:name="_Toc283794267"/>
      <w:bookmarkEnd w:id="1516"/>
      <w:bookmarkStart w:id="1517" w:name="_Toc282779579"/>
      <w:bookmarkEnd w:id="1517"/>
      <w:bookmarkStart w:id="1518" w:name="_Toc152045716"/>
      <w:r>
        <w:rPr>
          <w:rFonts w:hint="eastAsia" w:ascii="宋体" w:hAnsi="宋体" w:eastAsia="宋体" w:cs="宋体"/>
          <w:color w:val="auto"/>
          <w:kern w:val="2"/>
          <w:sz w:val="21"/>
          <w:szCs w:val="21"/>
          <w:highlight w:val="none"/>
          <w:lang w:val="en-US" w:eastAsia="zh-CN" w:bidi="ar"/>
        </w:rPr>
        <w:t>16.1  物价波动引起的价格调整</w:t>
      </w:r>
      <w:bookmarkEnd w:id="1518"/>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在养护工程合同执行期间（包括工期拖延期间），由于人工、材料价格的上涨而引起工程施工成本增加的风险由承包人自行承担，合同价格不会因此而调整。</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除专用合同条款另有约定外，因物价波动引起的价格调整按照本款约定处理。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16.1.1  采用价格指数调整价格差额</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16.1.1.1  价格调整公式</w:t>
      </w:r>
    </w:p>
    <w:p>
      <w:pPr>
        <w:keepNext w:val="0"/>
        <w:keepLines w:val="0"/>
        <w:widowControl w:val="0"/>
        <w:suppressLineNumbers w:val="0"/>
        <w:spacing w:before="0" w:beforeAutospacing="0" w:after="120" w:afterLines="5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因人工、材料和设备等价格波动影响合同价格时，根据投标函附录中的价格指数和权重表约定的数据，按以下公式计算差额并调整合同价格。</w:t>
      </w:r>
    </w:p>
    <w:p>
      <w:pPr>
        <w:keepNext w:val="0"/>
        <w:keepLines w:val="0"/>
        <w:widowControl w:val="0"/>
        <w:suppressLineNumbers w:val="0"/>
        <w:autoSpaceDE w:val="0"/>
        <w:autoSpaceDN w:val="0"/>
        <w:adjustRightInd w:val="0"/>
        <w:spacing w:before="0" w:beforeAutospacing="0" w:after="0" w:afterAutospacing="0" w:line="400" w:lineRule="exact"/>
        <w:ind w:left="0" w:right="249" w:firstLine="945" w:firstLineChars="4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drawing>
          <wp:inline distT="0" distB="0" distL="114300" distR="114300">
            <wp:extent cx="114300" cy="219075"/>
            <wp:effectExtent l="0" t="0" r="0" b="0"/>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9"/>
                    <a:stretch>
                      <a:fillRect/>
                    </a:stretch>
                  </pic:blipFill>
                  <pic:spPr>
                    <a:xfrm>
                      <a:off x="0" y="0"/>
                      <a:ext cx="114300" cy="219075"/>
                    </a:xfrm>
                    <a:prstGeom prst="rect">
                      <a:avLst/>
                    </a:prstGeom>
                    <a:noFill/>
                    <a:ln w="9525">
                      <a:noFill/>
                    </a:ln>
                  </pic:spPr>
                </pic:pic>
              </a:graphicData>
            </a:graphic>
          </wp:inline>
        </w:drawing>
      </w:r>
      <w:r>
        <w:rPr>
          <w:rFonts w:hint="eastAsia" w:ascii="宋体" w:hAnsi="宋体" w:eastAsia="宋体" w:cs="宋体"/>
          <w:color w:val="auto"/>
          <w:kern w:val="2"/>
          <w:sz w:val="21"/>
          <w:szCs w:val="21"/>
          <w:highlight w:val="none"/>
          <w:lang w:val="en-US" w:eastAsia="zh-CN" w:bidi="ar"/>
        </w:rPr>
        <w:drawing>
          <wp:inline distT="0" distB="0" distL="114300" distR="114300">
            <wp:extent cx="4029075" cy="504825"/>
            <wp:effectExtent l="0" t="0" r="9525" b="8890"/>
            <wp:docPr id="5"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7"/>
                    <pic:cNvPicPr>
                      <a:picLocks noChangeAspect="1"/>
                    </pic:cNvPicPr>
                  </pic:nvPicPr>
                  <pic:blipFill>
                    <a:blip r:embed="rId10"/>
                    <a:stretch>
                      <a:fillRect/>
                    </a:stretch>
                  </pic:blipFill>
                  <pic:spPr>
                    <a:xfrm>
                      <a:off x="0" y="0"/>
                      <a:ext cx="4029075" cy="504825"/>
                    </a:xfrm>
                    <a:prstGeom prst="rect">
                      <a:avLst/>
                    </a:prstGeom>
                    <a:noFill/>
                    <a:ln w="9525">
                      <a:noFill/>
                    </a:ln>
                  </pic:spPr>
                </pic:pic>
              </a:graphicData>
            </a:graphic>
          </wp:inline>
        </w:drawing>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式中： △</w:t>
      </w:r>
      <w:r>
        <w:rPr>
          <w:rFonts w:hint="eastAsia" w:ascii="宋体" w:hAnsi="宋体" w:eastAsia="宋体" w:cs="宋体"/>
          <w:i/>
          <w:iCs w:val="0"/>
          <w:color w:val="auto"/>
          <w:kern w:val="2"/>
          <w:sz w:val="21"/>
          <w:szCs w:val="21"/>
          <w:highlight w:val="none"/>
          <w:lang w:val="en-US" w:eastAsia="zh-CN" w:bidi="ar"/>
        </w:rPr>
        <w:t>P</w:t>
      </w:r>
      <w:r>
        <w:rPr>
          <w:rFonts w:hint="eastAsia" w:ascii="宋体" w:hAnsi="宋体" w:eastAsia="宋体" w:cs="宋体"/>
          <w:color w:val="auto"/>
          <w:kern w:val="2"/>
          <w:sz w:val="21"/>
          <w:szCs w:val="21"/>
          <w:highlight w:val="none"/>
          <w:lang w:val="en-US" w:eastAsia="zh-CN" w:bidi="ar"/>
        </w:rPr>
        <w:t xml:space="preserve"> — 需调整的价格差额；</w:t>
      </w:r>
    </w:p>
    <w:p>
      <w:pPr>
        <w:keepNext w:val="0"/>
        <w:keepLines w:val="0"/>
        <w:widowControl w:val="0"/>
        <w:suppressLineNumbers w:val="0"/>
        <w:spacing w:before="0" w:beforeAutospacing="0" w:after="0" w:afterAutospacing="0" w:line="400" w:lineRule="exact"/>
        <w:ind w:left="0" w:right="0" w:firstLine="1155" w:firstLineChars="550"/>
        <w:jc w:val="both"/>
        <w:rPr>
          <w:rFonts w:hint="eastAsia" w:ascii="宋体" w:hAnsi="宋体" w:eastAsia="宋体" w:cs="宋体"/>
          <w:color w:val="auto"/>
          <w:kern w:val="2"/>
          <w:sz w:val="21"/>
          <w:szCs w:val="21"/>
          <w:highlight w:val="none"/>
        </w:rPr>
      </w:pPr>
      <w:r>
        <w:rPr>
          <w:rFonts w:hint="eastAsia" w:ascii="宋体" w:hAnsi="宋体" w:eastAsia="宋体" w:cs="宋体"/>
          <w:i/>
          <w:iCs w:val="0"/>
          <w:color w:val="auto"/>
          <w:kern w:val="2"/>
          <w:sz w:val="21"/>
          <w:szCs w:val="21"/>
          <w:highlight w:val="none"/>
          <w:lang w:val="en-US" w:eastAsia="zh-CN" w:bidi="ar"/>
        </w:rPr>
        <w:t>P</w:t>
      </w:r>
      <w:r>
        <w:rPr>
          <w:rFonts w:hint="eastAsia" w:ascii="宋体" w:hAnsi="宋体" w:eastAsia="宋体" w:cs="宋体"/>
          <w:color w:val="auto"/>
          <w:kern w:val="2"/>
          <w:sz w:val="21"/>
          <w:szCs w:val="21"/>
          <w:highlight w:val="none"/>
          <w:vertAlign w:val="subscript"/>
          <w:lang w:val="en-US" w:eastAsia="zh-CN" w:bidi="ar"/>
        </w:rPr>
        <w:t>0</w:t>
      </w:r>
      <w:r>
        <w:rPr>
          <w:rFonts w:hint="eastAsia" w:ascii="宋体" w:hAnsi="宋体" w:eastAsia="宋体" w:cs="宋体"/>
          <w:color w:val="auto"/>
          <w:kern w:val="2"/>
          <w:sz w:val="21"/>
          <w:szCs w:val="21"/>
          <w:highlight w:val="none"/>
          <w:lang w:val="en-US" w:eastAsia="zh-CN" w:bidi="ar"/>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keepNext w:val="0"/>
        <w:keepLines w:val="0"/>
        <w:widowControl w:val="0"/>
        <w:suppressLineNumbers w:val="0"/>
        <w:spacing w:before="0" w:beforeAutospacing="0" w:after="0" w:afterAutospacing="0" w:line="400" w:lineRule="exact"/>
        <w:ind w:left="0" w:right="0" w:firstLine="1155" w:firstLineChars="550"/>
        <w:jc w:val="both"/>
        <w:rPr>
          <w:rFonts w:hint="eastAsia" w:ascii="宋体" w:hAnsi="宋体" w:eastAsia="宋体" w:cs="宋体"/>
          <w:color w:val="auto"/>
          <w:kern w:val="2"/>
          <w:sz w:val="21"/>
          <w:szCs w:val="21"/>
          <w:highlight w:val="none"/>
        </w:rPr>
      </w:pPr>
      <w:bookmarkStart w:id="1519" w:name="_Toc144974686"/>
      <w:bookmarkEnd w:id="1519"/>
      <w:bookmarkStart w:id="1520" w:name="_Toc152042495"/>
      <w:r>
        <w:rPr>
          <w:rFonts w:hint="eastAsia" w:ascii="宋体" w:hAnsi="宋体" w:eastAsia="宋体" w:cs="宋体"/>
          <w:i/>
          <w:iCs w:val="0"/>
          <w:color w:val="auto"/>
          <w:kern w:val="2"/>
          <w:sz w:val="21"/>
          <w:szCs w:val="21"/>
          <w:highlight w:val="none"/>
          <w:lang w:val="en-US" w:eastAsia="zh-CN" w:bidi="ar"/>
        </w:rPr>
        <w:t>A</w:t>
      </w:r>
      <w:bookmarkEnd w:id="1520"/>
      <w:r>
        <w:rPr>
          <w:rFonts w:hint="eastAsia" w:ascii="宋体" w:hAnsi="宋体" w:eastAsia="宋体" w:cs="宋体"/>
          <w:color w:val="auto"/>
          <w:kern w:val="2"/>
          <w:sz w:val="21"/>
          <w:szCs w:val="21"/>
          <w:highlight w:val="none"/>
          <w:lang w:val="en-US" w:eastAsia="zh-CN" w:bidi="ar"/>
        </w:rPr>
        <w:t xml:space="preserve"> — 定值权重（即不调部分的权重），</w:t>
      </w:r>
      <w:r>
        <w:rPr>
          <w:rFonts w:hint="eastAsia" w:ascii="宋体" w:hAnsi="宋体" w:eastAsia="宋体" w:cs="宋体"/>
          <w:i/>
          <w:iCs w:val="0"/>
          <w:color w:val="auto"/>
          <w:kern w:val="2"/>
          <w:sz w:val="21"/>
          <w:szCs w:val="21"/>
          <w:highlight w:val="none"/>
          <w:lang w:val="en-US" w:eastAsia="zh-CN" w:bidi="ar"/>
        </w:rPr>
        <w:t>A</w:t>
      </w: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i/>
          <w:iCs w:val="0"/>
          <w:color w:val="auto"/>
          <w:kern w:val="2"/>
          <w:sz w:val="21"/>
          <w:szCs w:val="21"/>
          <w:highlight w:val="none"/>
          <w:lang w:val="en-US" w:eastAsia="zh-CN" w:bidi="ar"/>
        </w:rPr>
        <w:t>B</w:t>
      </w:r>
      <w:r>
        <w:rPr>
          <w:rFonts w:hint="eastAsia" w:ascii="宋体" w:hAnsi="宋体" w:eastAsia="宋体" w:cs="宋体"/>
          <w:color w:val="auto"/>
          <w:kern w:val="2"/>
          <w:sz w:val="21"/>
          <w:szCs w:val="21"/>
          <w:highlight w:val="none"/>
          <w:vertAlign w:val="subscript"/>
          <w:lang w:val="en-US" w:eastAsia="zh-CN" w:bidi="ar"/>
        </w:rPr>
        <w:t>1</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i/>
          <w:iCs w:val="0"/>
          <w:color w:val="auto"/>
          <w:kern w:val="2"/>
          <w:sz w:val="21"/>
          <w:szCs w:val="21"/>
          <w:highlight w:val="none"/>
          <w:lang w:val="en-US" w:eastAsia="zh-CN" w:bidi="ar"/>
        </w:rPr>
        <w:t>B</w:t>
      </w:r>
      <w:r>
        <w:rPr>
          <w:rFonts w:hint="eastAsia" w:ascii="宋体" w:hAnsi="宋体" w:eastAsia="宋体" w:cs="宋体"/>
          <w:color w:val="auto"/>
          <w:kern w:val="2"/>
          <w:sz w:val="21"/>
          <w:szCs w:val="21"/>
          <w:highlight w:val="none"/>
          <w:vertAlign w:val="subscript"/>
          <w:lang w:val="en-US" w:eastAsia="zh-CN" w:bidi="ar"/>
        </w:rPr>
        <w:t>2</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i/>
          <w:iCs w:val="0"/>
          <w:color w:val="auto"/>
          <w:kern w:val="2"/>
          <w:sz w:val="21"/>
          <w:szCs w:val="21"/>
          <w:highlight w:val="none"/>
          <w:lang w:val="en-US" w:eastAsia="zh-CN" w:bidi="ar"/>
        </w:rPr>
        <w:t>B</w:t>
      </w:r>
      <w:r>
        <w:rPr>
          <w:rFonts w:hint="eastAsia" w:ascii="宋体" w:hAnsi="宋体" w:eastAsia="宋体" w:cs="宋体"/>
          <w:color w:val="auto"/>
          <w:kern w:val="2"/>
          <w:sz w:val="21"/>
          <w:szCs w:val="21"/>
          <w:highlight w:val="none"/>
          <w:vertAlign w:val="subscript"/>
          <w:lang w:val="en-US" w:eastAsia="zh-CN" w:bidi="ar"/>
        </w:rPr>
        <w:t>3</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i/>
          <w:iCs w:val="0"/>
          <w:color w:val="auto"/>
          <w:kern w:val="2"/>
          <w:sz w:val="21"/>
          <w:szCs w:val="21"/>
          <w:highlight w:val="none"/>
          <w:lang w:val="en-US" w:eastAsia="zh-CN" w:bidi="ar"/>
        </w:rPr>
        <w:t>B</w:t>
      </w:r>
      <w:r>
        <w:rPr>
          <w:rFonts w:hint="eastAsia" w:ascii="宋体" w:hAnsi="宋体" w:eastAsia="宋体" w:cs="宋体"/>
          <w:color w:val="auto"/>
          <w:kern w:val="2"/>
          <w:sz w:val="21"/>
          <w:szCs w:val="21"/>
          <w:highlight w:val="none"/>
          <w:vertAlign w:val="subscript"/>
          <w:lang w:val="en-US" w:eastAsia="zh-CN" w:bidi="ar"/>
        </w:rPr>
        <w:t>n</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400" w:lineRule="exact"/>
        <w:ind w:left="0" w:right="0" w:firstLine="1155" w:firstLineChars="550"/>
        <w:jc w:val="both"/>
        <w:rPr>
          <w:rFonts w:hint="eastAsia" w:ascii="宋体" w:hAnsi="宋体" w:eastAsia="宋体" w:cs="宋体"/>
          <w:color w:val="auto"/>
          <w:kern w:val="2"/>
          <w:sz w:val="21"/>
          <w:szCs w:val="21"/>
          <w:highlight w:val="none"/>
        </w:rPr>
      </w:pPr>
      <w:r>
        <w:rPr>
          <w:rFonts w:hint="eastAsia" w:ascii="宋体" w:hAnsi="宋体" w:eastAsia="宋体" w:cs="宋体"/>
          <w:i/>
          <w:iCs w:val="0"/>
          <w:color w:val="auto"/>
          <w:kern w:val="2"/>
          <w:sz w:val="21"/>
          <w:szCs w:val="21"/>
          <w:highlight w:val="none"/>
          <w:lang w:val="en-US" w:eastAsia="zh-CN" w:bidi="ar"/>
        </w:rPr>
        <w:t>B</w:t>
      </w:r>
      <w:r>
        <w:rPr>
          <w:rFonts w:hint="eastAsia" w:ascii="宋体" w:hAnsi="宋体" w:eastAsia="宋体" w:cs="宋体"/>
          <w:color w:val="auto"/>
          <w:kern w:val="2"/>
          <w:sz w:val="21"/>
          <w:szCs w:val="21"/>
          <w:highlight w:val="none"/>
          <w:vertAlign w:val="subscript"/>
          <w:lang w:val="en-US" w:eastAsia="zh-CN" w:bidi="ar"/>
        </w:rPr>
        <w:t>1</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i/>
          <w:iCs w:val="0"/>
          <w:color w:val="auto"/>
          <w:kern w:val="2"/>
          <w:sz w:val="21"/>
          <w:szCs w:val="21"/>
          <w:highlight w:val="none"/>
          <w:lang w:val="en-US" w:eastAsia="zh-CN" w:bidi="ar"/>
        </w:rPr>
        <w:t>B</w:t>
      </w:r>
      <w:r>
        <w:rPr>
          <w:rFonts w:hint="eastAsia" w:ascii="宋体" w:hAnsi="宋体" w:eastAsia="宋体" w:cs="宋体"/>
          <w:color w:val="auto"/>
          <w:kern w:val="2"/>
          <w:sz w:val="21"/>
          <w:szCs w:val="21"/>
          <w:highlight w:val="none"/>
          <w:vertAlign w:val="subscript"/>
          <w:lang w:val="en-US" w:eastAsia="zh-CN" w:bidi="ar"/>
        </w:rPr>
        <w:t>2</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i/>
          <w:iCs w:val="0"/>
          <w:color w:val="auto"/>
          <w:kern w:val="2"/>
          <w:sz w:val="21"/>
          <w:szCs w:val="21"/>
          <w:highlight w:val="none"/>
          <w:lang w:val="en-US" w:eastAsia="zh-CN" w:bidi="ar"/>
        </w:rPr>
        <w:t>B</w:t>
      </w:r>
      <w:r>
        <w:rPr>
          <w:rFonts w:hint="eastAsia" w:ascii="宋体" w:hAnsi="宋体" w:eastAsia="宋体" w:cs="宋体"/>
          <w:color w:val="auto"/>
          <w:kern w:val="2"/>
          <w:sz w:val="21"/>
          <w:szCs w:val="21"/>
          <w:highlight w:val="none"/>
          <w:vertAlign w:val="subscript"/>
          <w:lang w:val="en-US" w:eastAsia="zh-CN" w:bidi="ar"/>
        </w:rPr>
        <w:t>3</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i/>
          <w:iCs w:val="0"/>
          <w:color w:val="auto"/>
          <w:kern w:val="2"/>
          <w:sz w:val="21"/>
          <w:szCs w:val="21"/>
          <w:highlight w:val="none"/>
          <w:lang w:val="en-US" w:eastAsia="zh-CN" w:bidi="ar"/>
        </w:rPr>
        <w:t>B</w:t>
      </w:r>
      <w:r>
        <w:rPr>
          <w:rFonts w:hint="eastAsia" w:ascii="宋体" w:hAnsi="宋体" w:eastAsia="宋体" w:cs="宋体"/>
          <w:color w:val="auto"/>
          <w:kern w:val="2"/>
          <w:sz w:val="21"/>
          <w:szCs w:val="21"/>
          <w:highlight w:val="none"/>
          <w:vertAlign w:val="subscript"/>
          <w:lang w:val="en-US" w:eastAsia="zh-CN" w:bidi="ar"/>
        </w:rPr>
        <w:t>n</w:t>
      </w:r>
      <w:r>
        <w:rPr>
          <w:rFonts w:hint="eastAsia" w:ascii="宋体" w:hAnsi="宋体" w:eastAsia="宋体" w:cs="宋体"/>
          <w:color w:val="auto"/>
          <w:kern w:val="2"/>
          <w:sz w:val="21"/>
          <w:szCs w:val="21"/>
          <w:highlight w:val="none"/>
          <w:lang w:val="en-US" w:eastAsia="zh-CN" w:bidi="ar"/>
        </w:rPr>
        <w:t xml:space="preserve"> — 各可调因子的变值权重（即可调部分的权重）为各可调因子在投标函投标总报价中所占的比例；</w:t>
      </w:r>
    </w:p>
    <w:p>
      <w:pPr>
        <w:keepNext w:val="0"/>
        <w:keepLines w:val="0"/>
        <w:widowControl w:val="0"/>
        <w:suppressLineNumbers w:val="0"/>
        <w:spacing w:before="0" w:beforeAutospacing="0" w:after="0" w:afterAutospacing="0" w:line="400" w:lineRule="exact"/>
        <w:ind w:left="0" w:right="0" w:firstLine="1155" w:firstLineChars="550"/>
        <w:jc w:val="both"/>
        <w:rPr>
          <w:rFonts w:hint="eastAsia" w:ascii="宋体" w:hAnsi="宋体" w:eastAsia="宋体" w:cs="宋体"/>
          <w:color w:val="auto"/>
          <w:kern w:val="2"/>
          <w:sz w:val="21"/>
          <w:szCs w:val="21"/>
          <w:highlight w:val="none"/>
        </w:rPr>
      </w:pPr>
      <w:r>
        <w:rPr>
          <w:rFonts w:hint="eastAsia" w:ascii="宋体" w:hAnsi="宋体" w:eastAsia="宋体" w:cs="宋体"/>
          <w:i/>
          <w:iCs w:val="0"/>
          <w:color w:val="auto"/>
          <w:kern w:val="2"/>
          <w:sz w:val="21"/>
          <w:szCs w:val="21"/>
          <w:highlight w:val="none"/>
          <w:lang w:val="en-US" w:eastAsia="zh-CN" w:bidi="ar"/>
        </w:rPr>
        <w:t>F</w:t>
      </w:r>
      <w:r>
        <w:rPr>
          <w:rFonts w:hint="eastAsia" w:ascii="宋体" w:hAnsi="宋体" w:eastAsia="宋体" w:cs="宋体"/>
          <w:color w:val="auto"/>
          <w:kern w:val="2"/>
          <w:sz w:val="21"/>
          <w:szCs w:val="21"/>
          <w:highlight w:val="none"/>
          <w:vertAlign w:val="subscript"/>
          <w:lang w:val="en-US" w:eastAsia="zh-CN" w:bidi="ar"/>
        </w:rPr>
        <w:t>t1</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i/>
          <w:iCs w:val="0"/>
          <w:color w:val="auto"/>
          <w:kern w:val="2"/>
          <w:sz w:val="21"/>
          <w:szCs w:val="21"/>
          <w:highlight w:val="none"/>
          <w:lang w:val="en-US" w:eastAsia="zh-CN" w:bidi="ar"/>
        </w:rPr>
        <w:t>F</w:t>
      </w:r>
      <w:r>
        <w:rPr>
          <w:rFonts w:hint="eastAsia" w:ascii="宋体" w:hAnsi="宋体" w:eastAsia="宋体" w:cs="宋体"/>
          <w:color w:val="auto"/>
          <w:kern w:val="2"/>
          <w:sz w:val="21"/>
          <w:szCs w:val="21"/>
          <w:highlight w:val="none"/>
          <w:vertAlign w:val="subscript"/>
          <w:lang w:val="en-US" w:eastAsia="zh-CN" w:bidi="ar"/>
        </w:rPr>
        <w:t>t2</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i/>
          <w:iCs w:val="0"/>
          <w:color w:val="auto"/>
          <w:kern w:val="2"/>
          <w:sz w:val="21"/>
          <w:szCs w:val="21"/>
          <w:highlight w:val="none"/>
          <w:lang w:val="en-US" w:eastAsia="zh-CN" w:bidi="ar"/>
        </w:rPr>
        <w:t>F</w:t>
      </w:r>
      <w:r>
        <w:rPr>
          <w:rFonts w:hint="eastAsia" w:ascii="宋体" w:hAnsi="宋体" w:eastAsia="宋体" w:cs="宋体"/>
          <w:color w:val="auto"/>
          <w:kern w:val="2"/>
          <w:sz w:val="21"/>
          <w:szCs w:val="21"/>
          <w:highlight w:val="none"/>
          <w:vertAlign w:val="subscript"/>
          <w:lang w:val="en-US" w:eastAsia="zh-CN" w:bidi="ar"/>
        </w:rPr>
        <w:t>t3</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i/>
          <w:iCs w:val="0"/>
          <w:color w:val="auto"/>
          <w:kern w:val="2"/>
          <w:sz w:val="21"/>
          <w:szCs w:val="21"/>
          <w:highlight w:val="none"/>
          <w:lang w:val="en-US" w:eastAsia="zh-CN" w:bidi="ar"/>
        </w:rPr>
        <w:t>F</w:t>
      </w:r>
      <w:r>
        <w:rPr>
          <w:rFonts w:hint="eastAsia" w:ascii="宋体" w:hAnsi="宋体" w:eastAsia="宋体" w:cs="宋体"/>
          <w:color w:val="auto"/>
          <w:kern w:val="2"/>
          <w:sz w:val="21"/>
          <w:szCs w:val="21"/>
          <w:highlight w:val="none"/>
          <w:vertAlign w:val="subscript"/>
          <w:lang w:val="en-US" w:eastAsia="zh-CN" w:bidi="ar"/>
        </w:rPr>
        <w:t>tn</w:t>
      </w:r>
      <w:r>
        <w:rPr>
          <w:rFonts w:hint="eastAsia" w:ascii="宋体" w:hAnsi="宋体" w:eastAsia="宋体" w:cs="宋体"/>
          <w:color w:val="auto"/>
          <w:kern w:val="2"/>
          <w:sz w:val="21"/>
          <w:szCs w:val="21"/>
          <w:highlight w:val="none"/>
          <w:lang w:val="en-US" w:eastAsia="zh-CN" w:bidi="ar"/>
        </w:rPr>
        <w:t xml:space="preserve"> — 各可调因子的现行价格指数，指第17.3.3项、第17.5.2项和第17.6.2项约定的付款证书相关周期最后一天的前42天的各可调因子的价格指数；</w:t>
      </w:r>
    </w:p>
    <w:p>
      <w:pPr>
        <w:keepNext w:val="0"/>
        <w:keepLines w:val="0"/>
        <w:widowControl w:val="0"/>
        <w:suppressLineNumbers w:val="0"/>
        <w:spacing w:before="0" w:beforeAutospacing="0" w:after="0" w:afterAutospacing="0" w:line="400" w:lineRule="exact"/>
        <w:ind w:left="0" w:right="0" w:firstLine="1155" w:firstLineChars="550"/>
        <w:jc w:val="both"/>
        <w:rPr>
          <w:rFonts w:hint="eastAsia" w:ascii="宋体" w:hAnsi="宋体" w:eastAsia="宋体" w:cs="宋体"/>
          <w:color w:val="auto"/>
          <w:kern w:val="2"/>
          <w:sz w:val="21"/>
          <w:szCs w:val="21"/>
          <w:highlight w:val="none"/>
        </w:rPr>
      </w:pPr>
      <w:r>
        <w:rPr>
          <w:rFonts w:hint="eastAsia" w:ascii="宋体" w:hAnsi="宋体" w:eastAsia="宋体" w:cs="宋体"/>
          <w:i/>
          <w:iCs w:val="0"/>
          <w:color w:val="auto"/>
          <w:kern w:val="2"/>
          <w:sz w:val="21"/>
          <w:szCs w:val="21"/>
          <w:highlight w:val="none"/>
          <w:lang w:val="en-US" w:eastAsia="zh-CN" w:bidi="ar"/>
        </w:rPr>
        <w:t>F</w:t>
      </w:r>
      <w:r>
        <w:rPr>
          <w:rFonts w:hint="eastAsia" w:ascii="宋体" w:hAnsi="宋体" w:eastAsia="宋体" w:cs="宋体"/>
          <w:color w:val="auto"/>
          <w:kern w:val="2"/>
          <w:sz w:val="21"/>
          <w:szCs w:val="21"/>
          <w:highlight w:val="none"/>
          <w:vertAlign w:val="subscript"/>
          <w:lang w:val="en-US" w:eastAsia="zh-CN" w:bidi="ar"/>
        </w:rPr>
        <w:t>01</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i/>
          <w:iCs w:val="0"/>
          <w:color w:val="auto"/>
          <w:kern w:val="2"/>
          <w:sz w:val="21"/>
          <w:szCs w:val="21"/>
          <w:highlight w:val="none"/>
          <w:lang w:val="en-US" w:eastAsia="zh-CN" w:bidi="ar"/>
        </w:rPr>
        <w:t>F</w:t>
      </w:r>
      <w:r>
        <w:rPr>
          <w:rFonts w:hint="eastAsia" w:ascii="宋体" w:hAnsi="宋体" w:eastAsia="宋体" w:cs="宋体"/>
          <w:color w:val="auto"/>
          <w:kern w:val="2"/>
          <w:sz w:val="21"/>
          <w:szCs w:val="21"/>
          <w:highlight w:val="none"/>
          <w:vertAlign w:val="subscript"/>
          <w:lang w:val="en-US" w:eastAsia="zh-CN" w:bidi="ar"/>
        </w:rPr>
        <w:t>02</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i/>
          <w:iCs w:val="0"/>
          <w:color w:val="auto"/>
          <w:kern w:val="2"/>
          <w:sz w:val="21"/>
          <w:szCs w:val="21"/>
          <w:highlight w:val="none"/>
          <w:lang w:val="en-US" w:eastAsia="zh-CN" w:bidi="ar"/>
        </w:rPr>
        <w:t>F</w:t>
      </w:r>
      <w:r>
        <w:rPr>
          <w:rFonts w:hint="eastAsia" w:ascii="宋体" w:hAnsi="宋体" w:eastAsia="宋体" w:cs="宋体"/>
          <w:color w:val="auto"/>
          <w:kern w:val="2"/>
          <w:sz w:val="21"/>
          <w:szCs w:val="21"/>
          <w:highlight w:val="none"/>
          <w:vertAlign w:val="subscript"/>
          <w:lang w:val="en-US" w:eastAsia="zh-CN" w:bidi="ar"/>
        </w:rPr>
        <w:t>03</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i/>
          <w:iCs w:val="0"/>
          <w:color w:val="auto"/>
          <w:kern w:val="2"/>
          <w:sz w:val="21"/>
          <w:szCs w:val="21"/>
          <w:highlight w:val="none"/>
          <w:lang w:val="en-US" w:eastAsia="zh-CN" w:bidi="ar"/>
        </w:rPr>
        <w:t>F</w:t>
      </w:r>
      <w:r>
        <w:rPr>
          <w:rFonts w:hint="eastAsia" w:ascii="宋体" w:hAnsi="宋体" w:eastAsia="宋体" w:cs="宋体"/>
          <w:color w:val="auto"/>
          <w:kern w:val="2"/>
          <w:sz w:val="21"/>
          <w:szCs w:val="21"/>
          <w:highlight w:val="none"/>
          <w:vertAlign w:val="subscript"/>
          <w:lang w:val="en-US" w:eastAsia="zh-CN" w:bidi="ar"/>
        </w:rPr>
        <w:t>0n</w:t>
      </w:r>
      <w:r>
        <w:rPr>
          <w:rFonts w:hint="eastAsia" w:ascii="宋体" w:hAnsi="宋体" w:eastAsia="宋体" w:cs="宋体"/>
          <w:color w:val="auto"/>
          <w:kern w:val="2"/>
          <w:sz w:val="21"/>
          <w:szCs w:val="21"/>
          <w:highlight w:val="none"/>
          <w:lang w:val="en-US" w:eastAsia="zh-CN" w:bidi="ar"/>
        </w:rPr>
        <w:t xml:space="preserve"> — 各可调因子的基本价格指数，指基准日期的各可调因子的价格指数。</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以上价格调整公式中的各可调因子、定值权重，以及基本价格指数及其来源，由发包人在投标函附录价格指数和权重表中约定。价格指数应首先采用国家或省、市价格有关部门或统计部门提供的价格指数，缺乏上述价格指数时，可采用上述部门提供的价格代替。</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16.1.1.2  暂时确定调整差额</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在计算调整差额时得不到现行价格指数的，可暂用上一次价格指数计算，并在以后的付款中再按实际价格指数进行调整。</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16.1.1.3  权重的调整</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按第15.1款约定的变更导致原定合同中的权重不合理时，由监理人与承包人和发包人协商后进行调整。</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16.1.1.4  承包人工期延误后的价格调整</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16.1.2  采用造价信息调整价格差额</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521" w:name="_Toc152042496"/>
      <w:bookmarkEnd w:id="1521"/>
      <w:bookmarkStart w:id="1522" w:name="_Toc282779071"/>
      <w:bookmarkEnd w:id="1522"/>
      <w:bookmarkStart w:id="1523" w:name="_Toc282787520"/>
      <w:bookmarkEnd w:id="1523"/>
      <w:bookmarkStart w:id="1524" w:name="_Toc283794268"/>
      <w:bookmarkEnd w:id="1524"/>
      <w:bookmarkStart w:id="1525" w:name="_Toc282779580"/>
      <w:bookmarkEnd w:id="1525"/>
      <w:bookmarkStart w:id="1526" w:name="_Toc152045717"/>
      <w:bookmarkEnd w:id="1526"/>
      <w:bookmarkStart w:id="1527" w:name="_Toc288491596"/>
      <w:bookmarkEnd w:id="1527"/>
      <w:bookmarkStart w:id="1528" w:name="_Toc144974688"/>
      <w:bookmarkEnd w:id="1528"/>
      <w:bookmarkStart w:id="1529" w:name="_Toc237923896"/>
      <w:bookmarkEnd w:id="1529"/>
      <w:bookmarkStart w:id="1530" w:name="_Toc287853420"/>
      <w:bookmarkEnd w:id="1530"/>
      <w:bookmarkStart w:id="1531" w:name="_Toc179632735"/>
      <w:r>
        <w:rPr>
          <w:rFonts w:hint="eastAsia" w:ascii="宋体" w:hAnsi="宋体" w:eastAsia="宋体" w:cs="宋体"/>
          <w:color w:val="auto"/>
          <w:kern w:val="2"/>
          <w:sz w:val="21"/>
          <w:szCs w:val="21"/>
          <w:highlight w:val="none"/>
          <w:lang w:val="en-US" w:eastAsia="zh-CN" w:bidi="ar"/>
        </w:rPr>
        <w:t>16.2  法律变化引起的价格调整</w:t>
      </w:r>
      <w:bookmarkEnd w:id="1531"/>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1532" w:name="_Toc29607"/>
      <w:bookmarkEnd w:id="1532"/>
      <w:bookmarkStart w:id="1533" w:name="_Toc2954"/>
      <w:bookmarkEnd w:id="1533"/>
      <w:bookmarkStart w:id="1534" w:name="_Toc22181"/>
      <w:bookmarkEnd w:id="1534"/>
      <w:bookmarkStart w:id="1535" w:name="_Toc514936617"/>
      <w:bookmarkEnd w:id="1535"/>
      <w:bookmarkStart w:id="1536" w:name="_Toc152042497"/>
      <w:bookmarkEnd w:id="1536"/>
      <w:bookmarkStart w:id="1537" w:name="_Toc288491597"/>
      <w:bookmarkEnd w:id="1537"/>
      <w:bookmarkStart w:id="1538" w:name="_Toc283794269"/>
      <w:bookmarkEnd w:id="1538"/>
      <w:bookmarkStart w:id="1539" w:name="_Toc144974689"/>
      <w:bookmarkEnd w:id="1539"/>
      <w:bookmarkStart w:id="1540" w:name="_Toc6047"/>
      <w:bookmarkEnd w:id="1540"/>
      <w:bookmarkStart w:id="1541" w:name="_Toc237923897"/>
      <w:bookmarkEnd w:id="1541"/>
      <w:bookmarkStart w:id="1542" w:name="_Toc282787521"/>
      <w:bookmarkEnd w:id="1542"/>
      <w:bookmarkStart w:id="1543" w:name="_Toc23160"/>
      <w:bookmarkEnd w:id="1543"/>
      <w:bookmarkStart w:id="1544" w:name="_Toc118378088"/>
      <w:bookmarkEnd w:id="1544"/>
      <w:bookmarkStart w:id="1545" w:name="_Toc179632736"/>
      <w:bookmarkEnd w:id="1545"/>
      <w:bookmarkStart w:id="1546" w:name="_Toc282779581"/>
      <w:bookmarkEnd w:id="1546"/>
      <w:bookmarkStart w:id="1547" w:name="_Toc23920"/>
      <w:bookmarkEnd w:id="1547"/>
      <w:bookmarkStart w:id="1548" w:name="_Toc26629"/>
      <w:bookmarkEnd w:id="1548"/>
      <w:bookmarkStart w:id="1549" w:name="_Toc24435"/>
      <w:bookmarkEnd w:id="1549"/>
      <w:bookmarkStart w:id="1550" w:name="_Toc4000"/>
      <w:bookmarkEnd w:id="1550"/>
      <w:bookmarkStart w:id="1551" w:name="_Toc7896"/>
      <w:bookmarkEnd w:id="1551"/>
      <w:bookmarkStart w:id="1552" w:name="_Toc152045718"/>
      <w:bookmarkEnd w:id="1552"/>
      <w:bookmarkStart w:id="1553" w:name="_Toc21744"/>
      <w:bookmarkEnd w:id="1553"/>
      <w:bookmarkStart w:id="1554" w:name="_Toc20907"/>
      <w:bookmarkEnd w:id="1554"/>
      <w:bookmarkStart w:id="1555" w:name="_Toc27442"/>
      <w:bookmarkEnd w:id="1555"/>
      <w:bookmarkStart w:id="1556" w:name="_Toc287853421"/>
      <w:bookmarkEnd w:id="1556"/>
      <w:bookmarkStart w:id="1557" w:name="_Toc282779072"/>
      <w:r>
        <w:rPr>
          <w:rFonts w:hint="eastAsia" w:ascii="宋体" w:hAnsi="宋体" w:eastAsia="宋体" w:cs="宋体"/>
          <w:color w:val="auto"/>
          <w:kern w:val="2"/>
          <w:sz w:val="21"/>
          <w:szCs w:val="21"/>
          <w:highlight w:val="none"/>
          <w:lang w:val="en-US" w:eastAsia="zh-CN" w:bidi="ar"/>
        </w:rPr>
        <w:t>17．计量与支付</w:t>
      </w:r>
      <w:bookmarkEnd w:id="1557"/>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558" w:name="_Toc282779582"/>
      <w:bookmarkEnd w:id="1558"/>
      <w:bookmarkStart w:id="1559" w:name="_Toc288491598"/>
      <w:bookmarkEnd w:id="1559"/>
      <w:bookmarkStart w:id="1560" w:name="_Toc144974690"/>
      <w:bookmarkEnd w:id="1560"/>
      <w:bookmarkStart w:id="1561" w:name="_Toc282779073"/>
      <w:bookmarkEnd w:id="1561"/>
      <w:bookmarkStart w:id="1562" w:name="_Toc179632737"/>
      <w:bookmarkEnd w:id="1562"/>
      <w:bookmarkStart w:id="1563" w:name="_Toc283794270"/>
      <w:bookmarkEnd w:id="1563"/>
      <w:bookmarkStart w:id="1564" w:name="_Toc282787522"/>
      <w:bookmarkEnd w:id="1564"/>
      <w:bookmarkStart w:id="1565" w:name="_Toc152042498"/>
      <w:bookmarkEnd w:id="1565"/>
      <w:bookmarkStart w:id="1566" w:name="_Toc237923898"/>
      <w:bookmarkEnd w:id="1566"/>
      <w:bookmarkStart w:id="1567" w:name="_Toc152045719"/>
      <w:bookmarkEnd w:id="1567"/>
      <w:bookmarkStart w:id="1568" w:name="_Toc287853422"/>
      <w:r>
        <w:rPr>
          <w:rFonts w:hint="eastAsia" w:ascii="宋体" w:hAnsi="宋体" w:eastAsia="宋体" w:cs="宋体"/>
          <w:color w:val="auto"/>
          <w:kern w:val="2"/>
          <w:sz w:val="21"/>
          <w:szCs w:val="21"/>
          <w:highlight w:val="none"/>
          <w:lang w:val="en-US" w:eastAsia="zh-CN" w:bidi="ar"/>
        </w:rPr>
        <w:t>17.1  计量</w:t>
      </w:r>
      <w:bookmarkEnd w:id="1568"/>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17.1.1  计量单位</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计量采用国家法定的计量单位。</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17.1.2  计量方法（适用于小修保养工程）</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小修保养工程的总承包项目，须经发包人或公路行发包人管部门进行的养护检查和考核，如对本合同养护工程质量目标能达标（或基本达标）的，发包人可以进行小修保养季（年）度总承包养护价款的支付。</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专项养护工程的工程计量以工程细目的实际完成工程量按量计价，并经验收合格进行工程的计量。</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承包人应与发包人共同参与对专项养护工程的计量，提供计量所需的详细资料和必要的人员、设备及相关的记录或者图纸。</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17.1.2  计量方法（适用于大中修养护工程）</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工程的计量以净値为准，除非项目专用合同条款另有约定。工程量清单値各个子目的具体计量方法按本合同文件技术规范中的规定执行。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17.1.3  计量周期</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除专用合同条款另有约定外，单价子目已完成工程量按月计量，总价子目的计量周期按批准的支付分解报告确定。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17.1.4  单价子目的计量</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（1）已标价工程量清单中的单价子目工程量为估算工程量。结算工程量是承包人实际完成的，并按合同约定的计量方法进行计量的工程量。</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（2）承包人对已完成的工程进行计量，向监理人提交进度付款申请单、已完成工程量报表和有关计量资料。</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（4）监理人认为有必要时，可通知承包人共同进行联合测量、计量，承包人应遵照执行。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（7）承包人未在已标价工程量清单中填入单价或总额价的工程子目，将被认为其已包含在本合同的其他子目的单价和总额价中，发包人将不另行支付。</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工程量清单中的工程量计算规则应按有关国家标准、行业标准的规定，并在合同中约定执行。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17.1.5  总价子目的计量</w:t>
      </w:r>
    </w:p>
    <w:p>
      <w:pPr>
        <w:keepNext w:val="0"/>
        <w:keepLines w:val="0"/>
        <w:widowControl w:val="0"/>
        <w:suppressLineNumbers w:val="0"/>
        <w:spacing w:before="0" w:beforeAutospacing="0" w:after="0" w:afterAutospacing="0" w:line="400" w:lineRule="exact"/>
        <w:ind w:left="0" w:right="0" w:firstLine="630" w:firstLineChars="3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除专用合同条款另有约定外，总价子目的分解和计量按照下述约定进行。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（1）总价子目的计量和支付应以总价为基础，不因第16.1款中的因素而进行调整。承包人实际完成的工程量，是进行工程目标管理和控制进度支付的依据。</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（3）监理人对承包人提交的上述资料进行复核，以确定分阶段实际完成的工程量和工程形象目标。对其有异议的，可要求承包人按第8.2款约定进行共同复核和抽样复测。</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（4）除按照第15条约定的变更外，总价子目的工程量是承包人用于结算的最终工程量。</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569" w:name="_Toc288491599"/>
      <w:bookmarkEnd w:id="1569"/>
      <w:bookmarkStart w:id="1570" w:name="_Toc282787523"/>
      <w:bookmarkEnd w:id="1570"/>
      <w:bookmarkStart w:id="1571" w:name="_Toc283794271"/>
      <w:bookmarkEnd w:id="1571"/>
      <w:bookmarkStart w:id="1572" w:name="_Toc237923899"/>
      <w:bookmarkEnd w:id="1572"/>
      <w:bookmarkStart w:id="1573" w:name="_Toc287853423"/>
      <w:bookmarkEnd w:id="1573"/>
      <w:bookmarkStart w:id="1574" w:name="_Toc282779583"/>
      <w:bookmarkEnd w:id="1574"/>
      <w:bookmarkStart w:id="1575" w:name="_Toc144974691"/>
      <w:bookmarkEnd w:id="1575"/>
      <w:bookmarkStart w:id="1576" w:name="_Toc179632738"/>
      <w:bookmarkEnd w:id="1576"/>
      <w:bookmarkStart w:id="1577" w:name="_Toc282779074"/>
      <w:bookmarkEnd w:id="1577"/>
      <w:bookmarkStart w:id="1578" w:name="_Toc152045720"/>
      <w:bookmarkEnd w:id="1578"/>
      <w:bookmarkStart w:id="1579" w:name="_Toc152042499"/>
      <w:r>
        <w:rPr>
          <w:rFonts w:hint="eastAsia" w:ascii="宋体" w:hAnsi="宋体" w:eastAsia="宋体" w:cs="宋体"/>
          <w:color w:val="auto"/>
          <w:kern w:val="2"/>
          <w:sz w:val="21"/>
          <w:szCs w:val="21"/>
          <w:highlight w:val="none"/>
          <w:lang w:val="en-US" w:eastAsia="zh-CN" w:bidi="ar"/>
        </w:rPr>
        <w:t>17.2  预付款</w:t>
      </w:r>
      <w:bookmarkEnd w:id="1579"/>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17.2.1  预付款</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预付款用于承包人为合同工程施工购置材料、工程设备、施工设备、修建临时设施以及组织施工队伍进场等。</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预付款包括开工预付款和材料预付款。具体额度和预付办法如下：</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开工预付款的金额在项目专用合同条款数据表中约定。在承包人签订了合同协议书并提交了开工预付款保函后，监理人应在当期进度付款证书中向承包人支付开工预付款的70%的价款；在承包人承诺的主要设备进场后，再支付预付款的30%。</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（2）材料预付款按项目专用合同条款数据表中所列主要材料单据费用（进口的材料、设备为到岸价，国内采购的为出厂价或销售价，地方材料为堆场价）的百分比支付。其预付条件为：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a．材料符合规范要求并经监理人认可；</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b．承包人已出具材料费用凭证或支付单据；</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c．材料已在现场交货，且存储良好，监理人认为材料的存储方法符合要求。</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则监理人应将此项金额作为材料预付款计入下一次的进度付款证书中。在预计交工前3个月，将不再支付材料、设备预付款。</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17.2.2  预付款保函</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除项目专用合同条款另有约定外，承包人应在收到开工预付款前向发包人提交开工预付款保函，开工预付款保函的担保金额应与开工预付款金额相同。出具保函的银行须与第4.2款的要求相同，所需费用由承包人承担。银行保函的正本由发包人保存，该保函在发包人将开工预付款全部扣回之前一直有效，担保金额可根据开工预付款扣回的金额相应递减。</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17.2.3  预付款的扣回与还清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预付款扣回办法在专用合同条款中约定。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累计金额达到签约合同价的80%时扣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（2）当材料已用于养护工程之中时，材料预付款应从进度付款证书中扣回，扣回期不超过3个月。已经支付材料预付款的材料的所有权应属于发包人。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在颁发工程接收证书前，由于不可抗力或其他原因解除合同时，预付款尚未扣清的，尚未扣清的预付款余额应作为承包人的到期应付款。</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580" w:name="_Toc288491600"/>
      <w:bookmarkEnd w:id="1580"/>
      <w:bookmarkStart w:id="1581" w:name="_Toc152045721"/>
      <w:bookmarkEnd w:id="1581"/>
      <w:bookmarkStart w:id="1582" w:name="_Toc282787524"/>
      <w:bookmarkEnd w:id="1582"/>
      <w:bookmarkStart w:id="1583" w:name="_Toc237923900"/>
      <w:bookmarkEnd w:id="1583"/>
      <w:bookmarkStart w:id="1584" w:name="_Toc282779584"/>
      <w:bookmarkEnd w:id="1584"/>
      <w:bookmarkStart w:id="1585" w:name="_Toc152042500"/>
      <w:bookmarkEnd w:id="1585"/>
      <w:bookmarkStart w:id="1586" w:name="_Toc283794272"/>
      <w:bookmarkEnd w:id="1586"/>
      <w:bookmarkStart w:id="1587" w:name="_Toc287853424"/>
      <w:bookmarkEnd w:id="1587"/>
      <w:bookmarkStart w:id="1588" w:name="_Toc144974692"/>
      <w:bookmarkEnd w:id="1588"/>
      <w:bookmarkStart w:id="1589" w:name="_Toc179632739"/>
      <w:bookmarkEnd w:id="1589"/>
      <w:bookmarkStart w:id="1590" w:name="_Toc282779075"/>
      <w:r>
        <w:rPr>
          <w:rFonts w:hint="eastAsia" w:ascii="宋体" w:hAnsi="宋体" w:eastAsia="宋体" w:cs="宋体"/>
          <w:color w:val="auto"/>
          <w:kern w:val="2"/>
          <w:sz w:val="21"/>
          <w:szCs w:val="21"/>
          <w:highlight w:val="none"/>
          <w:lang w:val="en-US" w:eastAsia="zh-CN" w:bidi="ar"/>
        </w:rPr>
        <w:t>17.3  工程进度付款</w:t>
      </w:r>
      <w:bookmarkEnd w:id="1590"/>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17.3.1  付款周期</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付款周期同计量周期。</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17.3.2  进度付款申请单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trike w:val="0"/>
          <w:dstrike/>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承包人应在每个付款周期末，按监理人批准的格式和专用合同条款约定的份数，向监理人提交进度付款申请单，并附相应的支持性证明文件。除专用合同条款另有约定外，进度付款申请单应包括下列内容：</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（1）截至本次付款周期末已实施工程的价款；</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（2）根据第15条应增加和扣减的变更金额；</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（3）根据第23条应增加和扣减的索赔金额；</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（4）根据第17.2款约定应支付的预付款和扣减的返还预付款；</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（5）根据第17.4.1项约定应扣减的质量保证金；</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（6）根据合同应增加和扣减的其他金额。</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17.3.3  进度付款证书和支付时间</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（2）小修保养年度总承包的养护工程价款的支付按以下办法进行：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a．以小修保养年度总承包的工程价款支付，以签约合同总价分季度按比例支付，第1个季度</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%、第2个季度</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%、第3个季度</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%……。以每季首月的前15日内支付。</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b．在支付第1</w:t>
      </w:r>
      <w:r>
        <w:rPr>
          <w:rFonts w:hint="eastAsia" w:ascii="宋体" w:hAnsi="宋体" w:eastAsia="宋体" w:cs="宋体"/>
          <w:color w:val="auto"/>
          <w:kern w:val="2"/>
          <w:sz w:val="21"/>
          <w:szCs w:val="21"/>
          <w:highlight w:val="none"/>
          <w:lang w:val="en-US" w:eastAsia="zh-CN" w:bidi="ar"/>
        </w:rPr>
        <w:t>个季度</w:t>
      </w:r>
      <w:r>
        <w:rPr>
          <w:rFonts w:hint="eastAsia" w:ascii="宋体" w:hAnsi="宋体" w:eastAsia="宋体" w:cs="宋体"/>
          <w:color w:val="auto"/>
          <w:kern w:val="0"/>
          <w:sz w:val="21"/>
          <w:szCs w:val="21"/>
          <w:highlight w:val="none"/>
          <w:lang w:val="en-US" w:eastAsia="zh-CN" w:bidi="ar"/>
        </w:rPr>
        <w:t>工程价款时，应扣除发包人代为承包人缴纳而存入银行“保证金专用存款账户”的“农民工工资支付保证金”（签约合同总价的2%，每个标段最高不超过300万元）。</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c．专项养护工程的养护合同工程价款，经发包人以各工程子目的计量并经验收合格后，与总承包养护项目工程价款合并按季支付。</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d．承包人应填按季支付结账单报发包人审批。按季结算支付的中期支付证书应包括材料预付款按规定扣回的款额。</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e．</w:t>
      </w:r>
      <w:r>
        <w:rPr>
          <w:rFonts w:hint="eastAsia" w:ascii="宋体" w:hAnsi="宋体" w:eastAsia="宋体" w:cs="宋体"/>
          <w:color w:val="auto"/>
          <w:kern w:val="0"/>
          <w:sz w:val="21"/>
          <w:szCs w:val="21"/>
          <w:highlight w:val="none"/>
          <w:lang w:val="en-US" w:eastAsia="zh-CN" w:bidi="ar"/>
        </w:rPr>
        <w:t>承包人应按月如实向发包人报送项目的农民工工资支付情况。承包人没有按时报送农民工工资支付情况的，发包人将暂缓支付当季应支付的工程价款。</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（2）大中修养护工程价款的支付按以下办法进行：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（3）发包人应在监理人收到进度付款申请单后的28天内，将进度应付款支付给承包人。发包人不按期支付的，按专用合同条款的约定支付逾期付款违约金。</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发包人不按期支付的，按项目专用合同条款数据表中约定的利率向承包人支付逾期付款违约金。违约金计算基数为发包人的全部未付款额，时间从应付而未付该款额之日算起（不计复利）。</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（4）监理人出具进度付款证书，不应视为监理人已同意、批准或接受了承包人完成的该部分工作。</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（5）进度付款涉及政府投资资金的，按照国库集中支付等国家相关规定和专用合同条款的约定办理。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17.3.4  工程进度付款的修正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在对以往历次已签发的进度付款证书进行汇总和复核中发现错、漏或重复的，监理人有权予以修正，承包人也有权提出修正申请。经双方复核同意的修正，应在本次进度付款中支付或扣除。</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591" w:name="_Toc152045722"/>
      <w:bookmarkEnd w:id="1591"/>
      <w:bookmarkStart w:id="1592" w:name="_Toc283794273"/>
      <w:bookmarkEnd w:id="1592"/>
      <w:bookmarkStart w:id="1593" w:name="_Toc282787525"/>
      <w:bookmarkEnd w:id="1593"/>
      <w:bookmarkStart w:id="1594" w:name="_Toc287853425"/>
      <w:bookmarkEnd w:id="1594"/>
      <w:bookmarkStart w:id="1595" w:name="_Toc179632740"/>
      <w:bookmarkEnd w:id="1595"/>
      <w:bookmarkStart w:id="1596" w:name="_Toc282779076"/>
      <w:bookmarkEnd w:id="1596"/>
      <w:bookmarkStart w:id="1597" w:name="_Toc152042501"/>
      <w:bookmarkEnd w:id="1597"/>
      <w:bookmarkStart w:id="1598" w:name="_Toc237923901"/>
      <w:bookmarkEnd w:id="1598"/>
      <w:bookmarkStart w:id="1599" w:name="_Toc288491601"/>
      <w:bookmarkEnd w:id="1599"/>
      <w:bookmarkStart w:id="1600" w:name="_Toc144974693"/>
      <w:bookmarkEnd w:id="1600"/>
      <w:bookmarkStart w:id="1601" w:name="_Toc282779585"/>
      <w:r>
        <w:rPr>
          <w:rFonts w:hint="eastAsia" w:ascii="宋体" w:hAnsi="宋体" w:eastAsia="宋体" w:cs="宋体"/>
          <w:color w:val="auto"/>
          <w:kern w:val="2"/>
          <w:sz w:val="21"/>
          <w:szCs w:val="21"/>
          <w:highlight w:val="none"/>
          <w:lang w:val="en-US" w:eastAsia="zh-CN" w:bidi="ar"/>
        </w:rPr>
        <w:t xml:space="preserve">17.4 </w:t>
      </w:r>
      <w:bookmarkEnd w:id="1601"/>
      <w:r>
        <w:rPr>
          <w:rFonts w:hint="eastAsia" w:ascii="宋体" w:hAnsi="宋体" w:eastAsia="宋体" w:cs="宋体"/>
          <w:color w:val="auto"/>
          <w:kern w:val="2"/>
          <w:sz w:val="21"/>
          <w:szCs w:val="21"/>
          <w:highlight w:val="none"/>
          <w:lang w:val="en-US" w:eastAsia="zh-CN" w:bidi="ar"/>
        </w:rPr>
        <w:t xml:space="preserve"> 质量保证金</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17.4.1 监理人应从第一个付款周期开始，在发包人的进度付款中，按项目专用合同条款数据表规定的百分比扣留质量保证金，直至扣留的质量保证金总额达到项目专用合同条款数据表规定的限额为止。质量保证金的计算额度不包括预付款的支付以及扣回的金额。</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602" w:name="_Toc288491602"/>
      <w:bookmarkEnd w:id="1602"/>
      <w:bookmarkStart w:id="1603" w:name="_Toc287853426"/>
      <w:bookmarkEnd w:id="1603"/>
      <w:bookmarkStart w:id="1604" w:name="_Toc179632741"/>
      <w:bookmarkEnd w:id="1604"/>
      <w:bookmarkStart w:id="1605" w:name="_Toc144974694"/>
      <w:bookmarkEnd w:id="1605"/>
      <w:bookmarkStart w:id="1606" w:name="_Toc282787526"/>
      <w:bookmarkEnd w:id="1606"/>
      <w:bookmarkStart w:id="1607" w:name="_Toc237923902"/>
      <w:bookmarkEnd w:id="1607"/>
      <w:bookmarkStart w:id="1608" w:name="_Toc152042502"/>
      <w:bookmarkEnd w:id="1608"/>
      <w:bookmarkStart w:id="1609" w:name="_Toc283794274"/>
      <w:bookmarkEnd w:id="1609"/>
      <w:bookmarkStart w:id="1610" w:name="_Toc152045723"/>
      <w:bookmarkEnd w:id="1610"/>
      <w:bookmarkStart w:id="1611" w:name="_Toc282779586"/>
      <w:bookmarkEnd w:id="1611"/>
      <w:bookmarkStart w:id="1612" w:name="_Toc282779077"/>
      <w:r>
        <w:rPr>
          <w:rFonts w:hint="eastAsia" w:ascii="宋体" w:hAnsi="宋体" w:eastAsia="宋体" w:cs="宋体"/>
          <w:color w:val="auto"/>
          <w:kern w:val="2"/>
          <w:sz w:val="21"/>
          <w:szCs w:val="21"/>
          <w:highlight w:val="none"/>
          <w:lang w:val="en-US" w:eastAsia="zh-CN" w:bidi="ar"/>
        </w:rPr>
        <w:t>17.5  交（竣）工结算</w:t>
      </w:r>
      <w:bookmarkEnd w:id="1612"/>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17.5.1  交工付款申请单（适用于小修保养工程）</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（1）承包人向监理人提交交工付款申请单（包括相关证明材料）的份数在项目专用合同条款数据表中约定；期限：交工验收证书签发后42天内。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工程接收证书颁发后，承包人应按专用合同条款约定的份数和期限向监理人提交工付款申请单，并提供相关证明材料。除专用合同条款另有约定外，交工付款申请单应包括下列内容：交工结算合同总价、发包人已支付承包人的工程价款、应扣留的质量保证金、应支付的交工付款金额。</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（3）监理人对交工付款申请单有异议的，有权要求承包人进行修正和提供补充资料。经监理人和承包人协商后，由承包人向监理人提交修正后的交工付款申请单。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17.5.2  竣工付款证书及支付时间</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（2）发包人应在监理人出具竣工付款证书后的14天内，将应支付款支付给承包人。发包人不按期支付的，按第17.3.3（2）目的约定，将逾期付款违约金支付给承包人。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（3）承包人对发包人签认的竣工付款证书有异议的，发包人可出具竣工付款申请单中承包人已同意部分的临时付款证书。存在争议的部分，按第24条的约定办理。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（4）竣工付款涉及政府投资资金的，按第17.3.3（4）目的约定办理。</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613" w:name="_Toc287853427"/>
      <w:bookmarkEnd w:id="1613"/>
      <w:bookmarkStart w:id="1614" w:name="_Toc282787527"/>
      <w:bookmarkEnd w:id="1614"/>
      <w:bookmarkStart w:id="1615" w:name="_Toc282779587"/>
      <w:bookmarkEnd w:id="1615"/>
      <w:bookmarkStart w:id="1616" w:name="_Toc282779078"/>
      <w:bookmarkEnd w:id="1616"/>
      <w:bookmarkStart w:id="1617" w:name="_Toc283794275"/>
      <w:bookmarkEnd w:id="1617"/>
      <w:bookmarkStart w:id="1618" w:name="_Toc288491603"/>
      <w:bookmarkEnd w:id="1618"/>
      <w:bookmarkStart w:id="1619" w:name="_Toc152042503"/>
      <w:bookmarkEnd w:id="1619"/>
      <w:bookmarkStart w:id="1620" w:name="_Toc237923903"/>
      <w:bookmarkEnd w:id="1620"/>
      <w:bookmarkStart w:id="1621" w:name="_Toc179632742"/>
      <w:bookmarkEnd w:id="1621"/>
      <w:bookmarkStart w:id="1622" w:name="_Toc144974695"/>
      <w:bookmarkEnd w:id="1622"/>
      <w:bookmarkStart w:id="1623" w:name="_Toc152045724"/>
      <w:r>
        <w:rPr>
          <w:rFonts w:hint="eastAsia" w:ascii="宋体" w:hAnsi="宋体" w:eastAsia="宋体" w:cs="宋体"/>
          <w:color w:val="auto"/>
          <w:kern w:val="2"/>
          <w:sz w:val="21"/>
          <w:szCs w:val="21"/>
          <w:highlight w:val="none"/>
          <w:lang w:val="en-US" w:eastAsia="zh-CN" w:bidi="ar"/>
        </w:rPr>
        <w:t>17.6  最终结清</w:t>
      </w:r>
      <w:bookmarkEnd w:id="162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17.6.1  最终结清申请单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（1）缺陷责任期终止证书签发后，承包人可按专用合同条款约定的份数和期限向监理人提交最终结清申请单，并提供相关证明材料。</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承包人向监理人提交最终结清申请单（包括相关证明材料）的份数在项目专用合同条款数据表中约定；期限：缺陷责任期终止证书签发后28天内。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最终结清申请单中的总金额应认为是代表了根据合同规定应付给承包人的全部款项的最后结算。</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（2）发包人对最终结清申请单内容有异议的，有权要求承包人进行修正和提供补充资料，由承包人向监理人提交修正后的最终结清申请单。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17.6.2  最终结清证书和支付时间</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（2）发包人应在监理人出具最终结清证书后的14天内，将应支付款支付给承包人。发包人不按期支付的，按第17.3.3（2）目的约定，将逾期付款违约金支付给承包人。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（3）承包人对发包人签认的最终结清证书有异议的，按第24条的约定办理。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（4）最终结清付款涉及政府投资资金的，按第17.3.3（4）目的约定办理。</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1624" w:name="_Toc237923904"/>
      <w:bookmarkEnd w:id="1624"/>
      <w:bookmarkStart w:id="1625" w:name="_Toc9566"/>
      <w:bookmarkEnd w:id="1625"/>
      <w:bookmarkStart w:id="1626" w:name="_Toc14491"/>
      <w:bookmarkEnd w:id="1626"/>
      <w:bookmarkStart w:id="1627" w:name="_Toc514936618"/>
      <w:bookmarkEnd w:id="1627"/>
      <w:bookmarkStart w:id="1628" w:name="_Toc152042504"/>
      <w:bookmarkEnd w:id="1628"/>
      <w:bookmarkStart w:id="1629" w:name="_Toc13231"/>
      <w:bookmarkEnd w:id="1629"/>
      <w:bookmarkStart w:id="1630" w:name="_Toc25335"/>
      <w:bookmarkEnd w:id="1630"/>
      <w:bookmarkStart w:id="1631" w:name="_Toc287853428"/>
      <w:bookmarkEnd w:id="1631"/>
      <w:bookmarkStart w:id="1632" w:name="_Toc6494"/>
      <w:bookmarkEnd w:id="1632"/>
      <w:bookmarkStart w:id="1633" w:name="_Toc152045725"/>
      <w:bookmarkEnd w:id="1633"/>
      <w:bookmarkStart w:id="1634" w:name="_Toc282787528"/>
      <w:bookmarkEnd w:id="1634"/>
      <w:bookmarkStart w:id="1635" w:name="_Toc7864"/>
      <w:bookmarkEnd w:id="1635"/>
      <w:bookmarkStart w:id="1636" w:name="_Toc144974696"/>
      <w:bookmarkEnd w:id="1636"/>
      <w:bookmarkStart w:id="1637" w:name="_Toc3707"/>
      <w:bookmarkEnd w:id="1637"/>
      <w:bookmarkStart w:id="1638" w:name="_Toc282779588"/>
      <w:bookmarkEnd w:id="1638"/>
      <w:bookmarkStart w:id="1639" w:name="_Toc5391"/>
      <w:bookmarkEnd w:id="1639"/>
      <w:bookmarkStart w:id="1640" w:name="_Toc283794276"/>
      <w:bookmarkEnd w:id="1640"/>
      <w:bookmarkStart w:id="1641" w:name="_Toc118378089"/>
      <w:bookmarkEnd w:id="1641"/>
      <w:bookmarkStart w:id="1642" w:name="_Toc288491604"/>
      <w:bookmarkEnd w:id="1642"/>
      <w:bookmarkStart w:id="1643" w:name="_Toc13298"/>
      <w:bookmarkEnd w:id="1643"/>
      <w:bookmarkStart w:id="1644" w:name="_Toc26821"/>
      <w:bookmarkEnd w:id="1644"/>
      <w:bookmarkStart w:id="1645" w:name="_Toc10401"/>
      <w:bookmarkEnd w:id="1645"/>
      <w:bookmarkStart w:id="1646" w:name="_Toc282779079"/>
      <w:bookmarkEnd w:id="1646"/>
      <w:bookmarkStart w:id="1647" w:name="_Toc29473"/>
      <w:bookmarkEnd w:id="1647"/>
      <w:bookmarkStart w:id="1648" w:name="_Toc31779"/>
      <w:bookmarkEnd w:id="1648"/>
      <w:bookmarkStart w:id="1649" w:name="_Toc179632743"/>
      <w:r>
        <w:rPr>
          <w:rFonts w:hint="eastAsia" w:ascii="宋体" w:hAnsi="宋体" w:eastAsia="宋体" w:cs="宋体"/>
          <w:color w:val="auto"/>
          <w:kern w:val="2"/>
          <w:sz w:val="21"/>
          <w:szCs w:val="21"/>
          <w:highlight w:val="none"/>
          <w:lang w:val="en-US" w:eastAsia="zh-CN" w:bidi="ar"/>
        </w:rPr>
        <w:t>18．交（竣）工验收</w:t>
      </w:r>
      <w:bookmarkEnd w:id="1649"/>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650" w:name="_Toc287853429"/>
      <w:bookmarkEnd w:id="1650"/>
      <w:bookmarkStart w:id="1651" w:name="_Toc283794277"/>
      <w:bookmarkEnd w:id="1651"/>
      <w:bookmarkStart w:id="1652" w:name="_Toc152042505"/>
      <w:bookmarkEnd w:id="1652"/>
      <w:bookmarkStart w:id="1653" w:name="_Toc144974697"/>
      <w:bookmarkEnd w:id="1653"/>
      <w:bookmarkStart w:id="1654" w:name="_Toc288491605"/>
      <w:bookmarkEnd w:id="1654"/>
      <w:bookmarkStart w:id="1655" w:name="_Toc282787529"/>
      <w:bookmarkEnd w:id="1655"/>
      <w:bookmarkStart w:id="1656" w:name="_Toc282779589"/>
      <w:bookmarkEnd w:id="1656"/>
      <w:bookmarkStart w:id="1657" w:name="_Toc282779080"/>
      <w:bookmarkEnd w:id="1657"/>
      <w:bookmarkStart w:id="1658" w:name="_Toc237923905"/>
      <w:bookmarkEnd w:id="1658"/>
      <w:bookmarkStart w:id="1659" w:name="_Toc152045726"/>
      <w:bookmarkEnd w:id="1659"/>
      <w:bookmarkStart w:id="1660" w:name="_Toc179632744"/>
      <w:r>
        <w:rPr>
          <w:rFonts w:hint="eastAsia" w:ascii="宋体" w:hAnsi="宋体" w:eastAsia="宋体" w:cs="宋体"/>
          <w:color w:val="auto"/>
          <w:kern w:val="2"/>
          <w:sz w:val="21"/>
          <w:szCs w:val="21"/>
          <w:highlight w:val="none"/>
          <w:lang w:val="en-US" w:eastAsia="zh-CN" w:bidi="ar"/>
        </w:rPr>
        <w:t>18.1  交（竣）工验收的含义</w:t>
      </w:r>
      <w:bookmarkEnd w:id="1660"/>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18.1.1  交（竣）工验收指承包人完成了全部合同工作后，发包人按合同要求进行的验收。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18.1.2  国家验收是政府有关部门根据法律、规范、规程和政策要求，针对发包人全面组织实施的整个工程正式交付投运前的验收。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18.1.3  小修保养工程的养护项目，经公路养护主管部门批准可交竣工合并为一次交工验收。</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661" w:name="_Toc179632745"/>
      <w:bookmarkEnd w:id="1661"/>
      <w:bookmarkStart w:id="1662" w:name="_Toc144974698"/>
      <w:bookmarkEnd w:id="1662"/>
      <w:bookmarkStart w:id="1663" w:name="_Toc282779590"/>
      <w:bookmarkEnd w:id="1663"/>
      <w:bookmarkStart w:id="1664" w:name="_Toc282779081"/>
      <w:bookmarkEnd w:id="1664"/>
      <w:bookmarkStart w:id="1665" w:name="_Toc287853430"/>
      <w:bookmarkEnd w:id="1665"/>
      <w:bookmarkStart w:id="1666" w:name="_Toc237923906"/>
      <w:bookmarkEnd w:id="1666"/>
      <w:bookmarkStart w:id="1667" w:name="_Toc152042506"/>
      <w:bookmarkEnd w:id="1667"/>
      <w:bookmarkStart w:id="1668" w:name="_Toc152045727"/>
      <w:bookmarkEnd w:id="1668"/>
      <w:bookmarkStart w:id="1669" w:name="_Toc282787530"/>
      <w:bookmarkEnd w:id="1669"/>
      <w:bookmarkStart w:id="1670" w:name="_Toc283794278"/>
      <w:bookmarkEnd w:id="1670"/>
      <w:bookmarkStart w:id="1671" w:name="_Toc288491606"/>
      <w:r>
        <w:rPr>
          <w:rFonts w:hint="eastAsia" w:ascii="宋体" w:hAnsi="宋体" w:eastAsia="宋体" w:cs="宋体"/>
          <w:color w:val="auto"/>
          <w:kern w:val="2"/>
          <w:sz w:val="21"/>
          <w:szCs w:val="21"/>
          <w:highlight w:val="none"/>
          <w:lang w:val="en-US" w:eastAsia="zh-CN" w:bidi="ar"/>
        </w:rPr>
        <w:t>18.2  交（竣）工验收申请报告</w:t>
      </w:r>
      <w:bookmarkEnd w:id="1671"/>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当工程具备以下条件时，承包人即可向监理人报送竣工验收申请报告：</w:t>
      </w:r>
    </w:p>
    <w:p>
      <w:pPr>
        <w:keepNext w:val="0"/>
        <w:keepLines w:val="0"/>
        <w:widowControl w:val="0"/>
        <w:suppressLineNumbers w:val="0"/>
        <w:spacing w:before="0" w:beforeAutospacing="0" w:after="0" w:afterAutospacing="0" w:line="400" w:lineRule="exact"/>
        <w:ind w:left="0" w:right="0" w:firstLine="359" w:firstLineChars="171"/>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（1）除监理人同意列入缺陷责任期内完成的尾工（甩项）工程和缺陷修补工作外，合同范围内的全部单位工程以及有关工作，包括合同要求的试验、试运行以及检验和验收均已完成，并符合合同要求；</w:t>
      </w:r>
    </w:p>
    <w:p>
      <w:pPr>
        <w:keepNext w:val="0"/>
        <w:keepLines w:val="0"/>
        <w:widowControl w:val="0"/>
        <w:suppressLineNumbers w:val="0"/>
        <w:spacing w:before="0" w:beforeAutospacing="0" w:after="0" w:afterAutospacing="0" w:line="400" w:lineRule="exact"/>
        <w:ind w:left="0" w:right="0" w:firstLine="359" w:firstLineChars="171"/>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（2）已按合同约定的内容和份数备齐了符合要求的竣工资料；</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竣工资料的内容：承包人应按照《浙江省公路大中修工程交（竣）工文件编制办法（试行）》（浙江省公路管理局 浙公路［2005］51号）的规定，编制竣工图表和施工资料。</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竣工资料的份数在项目专用合同条款数据表中约定。</w:t>
      </w:r>
    </w:p>
    <w:p>
      <w:pPr>
        <w:keepNext w:val="0"/>
        <w:keepLines w:val="0"/>
        <w:widowControl w:val="0"/>
        <w:suppressLineNumbers w:val="0"/>
        <w:spacing w:before="0" w:beforeAutospacing="0" w:after="0" w:afterAutospacing="0" w:line="400" w:lineRule="exact"/>
        <w:ind w:left="0" w:right="0" w:firstLine="359" w:firstLineChars="171"/>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（3）已按监理人的要求编制了在缺陷责任期内完成的尾工（甩项）工程和缺陷修补工作清单以及相应施工计划；</w:t>
      </w:r>
    </w:p>
    <w:p>
      <w:pPr>
        <w:keepNext w:val="0"/>
        <w:keepLines w:val="0"/>
        <w:widowControl w:val="0"/>
        <w:suppressLineNumbers w:val="0"/>
        <w:spacing w:before="0" w:beforeAutospacing="0" w:after="0" w:afterAutospacing="0" w:line="400" w:lineRule="exact"/>
        <w:ind w:left="0" w:right="0" w:firstLine="359" w:firstLineChars="171"/>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（4）监理人要求在竣工验收前应完成的其他工作；</w:t>
      </w:r>
    </w:p>
    <w:p>
      <w:pPr>
        <w:keepNext w:val="0"/>
        <w:keepLines w:val="0"/>
        <w:widowControl w:val="0"/>
        <w:suppressLineNumbers w:val="0"/>
        <w:spacing w:before="0" w:beforeAutospacing="0" w:after="0" w:afterAutospacing="0" w:line="400" w:lineRule="exact"/>
        <w:ind w:left="0" w:right="0" w:firstLine="359" w:firstLineChars="171"/>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（5）监理人要求提交的竣工验收资料清单。</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672" w:name="_Toc152045728"/>
      <w:bookmarkEnd w:id="1672"/>
      <w:bookmarkStart w:id="1673" w:name="_Toc282779082"/>
      <w:bookmarkEnd w:id="1673"/>
      <w:bookmarkStart w:id="1674" w:name="_Toc152042507"/>
      <w:bookmarkEnd w:id="1674"/>
      <w:bookmarkStart w:id="1675" w:name="_Toc283794279"/>
      <w:bookmarkEnd w:id="1675"/>
      <w:bookmarkStart w:id="1676" w:name="_Toc288491607"/>
      <w:bookmarkEnd w:id="1676"/>
      <w:bookmarkStart w:id="1677" w:name="_Toc237923907"/>
      <w:bookmarkEnd w:id="1677"/>
      <w:bookmarkStart w:id="1678" w:name="_Toc282779591"/>
      <w:bookmarkEnd w:id="1678"/>
      <w:bookmarkStart w:id="1679" w:name="_Toc179632746"/>
      <w:bookmarkEnd w:id="1679"/>
      <w:bookmarkStart w:id="1680" w:name="_Toc144974699"/>
      <w:bookmarkEnd w:id="1680"/>
      <w:bookmarkStart w:id="1681" w:name="_Toc282787531"/>
      <w:bookmarkEnd w:id="1681"/>
      <w:bookmarkStart w:id="1682" w:name="_Toc287853431"/>
      <w:r>
        <w:rPr>
          <w:rFonts w:hint="eastAsia" w:ascii="宋体" w:hAnsi="宋体" w:eastAsia="宋体" w:cs="宋体"/>
          <w:color w:val="auto"/>
          <w:kern w:val="2"/>
          <w:sz w:val="21"/>
          <w:szCs w:val="21"/>
          <w:highlight w:val="none"/>
          <w:lang w:val="en-US" w:eastAsia="zh-CN" w:bidi="ar"/>
        </w:rPr>
        <w:t>18.3  验收</w:t>
      </w:r>
      <w:bookmarkEnd w:id="1682"/>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监理人收到承包人按第18.2款约定提交的竣工验收申请报告后，应审查申请报告的各项内容，并按以下不同情况进行处理。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18.3.2  监理人审查后认为已具备竣工验收条件的，应在收到竣工验收申请报告后的28天内提请发包人进行工程验收。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交工验收由发包人主持，由发包人、监理人、质监、管理养护等有关部门代表组成交工验收小组，对本项目的养护工程质量进行评定，并写出交工验收报告报公路主管部门备案。承包人应按发包人的要求提交竣工资料，完成交工验收准备工作。</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18.3.3  发包人经过验收后同意接受工程的，应在监理人收到交（竣）工验收申请报告后的56天内，由监理人向承包人出具经发包人签认的工程接收证书。发包人验收后同意接收工程但提出整修和完善要求的，限期修好，并颁发工程接收证书。整修和完善工作完成后，监理人复查达到要求的，经发包人同意后，再向承包人出具工程接收证书。</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交（竣）工验收申请报告，按第18.3.1项、第18.3.2项和第18.3.3项的约定进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18.3.5  除专用合同条款另有约定外，经验收合格工程的实际交（竣）工日期，以提交交（竣）工验收申请报告的日期为准，并在工程接收证书中写明。</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经验收合格工程的实际交工日期，以最终提交交工验收申请报告的日期为准，并在交工验收证书中写明。</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18.3.6  发包人在收到承包人交（竣）工验收申请报告56天后未进行验收的，视为验收合格，实际竣工日期以提交交（竣）工验收申请报告的日期为准，但发包人由于不可抗力不能进行验收的除外。</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18.3.7  组织办理交（竣）工验收和签发交（竣）工验收证书的费用由发包人承担。但按照第18.3.4项规定达不到合格标准的交（竣）工验收费用由承包人承担。</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683" w:name="_Toc288491608"/>
      <w:bookmarkEnd w:id="1683"/>
      <w:bookmarkStart w:id="1684" w:name="_Toc152042508"/>
      <w:bookmarkEnd w:id="1684"/>
      <w:bookmarkStart w:id="1685" w:name="_Toc179632747"/>
      <w:bookmarkEnd w:id="1685"/>
      <w:bookmarkStart w:id="1686" w:name="_Toc152045729"/>
      <w:bookmarkEnd w:id="1686"/>
      <w:bookmarkStart w:id="1687" w:name="_Toc287853432"/>
      <w:bookmarkEnd w:id="1687"/>
      <w:bookmarkStart w:id="1688" w:name="_Toc282779592"/>
      <w:bookmarkEnd w:id="1688"/>
      <w:bookmarkStart w:id="1689" w:name="_Toc282779083"/>
      <w:bookmarkEnd w:id="1689"/>
      <w:bookmarkStart w:id="1690" w:name="_Toc283794280"/>
      <w:bookmarkEnd w:id="1690"/>
      <w:bookmarkStart w:id="1691" w:name="_Toc237923908"/>
      <w:bookmarkEnd w:id="1691"/>
      <w:bookmarkStart w:id="1692" w:name="_Toc144974700"/>
      <w:bookmarkEnd w:id="1692"/>
      <w:bookmarkStart w:id="1693" w:name="_Toc282787532"/>
      <w:r>
        <w:rPr>
          <w:rFonts w:hint="eastAsia" w:ascii="宋体" w:hAnsi="宋体" w:eastAsia="宋体" w:cs="宋体"/>
          <w:color w:val="auto"/>
          <w:kern w:val="2"/>
          <w:sz w:val="21"/>
          <w:szCs w:val="21"/>
          <w:highlight w:val="none"/>
          <w:lang w:val="en-US" w:eastAsia="zh-CN" w:bidi="ar"/>
        </w:rPr>
        <w:t>18.4  单位工程验收</w:t>
      </w:r>
      <w:bookmarkEnd w:id="169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18.4.2  发包人在全部工程竣工前，使用已接收的单位工程导致承包人费用增加的，发包人应承担由此增加的费用和（或）工期延误，并支付承包人合理利润。</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694" w:name="_Toc152042509"/>
      <w:bookmarkEnd w:id="1694"/>
      <w:bookmarkStart w:id="1695" w:name="_Toc152045730"/>
      <w:bookmarkEnd w:id="1695"/>
      <w:bookmarkStart w:id="1696" w:name="_Toc144974701"/>
      <w:bookmarkEnd w:id="1696"/>
      <w:bookmarkStart w:id="1697" w:name="_Toc288491609"/>
      <w:bookmarkEnd w:id="1697"/>
      <w:bookmarkStart w:id="1698" w:name="_Toc282779593"/>
      <w:bookmarkEnd w:id="1698"/>
      <w:bookmarkStart w:id="1699" w:name="_Toc179632748"/>
      <w:bookmarkEnd w:id="1699"/>
      <w:bookmarkStart w:id="1700" w:name="_Toc287853433"/>
      <w:bookmarkEnd w:id="1700"/>
      <w:bookmarkStart w:id="1701" w:name="_Toc282779084"/>
      <w:bookmarkEnd w:id="1701"/>
      <w:bookmarkStart w:id="1702" w:name="_Toc237923909"/>
      <w:bookmarkEnd w:id="1702"/>
      <w:bookmarkStart w:id="1703" w:name="_Toc283794281"/>
      <w:bookmarkEnd w:id="1703"/>
      <w:bookmarkStart w:id="1704" w:name="_Toc282787533"/>
      <w:r>
        <w:rPr>
          <w:rFonts w:hint="eastAsia" w:ascii="宋体" w:hAnsi="宋体" w:eastAsia="宋体" w:cs="宋体"/>
          <w:color w:val="auto"/>
          <w:kern w:val="2"/>
          <w:sz w:val="21"/>
          <w:szCs w:val="21"/>
          <w:highlight w:val="none"/>
          <w:lang w:val="en-US" w:eastAsia="zh-CN" w:bidi="ar"/>
        </w:rPr>
        <w:t>18.5  施工期运行</w:t>
      </w:r>
      <w:bookmarkEnd w:id="170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18.5.2  在施工期运行中发现工程或工程设备损坏或存在缺陷的，由承包人按第19.2款约定进行修复。</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705" w:name="_Toc282779594"/>
      <w:bookmarkEnd w:id="1705"/>
      <w:bookmarkStart w:id="1706" w:name="_Toc282787534"/>
      <w:bookmarkEnd w:id="1706"/>
      <w:bookmarkStart w:id="1707" w:name="_Toc144974702"/>
      <w:bookmarkEnd w:id="1707"/>
      <w:bookmarkStart w:id="1708" w:name="_Toc152042510"/>
      <w:bookmarkEnd w:id="1708"/>
      <w:bookmarkStart w:id="1709" w:name="_Toc287853434"/>
      <w:bookmarkEnd w:id="1709"/>
      <w:bookmarkStart w:id="1710" w:name="_Toc237923910"/>
      <w:bookmarkEnd w:id="1710"/>
      <w:bookmarkStart w:id="1711" w:name="_Toc283794282"/>
      <w:bookmarkEnd w:id="1711"/>
      <w:bookmarkStart w:id="1712" w:name="_Toc282779085"/>
      <w:bookmarkEnd w:id="1712"/>
      <w:bookmarkStart w:id="1713" w:name="_Toc288491610"/>
      <w:bookmarkEnd w:id="1713"/>
      <w:bookmarkStart w:id="1714" w:name="_Toc152045731"/>
      <w:bookmarkEnd w:id="1714"/>
      <w:bookmarkStart w:id="1715" w:name="_Toc179632749"/>
      <w:r>
        <w:rPr>
          <w:rFonts w:hint="eastAsia" w:ascii="宋体" w:hAnsi="宋体" w:eastAsia="宋体" w:cs="宋体"/>
          <w:color w:val="auto"/>
          <w:kern w:val="2"/>
          <w:sz w:val="21"/>
          <w:szCs w:val="21"/>
          <w:highlight w:val="none"/>
          <w:lang w:val="en-US" w:eastAsia="zh-CN" w:bidi="ar"/>
        </w:rPr>
        <w:t>18.6  试运行</w:t>
      </w:r>
      <w:bookmarkEnd w:id="1715"/>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18.6.1  除专用合同条款另有约定外，承包人应按专用合同条款约定进行工程及工程设备试运行，负责提供试运行所需的人员、器材和必要的条件，并承担全部试运行费用。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716" w:name="_Toc288491611"/>
      <w:bookmarkEnd w:id="1716"/>
      <w:bookmarkStart w:id="1717" w:name="_Toc144974703"/>
      <w:bookmarkEnd w:id="1717"/>
      <w:bookmarkStart w:id="1718" w:name="_Toc282779595"/>
      <w:bookmarkEnd w:id="1718"/>
      <w:bookmarkStart w:id="1719" w:name="_Toc152045732"/>
      <w:bookmarkEnd w:id="1719"/>
      <w:bookmarkStart w:id="1720" w:name="_Toc283794283"/>
      <w:bookmarkEnd w:id="1720"/>
      <w:bookmarkStart w:id="1721" w:name="_Toc287853435"/>
      <w:bookmarkEnd w:id="1721"/>
      <w:bookmarkStart w:id="1722" w:name="_Toc282787535"/>
      <w:bookmarkEnd w:id="1722"/>
      <w:bookmarkStart w:id="1723" w:name="_Toc152042511"/>
      <w:bookmarkEnd w:id="1723"/>
      <w:bookmarkStart w:id="1724" w:name="_Toc237923911"/>
      <w:bookmarkEnd w:id="1724"/>
      <w:bookmarkStart w:id="1725" w:name="_Toc179632750"/>
      <w:bookmarkEnd w:id="1725"/>
      <w:bookmarkStart w:id="1726" w:name="_Toc282779086"/>
      <w:r>
        <w:rPr>
          <w:rFonts w:hint="eastAsia" w:ascii="宋体" w:hAnsi="宋体" w:eastAsia="宋体" w:cs="宋体"/>
          <w:color w:val="auto"/>
          <w:kern w:val="2"/>
          <w:sz w:val="21"/>
          <w:szCs w:val="21"/>
          <w:highlight w:val="none"/>
          <w:lang w:val="en-US" w:eastAsia="zh-CN" w:bidi="ar"/>
        </w:rPr>
        <w:t>18.7  竣工清场</w:t>
      </w:r>
      <w:bookmarkEnd w:id="1726"/>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18.7.1 除合同另有约定外，工程接收证书颁发后，承包人应按以下要求对施工场地进行清理，直至监理人检验合格为止。竣工清场费用由承包人承担。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（1）施工场地内残留的垃圾已全部清除出场；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（2）临时工程已拆除，场地已按合同要求进行清理、平整或复原；</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（3）按合同约定应撤离的承包人设备和剩余的材料，包括废弃的施工设备和材料，已按计划撤离施工场地；</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（4）工程建筑物周边及其附近道路、河道的施工堆积物，已按监理人指示全部清理；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（5）监理人指示的其他场地清理工作已全部完成。</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18.7.2  承包人未按监理人的要求恢复临时占地，或者场地清理未达到合同约定的，发包人有权委托其他人恢复或清理，所发生的金额从拟支付给承包人的款项中扣除。</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727" w:name="_Toc237923912"/>
      <w:bookmarkEnd w:id="1727"/>
      <w:bookmarkStart w:id="1728" w:name="_Toc287853436"/>
      <w:bookmarkEnd w:id="1728"/>
      <w:bookmarkStart w:id="1729" w:name="_Toc288491612"/>
      <w:bookmarkEnd w:id="1729"/>
      <w:bookmarkStart w:id="1730" w:name="_Toc283794284"/>
      <w:bookmarkEnd w:id="1730"/>
      <w:bookmarkStart w:id="1731" w:name="_Toc152045733"/>
      <w:bookmarkEnd w:id="1731"/>
      <w:bookmarkStart w:id="1732" w:name="_Toc152042512"/>
      <w:bookmarkEnd w:id="1732"/>
      <w:bookmarkStart w:id="1733" w:name="_Toc282787536"/>
      <w:bookmarkEnd w:id="1733"/>
      <w:bookmarkStart w:id="1734" w:name="_Toc282779087"/>
      <w:bookmarkEnd w:id="1734"/>
      <w:bookmarkStart w:id="1735" w:name="_Toc282779596"/>
      <w:bookmarkEnd w:id="1735"/>
      <w:bookmarkStart w:id="1736" w:name="_Toc179632751"/>
      <w:bookmarkEnd w:id="1736"/>
      <w:bookmarkStart w:id="1737" w:name="_Toc144974704"/>
      <w:r>
        <w:rPr>
          <w:rFonts w:hint="eastAsia" w:ascii="宋体" w:hAnsi="宋体" w:eastAsia="宋体" w:cs="宋体"/>
          <w:color w:val="auto"/>
          <w:kern w:val="2"/>
          <w:sz w:val="21"/>
          <w:szCs w:val="21"/>
          <w:highlight w:val="none"/>
          <w:lang w:val="en-US" w:eastAsia="zh-CN" w:bidi="ar"/>
        </w:rPr>
        <w:t>18.8  施工队伍的撤离</w:t>
      </w:r>
      <w:bookmarkEnd w:id="1737"/>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738" w:name="_Toc282779597"/>
      <w:bookmarkEnd w:id="1738"/>
      <w:bookmarkStart w:id="1739" w:name="_Toc282787537"/>
      <w:bookmarkEnd w:id="1739"/>
      <w:bookmarkStart w:id="1740" w:name="_Toc287853437"/>
      <w:bookmarkEnd w:id="1740"/>
      <w:bookmarkStart w:id="1741" w:name="_Toc283794285"/>
      <w:bookmarkEnd w:id="1741"/>
      <w:bookmarkStart w:id="1742" w:name="_Toc288491613"/>
      <w:bookmarkEnd w:id="1742"/>
      <w:bookmarkStart w:id="1743" w:name="_Toc282779088"/>
      <w:r>
        <w:rPr>
          <w:rFonts w:hint="eastAsia" w:ascii="宋体" w:hAnsi="宋体" w:eastAsia="宋体" w:cs="宋体"/>
          <w:color w:val="auto"/>
          <w:kern w:val="2"/>
          <w:sz w:val="21"/>
          <w:szCs w:val="21"/>
          <w:highlight w:val="none"/>
          <w:lang w:val="en-US" w:eastAsia="zh-CN" w:bidi="ar"/>
        </w:rPr>
        <w:t>18.9  交（竣）工文件</w:t>
      </w:r>
      <w:bookmarkEnd w:id="174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承包人应按照《公路工程交竣工验收办法》的相关规定，在缺陷责任期内为竣工验收补充竣工资料，并在签发缺陷责任期终止证书之前提交。</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1744" w:name="_Toc282787538"/>
      <w:bookmarkEnd w:id="1744"/>
      <w:bookmarkStart w:id="1745" w:name="_Toc30200"/>
      <w:bookmarkEnd w:id="1745"/>
      <w:bookmarkStart w:id="1746" w:name="_Toc1916"/>
      <w:bookmarkEnd w:id="1746"/>
      <w:bookmarkStart w:id="1747" w:name="_Toc282779089"/>
      <w:bookmarkEnd w:id="1747"/>
      <w:bookmarkStart w:id="1748" w:name="_Toc237923913"/>
      <w:bookmarkEnd w:id="1748"/>
      <w:bookmarkStart w:id="1749" w:name="_Toc29364"/>
      <w:bookmarkEnd w:id="1749"/>
      <w:bookmarkStart w:id="1750" w:name="_Toc5584"/>
      <w:bookmarkEnd w:id="1750"/>
      <w:bookmarkStart w:id="1751" w:name="_Toc3020"/>
      <w:bookmarkEnd w:id="1751"/>
      <w:bookmarkStart w:id="1752" w:name="_Toc32010"/>
      <w:bookmarkEnd w:id="1752"/>
      <w:bookmarkStart w:id="1753" w:name="_Toc287853438"/>
      <w:bookmarkEnd w:id="1753"/>
      <w:bookmarkStart w:id="1754" w:name="_Toc282779598"/>
      <w:bookmarkEnd w:id="1754"/>
      <w:bookmarkStart w:id="1755" w:name="_Toc29092"/>
      <w:bookmarkEnd w:id="1755"/>
      <w:bookmarkStart w:id="1756" w:name="_Toc20758"/>
      <w:bookmarkEnd w:id="1756"/>
      <w:bookmarkStart w:id="1757" w:name="_Toc283794286"/>
      <w:bookmarkEnd w:id="1757"/>
      <w:bookmarkStart w:id="1758" w:name="_Toc13733"/>
      <w:bookmarkEnd w:id="1758"/>
      <w:bookmarkStart w:id="1759" w:name="_Toc118378090"/>
      <w:bookmarkEnd w:id="1759"/>
      <w:bookmarkStart w:id="1760" w:name="_Toc25689"/>
      <w:bookmarkEnd w:id="1760"/>
      <w:bookmarkStart w:id="1761" w:name="_Toc144974705"/>
      <w:bookmarkEnd w:id="1761"/>
      <w:bookmarkStart w:id="1762" w:name="_Toc514936619"/>
      <w:bookmarkEnd w:id="1762"/>
      <w:bookmarkStart w:id="1763" w:name="_Toc152045734"/>
      <w:bookmarkEnd w:id="1763"/>
      <w:bookmarkStart w:id="1764" w:name="_Toc18634"/>
      <w:bookmarkEnd w:id="1764"/>
      <w:bookmarkStart w:id="1765" w:name="_Toc4927"/>
      <w:bookmarkEnd w:id="1765"/>
      <w:bookmarkStart w:id="1766" w:name="_Toc179632752"/>
      <w:bookmarkEnd w:id="1766"/>
      <w:bookmarkStart w:id="1767" w:name="_Toc1672"/>
      <w:bookmarkEnd w:id="1767"/>
      <w:bookmarkStart w:id="1768" w:name="_Toc288491614"/>
      <w:bookmarkEnd w:id="1768"/>
      <w:bookmarkStart w:id="1769" w:name="_Toc152042513"/>
      <w:r>
        <w:rPr>
          <w:rFonts w:hint="eastAsia" w:ascii="宋体" w:hAnsi="宋体" w:eastAsia="宋体" w:cs="宋体"/>
          <w:color w:val="auto"/>
          <w:kern w:val="2"/>
          <w:sz w:val="21"/>
          <w:szCs w:val="21"/>
          <w:highlight w:val="none"/>
          <w:lang w:val="en-US" w:eastAsia="zh-CN" w:bidi="ar"/>
        </w:rPr>
        <w:t>19．缺陷责任与保修责任</w:t>
      </w:r>
      <w:bookmarkEnd w:id="1769"/>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770" w:name="_Toc282787539"/>
      <w:bookmarkEnd w:id="1770"/>
      <w:bookmarkStart w:id="1771" w:name="_Toc282779599"/>
      <w:bookmarkEnd w:id="1771"/>
      <w:bookmarkStart w:id="1772" w:name="_Toc283794287"/>
      <w:bookmarkEnd w:id="1772"/>
      <w:bookmarkStart w:id="1773" w:name="_Toc237923914"/>
      <w:bookmarkEnd w:id="1773"/>
      <w:bookmarkStart w:id="1774" w:name="_Toc152042514"/>
      <w:bookmarkEnd w:id="1774"/>
      <w:bookmarkStart w:id="1775" w:name="_Toc287853439"/>
      <w:bookmarkEnd w:id="1775"/>
      <w:bookmarkStart w:id="1776" w:name="_Toc179632753"/>
      <w:bookmarkEnd w:id="1776"/>
      <w:bookmarkStart w:id="1777" w:name="_Toc152045735"/>
      <w:bookmarkEnd w:id="1777"/>
      <w:bookmarkStart w:id="1778" w:name="_Toc288491615"/>
      <w:bookmarkEnd w:id="1778"/>
      <w:bookmarkStart w:id="1779" w:name="_Toc144974706"/>
      <w:bookmarkEnd w:id="1779"/>
      <w:bookmarkStart w:id="1780" w:name="_Toc282779090"/>
      <w:r>
        <w:rPr>
          <w:rFonts w:hint="eastAsia" w:ascii="宋体" w:hAnsi="宋体" w:eastAsia="宋体" w:cs="宋体"/>
          <w:color w:val="auto"/>
          <w:kern w:val="2"/>
          <w:sz w:val="21"/>
          <w:szCs w:val="21"/>
          <w:highlight w:val="none"/>
          <w:lang w:val="en-US" w:eastAsia="zh-CN" w:bidi="ar"/>
        </w:rPr>
        <w:t>19.1  缺陷责任期的起算时间</w:t>
      </w:r>
      <w:bookmarkEnd w:id="1780"/>
    </w:p>
    <w:p>
      <w:pPr>
        <w:keepNext w:val="0"/>
        <w:keepLines w:val="0"/>
        <w:widowControl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缺陷责任期自实际竣工日期起计算。在全部工程竣工验收前，已经发包人提前验收的单位工程，其缺陷责任期的起算日期相应提前。</w:t>
      </w:r>
    </w:p>
    <w:p>
      <w:pPr>
        <w:keepNext w:val="0"/>
        <w:keepLines w:val="0"/>
        <w:widowControl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公路路面大中修养护工程自实际交工日期起计算1年；桥隧结构物大中修养护工程自实际交工日期起计算为2年。</w:t>
      </w:r>
    </w:p>
    <w:p>
      <w:pPr>
        <w:keepNext w:val="0"/>
        <w:keepLines w:val="0"/>
        <w:widowControl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其他项目的缺陷责任由发包方与承包方合同约定。</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781" w:name="_Toc287853440"/>
      <w:bookmarkEnd w:id="1781"/>
      <w:bookmarkStart w:id="1782" w:name="_Toc152042515"/>
      <w:bookmarkEnd w:id="1782"/>
      <w:bookmarkStart w:id="1783" w:name="_Toc282779600"/>
      <w:bookmarkEnd w:id="1783"/>
      <w:bookmarkStart w:id="1784" w:name="_Toc144974707"/>
      <w:bookmarkEnd w:id="1784"/>
      <w:bookmarkStart w:id="1785" w:name="_Toc288491616"/>
      <w:bookmarkEnd w:id="1785"/>
      <w:bookmarkStart w:id="1786" w:name="_Toc283794288"/>
      <w:bookmarkEnd w:id="1786"/>
      <w:bookmarkStart w:id="1787" w:name="_Toc282787540"/>
      <w:bookmarkEnd w:id="1787"/>
      <w:bookmarkStart w:id="1788" w:name="_Toc282779091"/>
      <w:bookmarkEnd w:id="1788"/>
      <w:bookmarkStart w:id="1789" w:name="_Toc152045736"/>
      <w:bookmarkEnd w:id="1789"/>
      <w:bookmarkStart w:id="1790" w:name="_Toc179632754"/>
      <w:bookmarkEnd w:id="1790"/>
      <w:bookmarkStart w:id="1791" w:name="_Toc237923915"/>
      <w:r>
        <w:rPr>
          <w:rFonts w:hint="eastAsia" w:ascii="宋体" w:hAnsi="宋体" w:eastAsia="宋体" w:cs="宋体"/>
          <w:color w:val="auto"/>
          <w:kern w:val="2"/>
          <w:sz w:val="21"/>
          <w:szCs w:val="21"/>
          <w:highlight w:val="none"/>
          <w:lang w:val="en-US" w:eastAsia="zh-CN" w:bidi="ar"/>
        </w:rPr>
        <w:t>19.2  缺陷责任</w:t>
      </w:r>
      <w:bookmarkEnd w:id="1791"/>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19.2.1  承包人应在缺陷责任期内对已交付使用的工程承担缺陷责任。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19.2.2  缺陷责任期内，发包人对已接收使用的工程负责日常维护工作。发包人在使用过程中，发现已接收的工程存在新的缺陷或已修复的缺陷部位或部件又遭损坏的，承包人应负责修复，直至检验合格为止。</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在缺陷责任期内，承包人应尽快完成在交工验收证书中写明的未完成工作，并完成对本工程缺陷的修复或监理人指令的修补工作。</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19.2.4  承包人不能在合理时间内修复缺陷的，发包人可自行修复或委托其他人修复，所需费用和利润的承担，按第19.2.3项约定办理。</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792" w:name="_Toc144974708"/>
      <w:bookmarkEnd w:id="1792"/>
      <w:bookmarkStart w:id="1793" w:name="_Toc283794289"/>
      <w:bookmarkEnd w:id="1793"/>
      <w:bookmarkStart w:id="1794" w:name="_Toc282779092"/>
      <w:bookmarkEnd w:id="1794"/>
      <w:bookmarkStart w:id="1795" w:name="_Toc237923916"/>
      <w:bookmarkEnd w:id="1795"/>
      <w:bookmarkStart w:id="1796" w:name="_Toc282787541"/>
      <w:bookmarkEnd w:id="1796"/>
      <w:bookmarkStart w:id="1797" w:name="_Toc152042516"/>
      <w:bookmarkEnd w:id="1797"/>
      <w:bookmarkStart w:id="1798" w:name="_Toc282779601"/>
      <w:bookmarkEnd w:id="1798"/>
      <w:bookmarkStart w:id="1799" w:name="_Toc179632755"/>
      <w:bookmarkEnd w:id="1799"/>
      <w:bookmarkStart w:id="1800" w:name="_Toc288491617"/>
      <w:bookmarkEnd w:id="1800"/>
      <w:bookmarkStart w:id="1801" w:name="_Toc287853441"/>
      <w:bookmarkEnd w:id="1801"/>
      <w:bookmarkStart w:id="1802" w:name="_Toc152045737"/>
      <w:r>
        <w:rPr>
          <w:rFonts w:hint="eastAsia" w:ascii="宋体" w:hAnsi="宋体" w:eastAsia="宋体" w:cs="宋体"/>
          <w:color w:val="auto"/>
          <w:kern w:val="2"/>
          <w:sz w:val="21"/>
          <w:szCs w:val="21"/>
          <w:highlight w:val="none"/>
          <w:lang w:val="en-US" w:eastAsia="zh-CN" w:bidi="ar"/>
        </w:rPr>
        <w:t>19.3  缺陷责任期的延长</w:t>
      </w:r>
      <w:bookmarkEnd w:id="1802"/>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由于承包人原因造成某项缺陷或损坏使某项工程或工程设备不能按原定目标使用而需要再次检查、检验和修复的，发包人有权要求承包人相应延长缺陷责任期，但缺陷责任期最长不超过2年。</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803" w:name="_Toc283794290"/>
      <w:bookmarkEnd w:id="1803"/>
      <w:bookmarkStart w:id="1804" w:name="_Toc287853442"/>
      <w:bookmarkEnd w:id="1804"/>
      <w:bookmarkStart w:id="1805" w:name="_Toc144974709"/>
      <w:bookmarkEnd w:id="1805"/>
      <w:bookmarkStart w:id="1806" w:name="_Toc152045738"/>
      <w:bookmarkEnd w:id="1806"/>
      <w:bookmarkStart w:id="1807" w:name="_Toc282787542"/>
      <w:bookmarkEnd w:id="1807"/>
      <w:bookmarkStart w:id="1808" w:name="_Toc152042517"/>
      <w:bookmarkEnd w:id="1808"/>
      <w:bookmarkStart w:id="1809" w:name="_Toc237923917"/>
      <w:bookmarkEnd w:id="1809"/>
      <w:bookmarkStart w:id="1810" w:name="_Toc282779602"/>
      <w:bookmarkEnd w:id="1810"/>
      <w:bookmarkStart w:id="1811" w:name="_Toc282779093"/>
      <w:bookmarkEnd w:id="1811"/>
      <w:bookmarkStart w:id="1812" w:name="_Toc288491618"/>
      <w:bookmarkEnd w:id="1812"/>
      <w:bookmarkStart w:id="1813" w:name="_Toc179632756"/>
      <w:r>
        <w:rPr>
          <w:rFonts w:hint="eastAsia" w:ascii="宋体" w:hAnsi="宋体" w:eastAsia="宋体" w:cs="宋体"/>
          <w:color w:val="auto"/>
          <w:kern w:val="2"/>
          <w:sz w:val="21"/>
          <w:szCs w:val="21"/>
          <w:highlight w:val="none"/>
          <w:lang w:val="en-US" w:eastAsia="zh-CN" w:bidi="ar"/>
        </w:rPr>
        <w:t>19.4  进一步试验和试运行</w:t>
      </w:r>
      <w:bookmarkEnd w:id="181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任何一项缺陷或损坏修复后，经检查证明其影响了工程或工程设备的使用性能，承包人应重新进行合同约定的试验和试运行，试验和试运行的全部费用应由责任方承担。</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814" w:name="_Toc283794291"/>
      <w:bookmarkEnd w:id="1814"/>
      <w:bookmarkStart w:id="1815" w:name="_Toc282787543"/>
      <w:bookmarkEnd w:id="1815"/>
      <w:bookmarkStart w:id="1816" w:name="_Toc287853443"/>
      <w:bookmarkEnd w:id="1816"/>
      <w:bookmarkStart w:id="1817" w:name="_Toc282779603"/>
      <w:bookmarkEnd w:id="1817"/>
      <w:bookmarkStart w:id="1818" w:name="_Toc288491619"/>
      <w:bookmarkEnd w:id="1818"/>
      <w:bookmarkStart w:id="1819" w:name="_Toc144974710"/>
      <w:bookmarkEnd w:id="1819"/>
      <w:bookmarkStart w:id="1820" w:name="_Toc282779094"/>
      <w:bookmarkEnd w:id="1820"/>
      <w:bookmarkStart w:id="1821" w:name="_Toc152045739"/>
      <w:bookmarkEnd w:id="1821"/>
      <w:bookmarkStart w:id="1822" w:name="_Toc179632757"/>
      <w:bookmarkEnd w:id="1822"/>
      <w:bookmarkStart w:id="1823" w:name="_Toc237923918"/>
      <w:bookmarkEnd w:id="1823"/>
      <w:bookmarkStart w:id="1824" w:name="_Toc152042518"/>
      <w:r>
        <w:rPr>
          <w:rFonts w:hint="eastAsia" w:ascii="宋体" w:hAnsi="宋体" w:eastAsia="宋体" w:cs="宋体"/>
          <w:color w:val="auto"/>
          <w:kern w:val="2"/>
          <w:sz w:val="21"/>
          <w:szCs w:val="21"/>
          <w:highlight w:val="none"/>
          <w:lang w:val="en-US" w:eastAsia="zh-CN" w:bidi="ar"/>
        </w:rPr>
        <w:t>19.5  承包人的进入权</w:t>
      </w:r>
      <w:bookmarkEnd w:id="182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缺陷责任期内承包人为缺陷修复工作需要，有权进入工程现场，但应遵守发包人的保安和保密规定。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承包人在缺陷修复施工过程中，应服从管养单位的有关安全管理规定，由于承包人自身原因造成的人员伤亡、设备和材料的损毁及罚款等责任由承包人自负。</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825" w:name="_Toc152045740"/>
      <w:bookmarkEnd w:id="1825"/>
      <w:bookmarkStart w:id="1826" w:name="_Toc287853444"/>
      <w:bookmarkEnd w:id="1826"/>
      <w:bookmarkStart w:id="1827" w:name="_Toc152042519"/>
      <w:bookmarkEnd w:id="1827"/>
      <w:bookmarkStart w:id="1828" w:name="_Toc179632758"/>
      <w:bookmarkEnd w:id="1828"/>
      <w:bookmarkStart w:id="1829" w:name="_Toc283794292"/>
      <w:bookmarkEnd w:id="1829"/>
      <w:bookmarkStart w:id="1830" w:name="_Toc288491620"/>
      <w:bookmarkEnd w:id="1830"/>
      <w:bookmarkStart w:id="1831" w:name="_Toc282779604"/>
      <w:bookmarkEnd w:id="1831"/>
      <w:bookmarkStart w:id="1832" w:name="_Toc144974711"/>
      <w:bookmarkEnd w:id="1832"/>
      <w:bookmarkStart w:id="1833" w:name="_Toc282787544"/>
      <w:bookmarkEnd w:id="1833"/>
      <w:bookmarkStart w:id="1834" w:name="_Toc237923919"/>
      <w:bookmarkEnd w:id="1834"/>
      <w:bookmarkStart w:id="1835" w:name="_Toc282779095"/>
      <w:r>
        <w:rPr>
          <w:rFonts w:hint="eastAsia" w:ascii="宋体" w:hAnsi="宋体" w:eastAsia="宋体" w:cs="宋体"/>
          <w:color w:val="auto"/>
          <w:kern w:val="2"/>
          <w:sz w:val="21"/>
          <w:szCs w:val="21"/>
          <w:highlight w:val="none"/>
          <w:lang w:val="en-US" w:eastAsia="zh-CN" w:bidi="ar"/>
        </w:rPr>
        <w:t>19.6  缺陷责任期终止证书</w:t>
      </w:r>
      <w:bookmarkEnd w:id="1835"/>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在第1.1.4.5目约定的缺陷责任期，包括根据第19.3款延长的期限终止后14天内，由监理人向承包人出具经发包人签认的缺陷责任期终止证书，并退还剩余的质量保证金。</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836" w:name="_Toc283794293"/>
      <w:bookmarkEnd w:id="1836"/>
      <w:bookmarkStart w:id="1837" w:name="_Toc282779605"/>
      <w:bookmarkEnd w:id="1837"/>
      <w:bookmarkStart w:id="1838" w:name="_Toc288491621"/>
      <w:bookmarkEnd w:id="1838"/>
      <w:bookmarkStart w:id="1839" w:name="_Toc237923920"/>
      <w:bookmarkEnd w:id="1839"/>
      <w:bookmarkStart w:id="1840" w:name="_Toc179632759"/>
      <w:bookmarkEnd w:id="1840"/>
      <w:bookmarkStart w:id="1841" w:name="_Toc152045741"/>
      <w:bookmarkEnd w:id="1841"/>
      <w:bookmarkStart w:id="1842" w:name="_Toc287853445"/>
      <w:bookmarkEnd w:id="1842"/>
      <w:bookmarkStart w:id="1843" w:name="_Toc152042520"/>
      <w:bookmarkEnd w:id="1843"/>
      <w:bookmarkStart w:id="1844" w:name="_Toc282787545"/>
      <w:bookmarkEnd w:id="1844"/>
      <w:bookmarkStart w:id="1845" w:name="_Toc144974712"/>
      <w:bookmarkEnd w:id="1845"/>
      <w:bookmarkStart w:id="1846" w:name="_Toc282779096"/>
      <w:r>
        <w:rPr>
          <w:rFonts w:hint="eastAsia" w:ascii="宋体" w:hAnsi="宋体" w:eastAsia="宋体" w:cs="宋体"/>
          <w:color w:val="auto"/>
          <w:kern w:val="2"/>
          <w:sz w:val="21"/>
          <w:szCs w:val="21"/>
          <w:highlight w:val="none"/>
          <w:lang w:val="en-US" w:eastAsia="zh-CN" w:bidi="ar"/>
        </w:rPr>
        <w:t>19.7  保修责任</w:t>
      </w:r>
      <w:bookmarkEnd w:id="1846"/>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1847" w:name="_Toc21426"/>
      <w:bookmarkEnd w:id="1847"/>
      <w:bookmarkStart w:id="1848" w:name="_Toc10767"/>
      <w:bookmarkEnd w:id="1848"/>
      <w:bookmarkStart w:id="1849" w:name="_Toc28684"/>
      <w:bookmarkEnd w:id="1849"/>
      <w:bookmarkStart w:id="1850" w:name="_Toc282779606"/>
      <w:bookmarkEnd w:id="1850"/>
      <w:bookmarkStart w:id="1851" w:name="_Toc15759"/>
      <w:bookmarkEnd w:id="1851"/>
      <w:bookmarkStart w:id="1852" w:name="_Toc29786"/>
      <w:bookmarkEnd w:id="1852"/>
      <w:bookmarkStart w:id="1853" w:name="_Toc118378091"/>
      <w:bookmarkEnd w:id="1853"/>
      <w:bookmarkStart w:id="1854" w:name="_Toc283794294"/>
      <w:bookmarkEnd w:id="1854"/>
      <w:bookmarkStart w:id="1855" w:name="_Toc27779"/>
      <w:bookmarkEnd w:id="1855"/>
      <w:bookmarkStart w:id="1856" w:name="_Toc30580"/>
      <w:bookmarkEnd w:id="1856"/>
      <w:bookmarkStart w:id="1857" w:name="_Toc282787546"/>
      <w:bookmarkEnd w:id="1857"/>
      <w:bookmarkStart w:id="1858" w:name="_Toc514936620"/>
      <w:bookmarkEnd w:id="1858"/>
      <w:bookmarkStart w:id="1859" w:name="_Toc2208"/>
      <w:bookmarkEnd w:id="1859"/>
      <w:bookmarkStart w:id="1860" w:name="_Toc287853446"/>
      <w:bookmarkEnd w:id="1860"/>
      <w:bookmarkStart w:id="1861" w:name="_Toc282779097"/>
      <w:bookmarkEnd w:id="1861"/>
      <w:bookmarkStart w:id="1862" w:name="_Toc31788"/>
      <w:bookmarkEnd w:id="1862"/>
      <w:bookmarkStart w:id="1863" w:name="_Toc4380"/>
      <w:bookmarkEnd w:id="1863"/>
      <w:bookmarkStart w:id="1864" w:name="_Toc10164"/>
      <w:bookmarkEnd w:id="1864"/>
      <w:bookmarkStart w:id="1865" w:name="_Toc32212"/>
      <w:bookmarkEnd w:id="1865"/>
      <w:bookmarkStart w:id="1866" w:name="_Toc179632760"/>
      <w:bookmarkEnd w:id="1866"/>
      <w:bookmarkStart w:id="1867" w:name="_Toc152042521"/>
      <w:bookmarkEnd w:id="1867"/>
      <w:bookmarkStart w:id="1868" w:name="_Toc144974713"/>
      <w:bookmarkEnd w:id="1868"/>
      <w:bookmarkStart w:id="1869" w:name="_Toc237923921"/>
      <w:bookmarkEnd w:id="1869"/>
      <w:bookmarkStart w:id="1870" w:name="_Toc152045742"/>
      <w:bookmarkEnd w:id="1870"/>
      <w:bookmarkStart w:id="1871" w:name="_Toc4212"/>
      <w:bookmarkEnd w:id="1871"/>
      <w:bookmarkStart w:id="1872" w:name="_Toc288491622"/>
      <w:r>
        <w:rPr>
          <w:rFonts w:hint="eastAsia" w:ascii="宋体" w:hAnsi="宋体" w:eastAsia="宋体" w:cs="宋体"/>
          <w:color w:val="auto"/>
          <w:kern w:val="2"/>
          <w:sz w:val="21"/>
          <w:szCs w:val="21"/>
          <w:highlight w:val="none"/>
          <w:lang w:val="en-US" w:eastAsia="zh-CN" w:bidi="ar"/>
        </w:rPr>
        <w:t>20．保险</w:t>
      </w:r>
      <w:bookmarkEnd w:id="1872"/>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873" w:name="_Toc282779607"/>
      <w:bookmarkEnd w:id="1873"/>
      <w:bookmarkStart w:id="1874" w:name="_Toc144974714"/>
      <w:bookmarkEnd w:id="1874"/>
      <w:bookmarkStart w:id="1875" w:name="_Toc282787547"/>
      <w:bookmarkEnd w:id="1875"/>
      <w:bookmarkStart w:id="1876" w:name="_Toc283794295"/>
      <w:bookmarkEnd w:id="1876"/>
      <w:bookmarkStart w:id="1877" w:name="_Toc287853447"/>
      <w:bookmarkEnd w:id="1877"/>
      <w:bookmarkStart w:id="1878" w:name="_Toc152042522"/>
      <w:bookmarkEnd w:id="1878"/>
      <w:bookmarkStart w:id="1879" w:name="_Toc152045743"/>
      <w:bookmarkEnd w:id="1879"/>
      <w:bookmarkStart w:id="1880" w:name="_Toc288491623"/>
      <w:bookmarkEnd w:id="1880"/>
      <w:bookmarkStart w:id="1881" w:name="_Toc282779098"/>
      <w:bookmarkEnd w:id="1881"/>
      <w:bookmarkStart w:id="1882" w:name="_Toc179632761"/>
      <w:bookmarkEnd w:id="1882"/>
      <w:bookmarkStart w:id="1883" w:name="_Toc237923922"/>
      <w:r>
        <w:rPr>
          <w:rFonts w:hint="eastAsia" w:ascii="宋体" w:hAnsi="宋体" w:eastAsia="宋体" w:cs="宋体"/>
          <w:color w:val="auto"/>
          <w:kern w:val="2"/>
          <w:sz w:val="21"/>
          <w:szCs w:val="21"/>
          <w:highlight w:val="none"/>
          <w:lang w:val="en-US" w:eastAsia="zh-CN" w:bidi="ar"/>
        </w:rPr>
        <w:t>20.1  工程保险</w:t>
      </w:r>
      <w:bookmarkEnd w:id="188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除专用合同条款另有约定外，承包人应以发包人和承包人的共同名义向双方同意的保险人投保建筑工程一切险、安装工程一切险。</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建筑工程一切险的投保内容：为本合同工程的养护工程、临时工程和设备及已运至施工工地用于养护工程的材料和设备所投的保险。</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保险金额：工程量清单第100章（不含建筑工程一切险及第三者责任险的保险费）至第900章（或第1000章）的合计金额；</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保险费率：在项目专用合同条款数据表中约定。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保险期限：开工日起直至本合同工程签发缺陷责任期终止证书止（即合同工期＋缺陷责任期）。</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承包人应以发包人和承包人的共同名义投保建筑工程一切险。建筑工程一切险的保险费由承包人报价时列入工程量清单100章内。发包人在接到保险单后，将保险单费用直接向承包人支付。</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884" w:name="_Toc282779099"/>
      <w:bookmarkEnd w:id="1884"/>
      <w:bookmarkStart w:id="1885" w:name="_Toc237923923"/>
      <w:bookmarkEnd w:id="1885"/>
      <w:bookmarkStart w:id="1886" w:name="_Toc152042523"/>
      <w:bookmarkEnd w:id="1886"/>
      <w:bookmarkStart w:id="1887" w:name="_Toc179632762"/>
      <w:bookmarkEnd w:id="1887"/>
      <w:bookmarkStart w:id="1888" w:name="_Toc287853448"/>
      <w:bookmarkEnd w:id="1888"/>
      <w:bookmarkStart w:id="1889" w:name="_Toc288491624"/>
      <w:bookmarkEnd w:id="1889"/>
      <w:bookmarkStart w:id="1890" w:name="_Toc282779608"/>
      <w:bookmarkEnd w:id="1890"/>
      <w:bookmarkStart w:id="1891" w:name="_Toc144974715"/>
      <w:bookmarkEnd w:id="1891"/>
      <w:bookmarkStart w:id="1892" w:name="_Toc282787548"/>
      <w:bookmarkEnd w:id="1892"/>
      <w:bookmarkStart w:id="1893" w:name="_Toc283794296"/>
      <w:bookmarkEnd w:id="1893"/>
      <w:bookmarkStart w:id="1894" w:name="_Toc152045744"/>
      <w:r>
        <w:rPr>
          <w:rFonts w:hint="eastAsia" w:ascii="宋体" w:hAnsi="宋体" w:eastAsia="宋体" w:cs="宋体"/>
          <w:color w:val="auto"/>
          <w:kern w:val="2"/>
          <w:sz w:val="21"/>
          <w:szCs w:val="21"/>
          <w:highlight w:val="none"/>
          <w:lang w:val="en-US" w:eastAsia="zh-CN" w:bidi="ar"/>
        </w:rPr>
        <w:t>20.2  人员工伤事故的保险</w:t>
      </w:r>
      <w:bookmarkEnd w:id="189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20.2.1  承包人员工伤事故的保险</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承包人应依照有关法律规定参加工伤保险，为其履行合同所雇佣的全部人员，缴纳工伤保险费，并要求其分包人也进行此项保险。</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20.2.2  发包人员工伤事故的保险</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发包人应依照有关法律规定参加工伤保险，为其现场机构雇佣的全部人员，缴纳工伤保险费，并要求其监理人也进行此项保险。</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895" w:name="_Toc179632763"/>
      <w:bookmarkEnd w:id="1895"/>
      <w:bookmarkStart w:id="1896" w:name="_Toc152045745"/>
      <w:bookmarkEnd w:id="1896"/>
      <w:bookmarkStart w:id="1897" w:name="_Toc282779100"/>
      <w:bookmarkEnd w:id="1897"/>
      <w:bookmarkStart w:id="1898" w:name="_Toc144974716"/>
      <w:bookmarkEnd w:id="1898"/>
      <w:bookmarkStart w:id="1899" w:name="_Toc237923924"/>
      <w:bookmarkEnd w:id="1899"/>
      <w:bookmarkStart w:id="1900" w:name="_Toc283794297"/>
      <w:bookmarkEnd w:id="1900"/>
      <w:bookmarkStart w:id="1901" w:name="_Toc282779609"/>
      <w:bookmarkEnd w:id="1901"/>
      <w:bookmarkStart w:id="1902" w:name="_Toc287853449"/>
      <w:bookmarkEnd w:id="1902"/>
      <w:bookmarkStart w:id="1903" w:name="_Toc288491625"/>
      <w:bookmarkEnd w:id="1903"/>
      <w:bookmarkStart w:id="1904" w:name="_Toc152042524"/>
      <w:bookmarkEnd w:id="1904"/>
      <w:bookmarkStart w:id="1905" w:name="_Toc282787549"/>
      <w:r>
        <w:rPr>
          <w:rFonts w:hint="eastAsia" w:ascii="宋体" w:hAnsi="宋体" w:eastAsia="宋体" w:cs="宋体"/>
          <w:color w:val="auto"/>
          <w:kern w:val="2"/>
          <w:sz w:val="21"/>
          <w:szCs w:val="21"/>
          <w:highlight w:val="none"/>
          <w:lang w:val="en-US" w:eastAsia="zh-CN" w:bidi="ar"/>
        </w:rPr>
        <w:t>20.3  人身意外伤害险</w:t>
      </w:r>
      <w:bookmarkEnd w:id="1905"/>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20.3.1  发包人应在整个施工期间为其现场机构雇用的全部人员，投保人身意外伤害险，缴纳保险费，并要求其监理人也进行此项保险。</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20.3.2  承包人应在整个施工期间为其现场机构雇用的全部人员，投保人身意外伤害险，缴纳保险费，并要求其分包人也进行此项保险。</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对其为本工程合同工作的人员进行人身意外伤害保险，投保金额可暂定为30万元，按议定的保险费率办理。保险费由投标人报价时列入工程量清单第100章内。发包人在接到保险单后，将按照保险单的费用直接向承包人支付。</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906" w:name="_Toc283794298"/>
      <w:bookmarkEnd w:id="1906"/>
      <w:bookmarkStart w:id="1907" w:name="_Toc152045746"/>
      <w:bookmarkEnd w:id="1907"/>
      <w:bookmarkStart w:id="1908" w:name="_Toc144974717"/>
      <w:bookmarkEnd w:id="1908"/>
      <w:bookmarkStart w:id="1909" w:name="_Toc179632764"/>
      <w:bookmarkEnd w:id="1909"/>
      <w:bookmarkStart w:id="1910" w:name="_Toc282787550"/>
      <w:bookmarkEnd w:id="1910"/>
      <w:bookmarkStart w:id="1911" w:name="_Toc152042525"/>
      <w:bookmarkEnd w:id="1911"/>
      <w:bookmarkStart w:id="1912" w:name="_Toc282779101"/>
      <w:bookmarkEnd w:id="1912"/>
      <w:bookmarkStart w:id="1913" w:name="_Toc237923925"/>
      <w:bookmarkEnd w:id="1913"/>
      <w:bookmarkStart w:id="1914" w:name="_Toc288491626"/>
      <w:bookmarkEnd w:id="1914"/>
      <w:bookmarkStart w:id="1915" w:name="_Toc287853450"/>
      <w:bookmarkEnd w:id="1915"/>
      <w:bookmarkStart w:id="1916" w:name="_Toc282779610"/>
      <w:r>
        <w:rPr>
          <w:rFonts w:hint="eastAsia" w:ascii="宋体" w:hAnsi="宋体" w:eastAsia="宋体" w:cs="宋体"/>
          <w:color w:val="auto"/>
          <w:kern w:val="2"/>
          <w:sz w:val="21"/>
          <w:szCs w:val="21"/>
          <w:highlight w:val="none"/>
          <w:lang w:val="en-US" w:eastAsia="zh-CN" w:bidi="ar"/>
        </w:rPr>
        <w:t>20.4  第三者责任险</w:t>
      </w:r>
      <w:bookmarkEnd w:id="1916"/>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20.4.2  在缺陷责任期终止证书颁发前，承包人应以承包人和发包人的共同名义，投保第20.4.1项约定的第三者责任险，其保险费率、保险金额等有关内容在专用合同条款中约定。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第三者责任险的保险费由承包人报价时列入工程量清单100章内。发包人在接到保险单后，将按照保险单的费用直接向承包人支付。</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917" w:name="_Toc288491627"/>
      <w:bookmarkEnd w:id="1917"/>
      <w:bookmarkStart w:id="1918" w:name="_Toc144974718"/>
      <w:bookmarkEnd w:id="1918"/>
      <w:bookmarkStart w:id="1919" w:name="_Toc152042526"/>
      <w:bookmarkEnd w:id="1919"/>
      <w:bookmarkStart w:id="1920" w:name="_Toc282787551"/>
      <w:bookmarkEnd w:id="1920"/>
      <w:bookmarkStart w:id="1921" w:name="_Toc179632765"/>
      <w:bookmarkEnd w:id="1921"/>
      <w:bookmarkStart w:id="1922" w:name="_Toc287853451"/>
      <w:bookmarkEnd w:id="1922"/>
      <w:bookmarkStart w:id="1923" w:name="_Toc282779611"/>
      <w:bookmarkEnd w:id="1923"/>
      <w:bookmarkStart w:id="1924" w:name="_Toc283794299"/>
      <w:bookmarkEnd w:id="1924"/>
      <w:bookmarkStart w:id="1925" w:name="_Toc282779102"/>
      <w:bookmarkEnd w:id="1925"/>
      <w:bookmarkStart w:id="1926" w:name="_Toc152045747"/>
      <w:bookmarkEnd w:id="1926"/>
      <w:bookmarkStart w:id="1927" w:name="_Toc237923926"/>
      <w:r>
        <w:rPr>
          <w:rFonts w:hint="eastAsia" w:ascii="宋体" w:hAnsi="宋体" w:eastAsia="宋体" w:cs="宋体"/>
          <w:color w:val="auto"/>
          <w:kern w:val="2"/>
          <w:sz w:val="21"/>
          <w:szCs w:val="21"/>
          <w:highlight w:val="none"/>
          <w:lang w:val="en-US" w:eastAsia="zh-CN" w:bidi="ar"/>
        </w:rPr>
        <w:t>20.5  其他保险</w:t>
      </w:r>
      <w:bookmarkEnd w:id="1927"/>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除专用合同条款另有约定外，承包人应为其施工设备、进场的材料和工程设备等办理保险。</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承包人为其施工设备等办理保险，其投标金额应足以现场重置。办理本款保险的一切费用均由承包人承担，并包括在工程量清单的单价及总额价中，发包人不单独支付。</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928" w:name="_Toc283794300"/>
      <w:bookmarkEnd w:id="1928"/>
      <w:bookmarkStart w:id="1929" w:name="_Toc179632766"/>
      <w:bookmarkEnd w:id="1929"/>
      <w:bookmarkStart w:id="1930" w:name="_Toc282779103"/>
      <w:bookmarkEnd w:id="1930"/>
      <w:bookmarkStart w:id="1931" w:name="_Toc282787552"/>
      <w:bookmarkEnd w:id="1931"/>
      <w:bookmarkStart w:id="1932" w:name="_Toc144974719"/>
      <w:bookmarkEnd w:id="1932"/>
      <w:bookmarkStart w:id="1933" w:name="_Toc152042527"/>
      <w:bookmarkEnd w:id="1933"/>
      <w:bookmarkStart w:id="1934" w:name="_Toc152045748"/>
      <w:bookmarkEnd w:id="1934"/>
      <w:bookmarkStart w:id="1935" w:name="_Toc288491628"/>
      <w:bookmarkEnd w:id="1935"/>
      <w:bookmarkStart w:id="1936" w:name="_Toc237923927"/>
      <w:bookmarkEnd w:id="1936"/>
      <w:bookmarkStart w:id="1937" w:name="_Toc282779612"/>
      <w:bookmarkEnd w:id="1937"/>
      <w:bookmarkStart w:id="1938" w:name="_Toc287853452"/>
      <w:r>
        <w:rPr>
          <w:rFonts w:hint="eastAsia" w:ascii="宋体" w:hAnsi="宋体" w:eastAsia="宋体" w:cs="宋体"/>
          <w:color w:val="auto"/>
          <w:kern w:val="2"/>
          <w:sz w:val="21"/>
          <w:szCs w:val="21"/>
          <w:highlight w:val="none"/>
          <w:lang w:val="en-US" w:eastAsia="zh-CN" w:bidi="ar"/>
        </w:rPr>
        <w:t>20.6  对各项保险的一般要求</w:t>
      </w:r>
      <w:bookmarkEnd w:id="1938"/>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20.6.1  保险凭证</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承包人向发包人提交各项保险生效的证据和保险单副本的期限：开工后56天内。保险单必须与专用合同条款约定的条件保持一致。</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20.6.2  保险合同条款的变动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承包人需要变动保险合同条款时，应事先征得发包人同意，并通知监理人。保险人作出变动的，承包人应在收到保险人通知后立即通知发包人和监理人。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20.6.3  持续保险</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承包人应与保险人保持联系，使保险人能够随时了解工程实施中的变动，并确保按保险合同条款要求持续保险。在整个合同期内，承包人应按合同条款规定保证足够的保险额。</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20.6.4  保险金不足的补偿</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保险金不足以补偿损失的，应由承包人和（或）发包人按合同约定负责补偿。保险金不足以补偿损失的（包括免赔额和超过赔偿限额的部分），应由承包人和（或）发包人按合同约定负责补偿。</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20.6.5  未按约定投保的补救</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（1）由于负有投保义务的一方当事人未按合同约定办理保险，或未能使保险持续有效的，另一方当事人可代为办理，所需费用由对方当事人承担。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由于负有投保义务的一方当事人未按合同约定办理某项保险，或未按保险单规定的条件和限期及时向保险人报告事故情况，或未按要求的保险期限进行投标，或未按要求投保足够的保险金额，导致受益人未能全部得到保险人的赔偿，原应从该项保险得到的保险金应由负有投保义务的一方当事人支付。</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20.6.6  报告义务</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当保险事故发生时，投保人应按照保险单规定的条件和期限及时向保险人报告。</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1939" w:name="_Toc288491629"/>
      <w:bookmarkEnd w:id="1939"/>
      <w:bookmarkStart w:id="1940" w:name="_Toc287853453"/>
      <w:bookmarkEnd w:id="1940"/>
      <w:bookmarkStart w:id="1941" w:name="_Toc282787553"/>
      <w:bookmarkEnd w:id="1941"/>
      <w:bookmarkStart w:id="1942" w:name="_Toc282779104"/>
      <w:bookmarkEnd w:id="1942"/>
      <w:bookmarkStart w:id="1943" w:name="_Toc118378092"/>
      <w:bookmarkEnd w:id="1943"/>
      <w:bookmarkStart w:id="1944" w:name="_Toc514936621"/>
      <w:bookmarkEnd w:id="1944"/>
      <w:bookmarkStart w:id="1945" w:name="_Toc21314"/>
      <w:bookmarkEnd w:id="1945"/>
      <w:bookmarkStart w:id="1946" w:name="_Toc28141"/>
      <w:bookmarkEnd w:id="1946"/>
      <w:bookmarkStart w:id="1947" w:name="_Toc152045749"/>
      <w:bookmarkEnd w:id="1947"/>
      <w:bookmarkStart w:id="1948" w:name="_Toc4404"/>
      <w:bookmarkEnd w:id="1948"/>
      <w:bookmarkStart w:id="1949" w:name="_Toc21835"/>
      <w:bookmarkEnd w:id="1949"/>
      <w:bookmarkStart w:id="1950" w:name="_Toc29303"/>
      <w:bookmarkEnd w:id="1950"/>
      <w:bookmarkStart w:id="1951" w:name="_Toc25030"/>
      <w:bookmarkEnd w:id="1951"/>
      <w:bookmarkStart w:id="1952" w:name="_Toc29570"/>
      <w:bookmarkEnd w:id="1952"/>
      <w:bookmarkStart w:id="1953" w:name="_Toc29034"/>
      <w:bookmarkEnd w:id="1953"/>
      <w:bookmarkStart w:id="1954" w:name="_Toc948"/>
      <w:bookmarkEnd w:id="1954"/>
      <w:bookmarkStart w:id="1955" w:name="_Toc283794301"/>
      <w:bookmarkEnd w:id="1955"/>
      <w:bookmarkStart w:id="1956" w:name="_Toc282779613"/>
      <w:bookmarkEnd w:id="1956"/>
      <w:bookmarkStart w:id="1957" w:name="_Toc2432"/>
      <w:bookmarkEnd w:id="1957"/>
      <w:bookmarkStart w:id="1958" w:name="_Toc152042528"/>
      <w:bookmarkEnd w:id="1958"/>
      <w:bookmarkStart w:id="1959" w:name="_Toc19283"/>
      <w:bookmarkEnd w:id="1959"/>
      <w:bookmarkStart w:id="1960" w:name="_Toc237923928"/>
      <w:bookmarkEnd w:id="1960"/>
      <w:bookmarkStart w:id="1961" w:name="_Toc10442"/>
      <w:bookmarkEnd w:id="1961"/>
      <w:bookmarkStart w:id="1962" w:name="_Toc179632767"/>
      <w:bookmarkEnd w:id="1962"/>
      <w:bookmarkStart w:id="1963" w:name="_Toc24625"/>
      <w:bookmarkEnd w:id="1963"/>
      <w:bookmarkStart w:id="1964" w:name="_Toc144974720"/>
      <w:r>
        <w:rPr>
          <w:rFonts w:hint="eastAsia" w:ascii="宋体" w:hAnsi="宋体" w:eastAsia="宋体" w:cs="宋体"/>
          <w:color w:val="auto"/>
          <w:kern w:val="2"/>
          <w:sz w:val="21"/>
          <w:szCs w:val="21"/>
          <w:highlight w:val="none"/>
          <w:lang w:val="en-US" w:eastAsia="zh-CN" w:bidi="ar"/>
        </w:rPr>
        <w:t>21．不可抗力</w:t>
      </w:r>
      <w:bookmarkEnd w:id="1964"/>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965" w:name="_Toc152042529"/>
      <w:bookmarkEnd w:id="1965"/>
      <w:bookmarkStart w:id="1966" w:name="_Toc237923929"/>
      <w:bookmarkEnd w:id="1966"/>
      <w:bookmarkStart w:id="1967" w:name="_Toc287853454"/>
      <w:bookmarkEnd w:id="1967"/>
      <w:bookmarkStart w:id="1968" w:name="_Toc179632768"/>
      <w:bookmarkEnd w:id="1968"/>
      <w:bookmarkStart w:id="1969" w:name="_Toc152045750"/>
      <w:bookmarkEnd w:id="1969"/>
      <w:bookmarkStart w:id="1970" w:name="_Toc282779105"/>
      <w:bookmarkEnd w:id="1970"/>
      <w:bookmarkStart w:id="1971" w:name="_Toc283794302"/>
      <w:bookmarkEnd w:id="1971"/>
      <w:bookmarkStart w:id="1972" w:name="_Toc282787554"/>
      <w:bookmarkEnd w:id="1972"/>
      <w:bookmarkStart w:id="1973" w:name="_Toc282779614"/>
      <w:bookmarkEnd w:id="1973"/>
      <w:bookmarkStart w:id="1974" w:name="_Toc288491630"/>
      <w:bookmarkEnd w:id="1974"/>
      <w:bookmarkStart w:id="1975" w:name="_Toc144974721"/>
      <w:r>
        <w:rPr>
          <w:rFonts w:hint="eastAsia" w:ascii="宋体" w:hAnsi="宋体" w:eastAsia="宋体" w:cs="宋体"/>
          <w:color w:val="auto"/>
          <w:kern w:val="2"/>
          <w:sz w:val="21"/>
          <w:szCs w:val="21"/>
          <w:highlight w:val="none"/>
          <w:lang w:val="en-US" w:eastAsia="zh-CN" w:bidi="ar"/>
        </w:rPr>
        <w:t>21.1  不可抗力的确认</w:t>
      </w:r>
      <w:bookmarkEnd w:id="1975"/>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976" w:name="_Toc144974722"/>
      <w:bookmarkEnd w:id="1976"/>
      <w:bookmarkStart w:id="1977" w:name="_Toc282779615"/>
      <w:bookmarkEnd w:id="1977"/>
      <w:bookmarkStart w:id="1978" w:name="_Toc152045751"/>
      <w:bookmarkEnd w:id="1978"/>
      <w:bookmarkStart w:id="1979" w:name="_Toc282787555"/>
      <w:bookmarkEnd w:id="1979"/>
      <w:bookmarkStart w:id="1980" w:name="_Toc152042530"/>
      <w:bookmarkEnd w:id="1980"/>
      <w:bookmarkStart w:id="1981" w:name="_Toc288491631"/>
      <w:bookmarkEnd w:id="1981"/>
      <w:bookmarkStart w:id="1982" w:name="_Toc237923930"/>
      <w:bookmarkEnd w:id="1982"/>
      <w:bookmarkStart w:id="1983" w:name="_Toc179632769"/>
      <w:bookmarkEnd w:id="1983"/>
      <w:bookmarkStart w:id="1984" w:name="_Toc287853455"/>
      <w:bookmarkEnd w:id="1984"/>
      <w:bookmarkStart w:id="1985" w:name="_Toc283794303"/>
      <w:bookmarkEnd w:id="1985"/>
      <w:bookmarkStart w:id="1986" w:name="_Toc282779106"/>
      <w:r>
        <w:rPr>
          <w:rFonts w:hint="eastAsia" w:ascii="宋体" w:hAnsi="宋体" w:eastAsia="宋体" w:cs="宋体"/>
          <w:color w:val="auto"/>
          <w:kern w:val="2"/>
          <w:sz w:val="21"/>
          <w:szCs w:val="21"/>
          <w:highlight w:val="none"/>
          <w:lang w:val="en-US" w:eastAsia="zh-CN" w:bidi="ar"/>
        </w:rPr>
        <w:t>21.2</w:t>
      </w:r>
      <w:bookmarkEnd w:id="1986"/>
      <w:r>
        <w:rPr>
          <w:rFonts w:hint="eastAsia" w:ascii="宋体" w:hAnsi="宋体" w:eastAsia="宋体" w:cs="宋体"/>
          <w:color w:val="auto"/>
          <w:kern w:val="2"/>
          <w:sz w:val="21"/>
          <w:szCs w:val="21"/>
          <w:highlight w:val="none"/>
          <w:lang w:val="en-US" w:eastAsia="zh-CN" w:bidi="ar"/>
        </w:rPr>
        <w:t xml:space="preserve">  不可抗力的通知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21.2.1  合同一方当事人遇到不可抗力事件，使其履行合同义务受到阻碍时，应立即通知合同另一方当事人和监理人，书面说明不可抗力和受阻碍的详细情况，并提供必要的证明。</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21.2.2  如不可抗力持续发生，合同一方当事人应及时向合同另一方当事人和监理人提交中间报告，说明不可抗力和履行合同受阻的情况，并于不可抗力事件结束后28天内提交最终报告及有关资料。</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1987" w:name="_Toc283794304"/>
      <w:bookmarkEnd w:id="1987"/>
      <w:bookmarkStart w:id="1988" w:name="_Toc282787556"/>
      <w:bookmarkEnd w:id="1988"/>
      <w:bookmarkStart w:id="1989" w:name="_Toc287853456"/>
      <w:bookmarkEnd w:id="1989"/>
      <w:bookmarkStart w:id="1990" w:name="_Toc179632770"/>
      <w:bookmarkEnd w:id="1990"/>
      <w:bookmarkStart w:id="1991" w:name="_Toc288491632"/>
      <w:bookmarkEnd w:id="1991"/>
      <w:bookmarkStart w:id="1992" w:name="_Toc152042531"/>
      <w:bookmarkEnd w:id="1992"/>
      <w:bookmarkStart w:id="1993" w:name="_Toc237923931"/>
      <w:bookmarkEnd w:id="1993"/>
      <w:bookmarkStart w:id="1994" w:name="_Toc144974723"/>
      <w:bookmarkEnd w:id="1994"/>
      <w:bookmarkStart w:id="1995" w:name="_Toc282779616"/>
      <w:bookmarkEnd w:id="1995"/>
      <w:bookmarkStart w:id="1996" w:name="_Toc282779107"/>
      <w:bookmarkEnd w:id="1996"/>
      <w:bookmarkStart w:id="1997" w:name="_Toc152045752"/>
      <w:r>
        <w:rPr>
          <w:rFonts w:hint="eastAsia" w:ascii="宋体" w:hAnsi="宋体" w:eastAsia="宋体" w:cs="宋体"/>
          <w:color w:val="auto"/>
          <w:kern w:val="2"/>
          <w:sz w:val="21"/>
          <w:szCs w:val="21"/>
          <w:highlight w:val="none"/>
          <w:lang w:val="en-US" w:eastAsia="zh-CN" w:bidi="ar"/>
        </w:rPr>
        <w:t>21.3  不可抗力后果及其处理</w:t>
      </w:r>
      <w:bookmarkEnd w:id="1997"/>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21.3.1  不可抗力造成损害的责任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除专用合同条款另有约定外，不可抗力导致的人员伤亡、财产损失、费用增加和（或）工期延误等后果，由合同双方按以下原则承担：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（1）永久工程，包括已运至施工场地的材料和工程设备的损害，以及因工程损害造成的第三者人员伤亡和财产损失由发包人承担；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（2）承包人设备的损坏由承包人承担；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（3）发包人和承包人各自承担其人员伤亡和其他财产损失及其相关费用；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（4）承包人的停工损失由承包人承担，但停工期间应监理人要求照管工程和清理、修复工程的金额由发包人承担；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（5）不能按期竣工的，应合理延长工期，承包人不需支付逾期竣工违约金。发包人要求赶工的，承包人应采取赶工措施，赶工费用由发包人承担。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21.3.2  延迟履行期间发生的不可抗力</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合同一方当事人延迟履行，在延迟履行期间发生不可抗力的，不免除其责任。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21.3.3  避免和减少不可抗力损失</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不可抗力发生后，发包人和承包人均应采取措施尽量避免和减少损失的扩大，任何一方没有采取有效措施导致损失扩大的，应对扩大的损失承担责任。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21.3.4  因不可抗力解除合同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一方当事人因不可抗力不能履行合同的，应当及时通知对方解除合同。合同解除后，承包人应按照第22.2.5项约定撤离施工场地。已经订货的材料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1998" w:name="_Toc282779108"/>
      <w:bookmarkEnd w:id="1998"/>
      <w:bookmarkStart w:id="1999" w:name="_Toc23338"/>
      <w:bookmarkEnd w:id="1999"/>
      <w:bookmarkStart w:id="2000" w:name="_Toc118378093"/>
      <w:bookmarkEnd w:id="2000"/>
      <w:bookmarkStart w:id="2001" w:name="_Toc237923932"/>
      <w:bookmarkEnd w:id="2001"/>
      <w:bookmarkStart w:id="2002" w:name="_Toc29384"/>
      <w:bookmarkEnd w:id="2002"/>
      <w:bookmarkStart w:id="2003" w:name="_Toc30803"/>
      <w:bookmarkEnd w:id="2003"/>
      <w:bookmarkStart w:id="2004" w:name="_Toc282787557"/>
      <w:bookmarkEnd w:id="2004"/>
      <w:bookmarkStart w:id="2005" w:name="_Toc31875"/>
      <w:bookmarkEnd w:id="2005"/>
      <w:bookmarkStart w:id="2006" w:name="_Toc283794305"/>
      <w:bookmarkEnd w:id="2006"/>
      <w:bookmarkStart w:id="2007" w:name="_Toc10837"/>
      <w:bookmarkEnd w:id="2007"/>
      <w:bookmarkStart w:id="2008" w:name="_Toc17813"/>
      <w:bookmarkEnd w:id="2008"/>
      <w:bookmarkStart w:id="2009" w:name="_Toc287853457"/>
      <w:bookmarkEnd w:id="2009"/>
      <w:bookmarkStart w:id="2010" w:name="_Toc3967"/>
      <w:bookmarkEnd w:id="2010"/>
      <w:bookmarkStart w:id="2011" w:name="_Toc16181"/>
      <w:bookmarkEnd w:id="2011"/>
      <w:bookmarkStart w:id="2012" w:name="_Toc288491633"/>
      <w:bookmarkEnd w:id="2012"/>
      <w:bookmarkStart w:id="2013" w:name="_Toc50"/>
      <w:bookmarkEnd w:id="2013"/>
      <w:bookmarkStart w:id="2014" w:name="_Toc282779617"/>
      <w:bookmarkEnd w:id="2014"/>
      <w:bookmarkStart w:id="2015" w:name="_Toc152042532"/>
      <w:bookmarkEnd w:id="2015"/>
      <w:bookmarkStart w:id="2016" w:name="_Toc179632771"/>
      <w:bookmarkEnd w:id="2016"/>
      <w:bookmarkStart w:id="2017" w:name="_Toc144974724"/>
      <w:bookmarkEnd w:id="2017"/>
      <w:bookmarkStart w:id="2018" w:name="_Toc152045753"/>
      <w:bookmarkEnd w:id="2018"/>
      <w:bookmarkStart w:id="2019" w:name="_Toc12548"/>
      <w:bookmarkEnd w:id="2019"/>
      <w:bookmarkStart w:id="2020" w:name="_Toc5180"/>
      <w:bookmarkEnd w:id="2020"/>
      <w:bookmarkStart w:id="2021" w:name="_Toc27694"/>
      <w:bookmarkEnd w:id="2021"/>
      <w:bookmarkStart w:id="2022" w:name="_Toc514936622"/>
      <w:bookmarkEnd w:id="2022"/>
      <w:bookmarkStart w:id="2023" w:name="_Toc18690"/>
      <w:r>
        <w:rPr>
          <w:rFonts w:hint="eastAsia" w:ascii="宋体" w:hAnsi="宋体" w:eastAsia="宋体" w:cs="宋体"/>
          <w:color w:val="auto"/>
          <w:kern w:val="2"/>
          <w:sz w:val="21"/>
          <w:szCs w:val="21"/>
          <w:highlight w:val="none"/>
          <w:lang w:val="en-US" w:eastAsia="zh-CN" w:bidi="ar"/>
        </w:rPr>
        <w:t>22．违约</w:t>
      </w:r>
      <w:bookmarkEnd w:id="2023"/>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024" w:name="_Toc287853458"/>
      <w:bookmarkEnd w:id="2024"/>
      <w:bookmarkStart w:id="2025" w:name="_Toc288491634"/>
      <w:bookmarkEnd w:id="2025"/>
      <w:bookmarkStart w:id="2026" w:name="_Toc282787558"/>
      <w:bookmarkEnd w:id="2026"/>
      <w:bookmarkStart w:id="2027" w:name="_Toc152045754"/>
      <w:bookmarkEnd w:id="2027"/>
      <w:bookmarkStart w:id="2028" w:name="_Toc152042533"/>
      <w:bookmarkEnd w:id="2028"/>
      <w:bookmarkStart w:id="2029" w:name="_Toc144974725"/>
      <w:bookmarkEnd w:id="2029"/>
      <w:bookmarkStart w:id="2030" w:name="_Toc237923933"/>
      <w:bookmarkEnd w:id="2030"/>
      <w:bookmarkStart w:id="2031" w:name="_Toc179632772"/>
      <w:bookmarkEnd w:id="2031"/>
      <w:bookmarkStart w:id="2032" w:name="_Toc283794306"/>
      <w:bookmarkEnd w:id="2032"/>
      <w:bookmarkStart w:id="2033" w:name="_Toc282779109"/>
      <w:bookmarkEnd w:id="2033"/>
      <w:bookmarkStart w:id="2034" w:name="_Toc282779618"/>
      <w:r>
        <w:rPr>
          <w:rFonts w:hint="eastAsia" w:ascii="宋体" w:hAnsi="宋体" w:eastAsia="宋体" w:cs="宋体"/>
          <w:color w:val="auto"/>
          <w:kern w:val="2"/>
          <w:sz w:val="21"/>
          <w:szCs w:val="21"/>
          <w:highlight w:val="none"/>
          <w:lang w:val="en-US" w:eastAsia="zh-CN" w:bidi="ar"/>
        </w:rPr>
        <w:t>22.1  承包人违约</w:t>
      </w:r>
      <w:bookmarkEnd w:id="203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22.1.1  承包人违约的情形</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在履行合同过程中发生的下列情况属承包人违约：</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（1）承包人违反第1.8款或第4.3款的约定，私自将合同的全部或部分权利转让给其他人，或私自将合同的全部或部分义务转移给其他人；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（2）承包人违反第5.3款或第6.4款的约定，未经监理人批准，私自将已按合同约定进入施工现场的施工设备、临时设施、材料或工程设备撤离施工场地；</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（3）承包人违反第5.4款的约定使用了不合格材料或工程设备，工程质量达不到标准要求，又拒绝清除不合格工程；</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（4）承包人未能按合同进度计划及时完成合同约定的工作，已造成或预期造成工期延误；</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（5）承包人在缺陷责任期内，未能对工程接收证书所列的缺陷清单的内容或缺陷责任期内发生的缺陷进行修复，而又拒绝按监理人指示再进行修补；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（6）承包人无法继续履行或明确表示不履行或实质上已停止履行合同；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（7）承包人未能按期开工；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（8）承包人违反第4.6款或6.3款的规定，未按承诺或未按监理人的要求及时配备称职的主要管理人员、技术骨干或关键施工设备；</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（9）经监理人和发包人检查，发现承包人有安全问题或有违反安全管理规章制度的情况；</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（10）承包人不按合同约定履行义务的其他情况。</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22.1.2  对承包人违约的处理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（1）承包人发生第22.1.1（6）目约定的违约情况时，发包人可通知承包人立即解除合同，并按有关法律处理。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（2）承包人发生除第22.1.1（6）目约定以外的其他违约情况时，监理人可向承包人发出整改通知，要求其在指定的期限内改正。承包人应承担其违约所引起的费用增加和（或）工期延误。</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（3）经检查证明承包人已采取了有效措施纠正违约行为，具备复工条件的，可由监理人签发复工通知复工。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（4）承包人发生第22.1.1项约定的违约情况时，无论发包人是否解除合同，发包人均有权向承包人处以项目专用合同条款中规定的违约金，并由发包人将其违约行为上报省级交通主管部门。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22.1.3  承包人违约解除合同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22.1.4  合同解除后的估价、付款和结清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（1）合同解除后，监理人按第3.5款商定或确定承包人实际完成工作的价值，以及承包人已提供的材料、施工设备、工程设备和临时工程等的价值。 </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（2）合同解除后，发包人应暂停对承包人的一切付款，查清各项付款和已扣款金额，包括承包人应支付的违约金。 </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（3）合同解除后，发包人应按第23.4款的约定向承包人索赔由于解除合同给发包人造成的损失。</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（4）合同双方确认上述往来款项后，出具最终结清付款证书，结清全部合同款项。</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（5）发包人和承包人未能就解除合同后的结清达成一致而形成争议的，按第24条的约定办理。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22.1.5  协议利益的转让</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因承包人违约解除合同的，发包人有权要求承包人将其为实施合同而签订的材料和设备的订货协议或任何服务协议利益转让给发包人，并在解除合同后的14天内，依法办理转让手续。 </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22.1.6  紧急情况下无能力或不愿进行抢救</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035" w:name="_Toc282787559"/>
      <w:bookmarkEnd w:id="2035"/>
      <w:r>
        <w:rPr>
          <w:rFonts w:hint="eastAsia" w:ascii="宋体" w:hAnsi="宋体" w:eastAsia="宋体" w:cs="宋体"/>
          <w:color w:val="auto"/>
          <w:kern w:val="2"/>
          <w:sz w:val="21"/>
          <w:szCs w:val="21"/>
          <w:highlight w:val="none"/>
          <w:lang w:val="en-US" w:eastAsia="zh-CN" w:bidi="ar"/>
        </w:rPr>
        <w:t>22.2  发包人违约</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22.2.1  发包人违约的情形</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在履行合同过程中发生的下列情形，属发包人违约：</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（1）发包人未能按合同约定支付预付款或合同价款，或拖延、拒绝批准付款申请和支付凭证，导致付款延误的；</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（2）发包人原因造成停工的；</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（3）监理人无正当理由没有在约定期限内发出复工指示，导致承包人无法复工的；</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合同实施期间，由于整体规划的需进行项目改建的，则养护合同自然终止。发包人对承包人应承担终止合同前已完成的全部工程价款，其范围限于在已给承包人的暂付款中尚未包括的款项与款额，其单价和总额价应按合同的规定。还应支付下述费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a．在工程量清单中第100章承包人驻地建设等总额支付项的应付款额，只要这些子目中的工作或服务已经进行或履行，或其中的工作或服务已经部分履行了的相应比例费用；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b．已经交付承包人或承包人有责任收货的、为本合同养护工程合理订购的材料、设备或货物的费用，发包人一经支付此项费用，该材料、设备或货物即成为发包人的财产；</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c．作为已合理开支的、确实属于承包人为了完成本合同工程而预期开支的任何款额，而该开支还没有包括在本款提及的各项其他支付之内；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d．承包人的员工在上述合同终止时的合理遣返费。</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但是，发包人除按本款规定支付上述费用外，应有权要求承包人偿还各项预付款的未结算余额，以及在合同终止之日，按合同规定应由发包人向承包人收回的任何其他款额。根据本款规定应支付的费额，应由发包人在与承包人协商后确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（5）发包人不履行合同约定其他义务的。</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22.2.2  承包人有权暂停施工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在规定的支付期到期后的15天之内，未能向承包人支付应付养护工程款额（扣除根据合同规定有权扣除的款额后），也未向承包人说明理由，则承包人有权终止对本合同项下的承包，并通知发包人，该终止在发出通知14天后生效。</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应按招标文件中规定计量支付的时间进行进度支付，如连续2次发生已计量应支付而未支付工程款的，承包人可停工（但不得拖欠农民工工资）。造成的损失由发包人承担。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22.2.3  发包人违约解除合同 </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（1）发生第22.2.1（4）目的违约情况时，承包人可书面通知发包人解除合同。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（2）承包人按22.2.2项暂停施工28天后，发包人仍不纠正违约行为的，承包人可向发包人发出解除合同通知。但承包人的这一行动不免除发包人承担的违约责任，也不影响承包人根据合同约定享有的索赔权利。</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22.2.4  解除合同后的付款</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因发包人违约解除合同的，发包人应在解除合同后28天内向承包人支付下列金额，承包人应在此期限内及时向发包人提交要求支付下列金额的有关资料和凭证：</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（1）合同解除日以前所完成工作的价款；</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（2）承包人为该工程施工订购并已付款的材料和其他物品的金额。发包人付款后，该材料和其他物品归发包人所有；</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（3）承包人为完成工程所发生的，而发包人未支付的金额；</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（4）承包人撤离施工场地以及遣散承包人人员的金额；</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（5）由于解除合同应赔偿的承包人损失；</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（6）按合同约定在合同解除日前应支付给承包人的其他金额。</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发包人应按本项约定支付上述金额并退还质量保证金和履约担保，但有权要求承包人支付应偿还给发包人的各项金额。</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22.2.5  解除合同后的承包人撤离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036" w:name="_Toc152042535"/>
      <w:bookmarkEnd w:id="2036"/>
      <w:bookmarkStart w:id="2037" w:name="_Toc237923935"/>
      <w:bookmarkEnd w:id="2037"/>
      <w:bookmarkStart w:id="2038" w:name="_Toc283794307"/>
      <w:bookmarkEnd w:id="2038"/>
      <w:bookmarkStart w:id="2039" w:name="_Toc282787560"/>
      <w:bookmarkEnd w:id="2039"/>
      <w:bookmarkStart w:id="2040" w:name="_Toc288491635"/>
      <w:bookmarkEnd w:id="2040"/>
      <w:bookmarkStart w:id="2041" w:name="_Toc282779619"/>
      <w:bookmarkEnd w:id="2041"/>
      <w:bookmarkStart w:id="2042" w:name="_Toc282779110"/>
      <w:bookmarkEnd w:id="2042"/>
      <w:bookmarkStart w:id="2043" w:name="_Toc287853459"/>
      <w:bookmarkEnd w:id="2043"/>
      <w:bookmarkStart w:id="2044" w:name="_Toc179632774"/>
      <w:bookmarkEnd w:id="2044"/>
      <w:bookmarkStart w:id="2045" w:name="_Toc152045756"/>
      <w:r>
        <w:rPr>
          <w:rFonts w:hint="eastAsia" w:ascii="宋体" w:hAnsi="宋体" w:eastAsia="宋体" w:cs="宋体"/>
          <w:color w:val="auto"/>
          <w:kern w:val="2"/>
          <w:sz w:val="21"/>
          <w:szCs w:val="21"/>
          <w:highlight w:val="none"/>
          <w:lang w:val="en-US" w:eastAsia="zh-CN" w:bidi="ar"/>
        </w:rPr>
        <w:t>22.3  第三人造成的违约</w:t>
      </w:r>
      <w:bookmarkEnd w:id="2045"/>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在履行合同过程中，一方当事人因第三人的原因造成违约的，应当向对方当事人承担违约责任。一方当事人和第三人之间的纠纷，依照法律规定或者按照约定解决。</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2046" w:name="_Toc25177"/>
      <w:bookmarkEnd w:id="2046"/>
      <w:bookmarkStart w:id="2047" w:name="_Toc17292"/>
      <w:bookmarkEnd w:id="2047"/>
      <w:bookmarkStart w:id="2048" w:name="_Toc20372"/>
      <w:bookmarkEnd w:id="2048"/>
      <w:bookmarkStart w:id="2049" w:name="_Toc287853460"/>
      <w:bookmarkEnd w:id="2049"/>
      <w:bookmarkStart w:id="2050" w:name="_Toc7262"/>
      <w:bookmarkEnd w:id="2050"/>
      <w:bookmarkStart w:id="2051" w:name="_Toc282779620"/>
      <w:bookmarkEnd w:id="2051"/>
      <w:bookmarkStart w:id="2052" w:name="_Toc179632775"/>
      <w:bookmarkEnd w:id="2052"/>
      <w:bookmarkStart w:id="2053" w:name="_Toc144974727"/>
      <w:bookmarkEnd w:id="2053"/>
      <w:bookmarkStart w:id="2054" w:name="_Toc2899"/>
      <w:bookmarkEnd w:id="2054"/>
      <w:bookmarkStart w:id="2055" w:name="_Toc20021"/>
      <w:bookmarkEnd w:id="2055"/>
      <w:bookmarkStart w:id="2056" w:name="_Toc514936623"/>
      <w:bookmarkEnd w:id="2056"/>
      <w:bookmarkStart w:id="2057" w:name="_Toc14927"/>
      <w:bookmarkEnd w:id="2057"/>
      <w:bookmarkStart w:id="2058" w:name="_Toc283794308"/>
      <w:bookmarkEnd w:id="2058"/>
      <w:bookmarkStart w:id="2059" w:name="_Toc282779111"/>
      <w:bookmarkEnd w:id="2059"/>
      <w:bookmarkStart w:id="2060" w:name="_Toc282787561"/>
      <w:bookmarkEnd w:id="2060"/>
      <w:bookmarkStart w:id="2061" w:name="_Toc19838"/>
      <w:bookmarkEnd w:id="2061"/>
      <w:bookmarkStart w:id="2062" w:name="_Toc15027"/>
      <w:bookmarkEnd w:id="2062"/>
      <w:bookmarkStart w:id="2063" w:name="_Toc237923936"/>
      <w:bookmarkEnd w:id="2063"/>
      <w:bookmarkStart w:id="2064" w:name="_Toc152042536"/>
      <w:bookmarkEnd w:id="2064"/>
      <w:bookmarkStart w:id="2065" w:name="_Toc27599"/>
      <w:bookmarkEnd w:id="2065"/>
      <w:bookmarkStart w:id="2066" w:name="_Toc152045757"/>
      <w:bookmarkEnd w:id="2066"/>
      <w:bookmarkStart w:id="2067" w:name="_Toc13177"/>
      <w:bookmarkEnd w:id="2067"/>
      <w:bookmarkStart w:id="2068" w:name="_Toc20123"/>
      <w:bookmarkEnd w:id="2068"/>
      <w:bookmarkStart w:id="2069" w:name="_Toc288491636"/>
      <w:bookmarkEnd w:id="2069"/>
      <w:bookmarkStart w:id="2070" w:name="_Toc22045"/>
      <w:bookmarkEnd w:id="2070"/>
      <w:bookmarkStart w:id="2071" w:name="_Toc118378094"/>
      <w:r>
        <w:rPr>
          <w:rFonts w:hint="eastAsia" w:ascii="宋体" w:hAnsi="宋体" w:eastAsia="宋体" w:cs="宋体"/>
          <w:color w:val="auto"/>
          <w:kern w:val="2"/>
          <w:sz w:val="21"/>
          <w:szCs w:val="21"/>
          <w:highlight w:val="none"/>
          <w:lang w:val="en-US" w:eastAsia="zh-CN" w:bidi="ar"/>
        </w:rPr>
        <w:t>23．索赔</w:t>
      </w:r>
      <w:bookmarkEnd w:id="2071"/>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072" w:name="_Toc152045758"/>
      <w:bookmarkEnd w:id="2072"/>
      <w:bookmarkStart w:id="2073" w:name="_Toc179632776"/>
      <w:bookmarkEnd w:id="2073"/>
      <w:bookmarkStart w:id="2074" w:name="_Toc144974728"/>
      <w:bookmarkEnd w:id="2074"/>
      <w:bookmarkStart w:id="2075" w:name="_Toc152042537"/>
      <w:bookmarkEnd w:id="2075"/>
      <w:bookmarkStart w:id="2076" w:name="_Toc287853461"/>
      <w:bookmarkEnd w:id="2076"/>
      <w:bookmarkStart w:id="2077" w:name="_Toc283794309"/>
      <w:bookmarkEnd w:id="2077"/>
      <w:bookmarkStart w:id="2078" w:name="_Toc237923937"/>
      <w:bookmarkEnd w:id="2078"/>
      <w:bookmarkStart w:id="2079" w:name="_Toc282779621"/>
      <w:bookmarkEnd w:id="2079"/>
      <w:bookmarkStart w:id="2080" w:name="_Toc288491637"/>
      <w:bookmarkEnd w:id="2080"/>
      <w:bookmarkStart w:id="2081" w:name="_Toc282787562"/>
      <w:bookmarkEnd w:id="2081"/>
      <w:bookmarkStart w:id="2082" w:name="_Toc282779112"/>
      <w:r>
        <w:rPr>
          <w:rFonts w:hint="eastAsia" w:ascii="宋体" w:hAnsi="宋体" w:eastAsia="宋体" w:cs="宋体"/>
          <w:color w:val="auto"/>
          <w:kern w:val="2"/>
          <w:sz w:val="21"/>
          <w:szCs w:val="21"/>
          <w:highlight w:val="none"/>
          <w:lang w:val="en-US" w:eastAsia="zh-CN" w:bidi="ar"/>
        </w:rPr>
        <w:t>23.1  承包人索赔的提出</w:t>
      </w:r>
      <w:bookmarkEnd w:id="2082"/>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根据合同约定，承包人认为有权得到追加付款和（或）延长工期的，应按以下程序向发包人提出索赔：</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（1）承包人应在知道或应当知道索赔事件发生后28天内，向监理人递交索赔意向通知书，并说明发生索赔事件的事由。承包人未在前述28天内发出索赔意向通知书的，丧失要求追加付款和（或）延长工期的权利；</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（2）承包人应在发出索赔意向通知书后28天内，向监理人正式递交索赔通知书。索赔通知书应详细说明索赔理由以及要求追加的付款金额和（或）延长的工期，并附必要的记录和证明材料；</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（3）索赔事件具有连续影响的，承包人应按合理时间间隔继续递交延续索赔通知，说明连续影响的实际情况和记录，列出累计的追加付款金额和（或）工期延长天数；</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（4）在索赔事件影响结束后的28天内，承包人应向监理人递交最终索赔通知书，说明最终要求索赔的追加付款金额和（或）延长的工期，并附必要的记录和证明材料。</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083" w:name="_Toc152042538"/>
      <w:bookmarkEnd w:id="2083"/>
      <w:bookmarkStart w:id="2084" w:name="_Toc282787563"/>
      <w:bookmarkEnd w:id="2084"/>
      <w:bookmarkStart w:id="2085" w:name="_Toc282779622"/>
      <w:bookmarkEnd w:id="2085"/>
      <w:bookmarkStart w:id="2086" w:name="_Toc144974729"/>
      <w:bookmarkEnd w:id="2086"/>
      <w:bookmarkStart w:id="2087" w:name="_Toc283794310"/>
      <w:bookmarkEnd w:id="2087"/>
      <w:bookmarkStart w:id="2088" w:name="_Toc282779113"/>
      <w:bookmarkEnd w:id="2088"/>
      <w:bookmarkStart w:id="2089" w:name="_Toc152045759"/>
      <w:bookmarkEnd w:id="2089"/>
      <w:bookmarkStart w:id="2090" w:name="_Toc237923938"/>
      <w:bookmarkEnd w:id="2090"/>
      <w:bookmarkStart w:id="2091" w:name="_Toc179632777"/>
      <w:bookmarkEnd w:id="2091"/>
      <w:bookmarkStart w:id="2092" w:name="_Toc288491638"/>
      <w:bookmarkEnd w:id="2092"/>
      <w:bookmarkStart w:id="2093" w:name="_Toc287853462"/>
      <w:r>
        <w:rPr>
          <w:rFonts w:hint="eastAsia" w:ascii="宋体" w:hAnsi="宋体" w:eastAsia="宋体" w:cs="宋体"/>
          <w:color w:val="auto"/>
          <w:kern w:val="2"/>
          <w:sz w:val="21"/>
          <w:szCs w:val="21"/>
          <w:highlight w:val="none"/>
          <w:lang w:val="en-US" w:eastAsia="zh-CN" w:bidi="ar"/>
        </w:rPr>
        <w:t>23.2  承包人索赔处理程序</w:t>
      </w:r>
      <w:bookmarkEnd w:id="209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（1）监理人收到承包人提交的索赔通知书后，应及时审查索赔通知书的内容、查验承包人的记录和证明材料，必要时监理人可要求承包人提交全部原始记录副本。</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于监理人按当时记录予以核实的那部分款额和（或）工期延长天数。</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（3）承包人接受索赔处理结果的，发包人应在作出索赔处理结果答复后28天内完成赔付。承包人不接受索赔处理结果的，按第24条的约定办理。</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094" w:name="_Toc237923939"/>
      <w:bookmarkEnd w:id="2094"/>
      <w:bookmarkStart w:id="2095" w:name="_Toc144974730"/>
      <w:bookmarkEnd w:id="2095"/>
      <w:bookmarkStart w:id="2096" w:name="_Toc282779623"/>
      <w:bookmarkEnd w:id="2096"/>
      <w:bookmarkStart w:id="2097" w:name="_Toc287853463"/>
      <w:bookmarkEnd w:id="2097"/>
      <w:bookmarkStart w:id="2098" w:name="_Toc282787564"/>
      <w:bookmarkEnd w:id="2098"/>
      <w:bookmarkStart w:id="2099" w:name="_Toc283794311"/>
      <w:bookmarkEnd w:id="2099"/>
      <w:bookmarkStart w:id="2100" w:name="_Toc152042539"/>
      <w:bookmarkEnd w:id="2100"/>
      <w:bookmarkStart w:id="2101" w:name="_Toc152045760"/>
      <w:bookmarkEnd w:id="2101"/>
      <w:bookmarkStart w:id="2102" w:name="_Toc179632778"/>
      <w:bookmarkEnd w:id="2102"/>
      <w:bookmarkStart w:id="2103" w:name="_Toc288491639"/>
      <w:bookmarkEnd w:id="2103"/>
      <w:bookmarkStart w:id="2104" w:name="_Toc282779114"/>
      <w:r>
        <w:rPr>
          <w:rFonts w:hint="eastAsia" w:ascii="宋体" w:hAnsi="宋体" w:eastAsia="宋体" w:cs="宋体"/>
          <w:color w:val="auto"/>
          <w:kern w:val="2"/>
          <w:sz w:val="21"/>
          <w:szCs w:val="21"/>
          <w:highlight w:val="none"/>
          <w:lang w:val="en-US" w:eastAsia="zh-CN" w:bidi="ar"/>
        </w:rPr>
        <w:t>23.3  承包人提出索赔的期限</w:t>
      </w:r>
      <w:bookmarkEnd w:id="210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23.3.1  承包人按第17.5款的约定接受了竣工付款证书后，应被认为已无权再提出在合同工程接收证书颁发前所发生的任何索赔。</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shd w:val="clear" w:fill="7F7F7F"/>
        </w:rPr>
      </w:pPr>
      <w:r>
        <w:rPr>
          <w:rFonts w:hint="eastAsia" w:ascii="宋体" w:hAnsi="宋体" w:eastAsia="宋体" w:cs="宋体"/>
          <w:color w:val="auto"/>
          <w:kern w:val="2"/>
          <w:sz w:val="21"/>
          <w:szCs w:val="21"/>
          <w:highlight w:val="none"/>
          <w:lang w:val="en-US" w:eastAsia="zh-CN" w:bidi="ar"/>
        </w:rPr>
        <w:t>23.3.2  承包人按第17.6款的约定提交的最终结清申请单中，只限于提出工程接收证书颁发后发生的索赔。提出索赔的期限自接受最终结清证书时终止。</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105" w:name="_Toc283794312"/>
      <w:bookmarkEnd w:id="2105"/>
      <w:bookmarkStart w:id="2106" w:name="_Toc237923940"/>
      <w:bookmarkEnd w:id="2106"/>
      <w:bookmarkStart w:id="2107" w:name="_Toc179632779"/>
      <w:bookmarkEnd w:id="2107"/>
      <w:bookmarkStart w:id="2108" w:name="_Toc152042540"/>
      <w:bookmarkEnd w:id="2108"/>
      <w:bookmarkStart w:id="2109" w:name="_Toc144974731"/>
      <w:bookmarkEnd w:id="2109"/>
      <w:bookmarkStart w:id="2110" w:name="_Toc288491640"/>
      <w:bookmarkEnd w:id="2110"/>
      <w:bookmarkStart w:id="2111" w:name="_Toc282779624"/>
      <w:bookmarkEnd w:id="2111"/>
      <w:bookmarkStart w:id="2112" w:name="_Toc282787565"/>
      <w:bookmarkEnd w:id="2112"/>
      <w:bookmarkStart w:id="2113" w:name="_Toc152045761"/>
      <w:bookmarkEnd w:id="2113"/>
      <w:bookmarkStart w:id="2114" w:name="_Toc287853464"/>
      <w:bookmarkEnd w:id="2114"/>
      <w:bookmarkStart w:id="2115" w:name="_Toc282779115"/>
      <w:r>
        <w:rPr>
          <w:rFonts w:hint="eastAsia" w:ascii="宋体" w:hAnsi="宋体" w:eastAsia="宋体" w:cs="宋体"/>
          <w:color w:val="auto"/>
          <w:kern w:val="2"/>
          <w:sz w:val="21"/>
          <w:szCs w:val="21"/>
          <w:highlight w:val="none"/>
          <w:lang w:val="en-US" w:eastAsia="zh-CN" w:bidi="ar"/>
        </w:rPr>
        <w:t>23.4  发包人的索赔</w:t>
      </w:r>
      <w:bookmarkEnd w:id="2115"/>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23.4.2  监理人按第3.5款商定或确定发包人从承包人处得到赔付的金额和（或）缺陷责任期的延长期。承包人应付给发包人的金额可从拟支付给承包人的合同价款中扣除，或由承包人以其他方式支付给发包人。</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2116" w:name="_Toc31217"/>
      <w:bookmarkEnd w:id="2116"/>
      <w:bookmarkStart w:id="2117" w:name="_Toc13270"/>
      <w:bookmarkEnd w:id="2117"/>
      <w:bookmarkStart w:id="2118" w:name="_Toc118378095"/>
      <w:bookmarkEnd w:id="2118"/>
      <w:bookmarkStart w:id="2119" w:name="_Toc152042541"/>
      <w:bookmarkEnd w:id="2119"/>
      <w:bookmarkStart w:id="2120" w:name="_Toc18556"/>
      <w:bookmarkEnd w:id="2120"/>
      <w:bookmarkStart w:id="2121" w:name="_Toc237923941"/>
      <w:bookmarkEnd w:id="2121"/>
      <w:bookmarkStart w:id="2122" w:name="_Toc20296"/>
      <w:bookmarkEnd w:id="2122"/>
      <w:bookmarkStart w:id="2123" w:name="_Toc288491641"/>
      <w:bookmarkEnd w:id="2123"/>
      <w:bookmarkStart w:id="2124" w:name="_Toc282779625"/>
      <w:bookmarkEnd w:id="2124"/>
      <w:bookmarkStart w:id="2125" w:name="_Toc282779116"/>
      <w:bookmarkEnd w:id="2125"/>
      <w:bookmarkStart w:id="2126" w:name="_Toc640"/>
      <w:bookmarkEnd w:id="2126"/>
      <w:bookmarkStart w:id="2127" w:name="_Toc21345"/>
      <w:bookmarkEnd w:id="2127"/>
      <w:bookmarkStart w:id="2128" w:name="_Toc21466"/>
      <w:bookmarkEnd w:id="2128"/>
      <w:bookmarkStart w:id="2129" w:name="_Toc152045762"/>
      <w:bookmarkEnd w:id="2129"/>
      <w:bookmarkStart w:id="2130" w:name="_Toc282787566"/>
      <w:bookmarkEnd w:id="2130"/>
      <w:bookmarkStart w:id="2131" w:name="_Toc13404"/>
      <w:bookmarkEnd w:id="2131"/>
      <w:bookmarkStart w:id="2132" w:name="_Toc179632780"/>
      <w:bookmarkEnd w:id="2132"/>
      <w:bookmarkStart w:id="2133" w:name="_Toc283794313"/>
      <w:bookmarkEnd w:id="2133"/>
      <w:bookmarkStart w:id="2134" w:name="_Toc29125"/>
      <w:bookmarkEnd w:id="2134"/>
      <w:bookmarkStart w:id="2135" w:name="_Toc287853465"/>
      <w:bookmarkEnd w:id="2135"/>
      <w:bookmarkStart w:id="2136" w:name="_Toc514936624"/>
      <w:bookmarkEnd w:id="2136"/>
      <w:bookmarkStart w:id="2137" w:name="_Toc15184"/>
      <w:bookmarkEnd w:id="2137"/>
      <w:bookmarkStart w:id="2138" w:name="_Toc25231"/>
      <w:bookmarkEnd w:id="2138"/>
      <w:bookmarkStart w:id="2139" w:name="_Toc6473"/>
      <w:bookmarkEnd w:id="2139"/>
      <w:bookmarkStart w:id="2140" w:name="_Toc14431"/>
      <w:bookmarkEnd w:id="2140"/>
      <w:bookmarkStart w:id="2141" w:name="_Toc144974732"/>
      <w:r>
        <w:rPr>
          <w:rFonts w:hint="eastAsia" w:ascii="宋体" w:hAnsi="宋体" w:eastAsia="宋体" w:cs="宋体"/>
          <w:color w:val="auto"/>
          <w:kern w:val="2"/>
          <w:sz w:val="21"/>
          <w:szCs w:val="21"/>
          <w:highlight w:val="none"/>
          <w:lang w:val="en-US" w:eastAsia="zh-CN" w:bidi="ar"/>
        </w:rPr>
        <w:t>24．争议的解决</w:t>
      </w:r>
      <w:bookmarkEnd w:id="2141"/>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142" w:name="_Toc237923942"/>
      <w:bookmarkEnd w:id="2142"/>
      <w:bookmarkStart w:id="2143" w:name="_Toc288491642"/>
      <w:bookmarkEnd w:id="2143"/>
      <w:bookmarkStart w:id="2144" w:name="_Toc282779626"/>
      <w:bookmarkEnd w:id="2144"/>
      <w:bookmarkStart w:id="2145" w:name="_Toc287853466"/>
      <w:bookmarkEnd w:id="2145"/>
      <w:bookmarkStart w:id="2146" w:name="_Toc282787567"/>
      <w:bookmarkEnd w:id="2146"/>
      <w:bookmarkStart w:id="2147" w:name="_Toc283794314"/>
      <w:bookmarkEnd w:id="2147"/>
      <w:bookmarkStart w:id="2148" w:name="_Toc144974733"/>
      <w:bookmarkEnd w:id="2148"/>
      <w:bookmarkStart w:id="2149" w:name="_Toc152042542"/>
      <w:bookmarkEnd w:id="2149"/>
      <w:bookmarkStart w:id="2150" w:name="_Toc282779117"/>
      <w:bookmarkEnd w:id="2150"/>
      <w:bookmarkStart w:id="2151" w:name="_Toc152045763"/>
      <w:bookmarkEnd w:id="2151"/>
      <w:bookmarkStart w:id="2152" w:name="_Toc179632781"/>
      <w:r>
        <w:rPr>
          <w:rFonts w:hint="eastAsia" w:ascii="宋体" w:hAnsi="宋体" w:eastAsia="宋体" w:cs="宋体"/>
          <w:color w:val="auto"/>
          <w:kern w:val="2"/>
          <w:sz w:val="21"/>
          <w:szCs w:val="21"/>
          <w:highlight w:val="none"/>
          <w:lang w:val="en-US" w:eastAsia="zh-CN" w:bidi="ar"/>
        </w:rPr>
        <w:t>24.1  争议的解决方式</w:t>
      </w:r>
      <w:bookmarkEnd w:id="2152"/>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（1）向约定的仲裁委员会申请仲裁；</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（2）向有管辖权的人民法院提起诉讼。</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153" w:name="_Toc288491643"/>
      <w:bookmarkEnd w:id="2153"/>
      <w:bookmarkStart w:id="2154" w:name="_Toc237923943"/>
      <w:bookmarkEnd w:id="2154"/>
      <w:bookmarkStart w:id="2155" w:name="_Toc282779627"/>
      <w:bookmarkEnd w:id="2155"/>
      <w:bookmarkStart w:id="2156" w:name="_Toc283794315"/>
      <w:bookmarkEnd w:id="2156"/>
      <w:bookmarkStart w:id="2157" w:name="_Toc144974734"/>
      <w:bookmarkEnd w:id="2157"/>
      <w:bookmarkStart w:id="2158" w:name="_Toc152042543"/>
      <w:bookmarkEnd w:id="2158"/>
      <w:bookmarkStart w:id="2159" w:name="_Toc287853467"/>
      <w:bookmarkEnd w:id="2159"/>
      <w:bookmarkStart w:id="2160" w:name="_Toc152045764"/>
      <w:bookmarkEnd w:id="2160"/>
      <w:bookmarkStart w:id="2161" w:name="_Toc179632782"/>
      <w:bookmarkEnd w:id="2161"/>
      <w:bookmarkStart w:id="2162" w:name="_Toc282787568"/>
      <w:bookmarkEnd w:id="2162"/>
      <w:bookmarkStart w:id="2163" w:name="_Toc282779118"/>
      <w:r>
        <w:rPr>
          <w:rFonts w:hint="eastAsia" w:ascii="宋体" w:hAnsi="宋体" w:eastAsia="宋体" w:cs="宋体"/>
          <w:color w:val="auto"/>
          <w:kern w:val="2"/>
          <w:sz w:val="21"/>
          <w:szCs w:val="21"/>
          <w:highlight w:val="none"/>
          <w:lang w:val="en-US" w:eastAsia="zh-CN" w:bidi="ar"/>
        </w:rPr>
        <w:t>24.2  友好解决</w:t>
      </w:r>
      <w:bookmarkEnd w:id="216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在提请争议评审、仲裁或者诉讼前，以及在争议评审、仲裁或诉讼过程中，发包人和承包人均可共同努力友好协商解决争议。</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164" w:name="_Toc282779119"/>
      <w:bookmarkEnd w:id="2164"/>
      <w:bookmarkStart w:id="2165" w:name="_Toc237923944"/>
      <w:bookmarkEnd w:id="2165"/>
      <w:bookmarkStart w:id="2166" w:name="_Toc152042544"/>
      <w:bookmarkEnd w:id="2166"/>
      <w:bookmarkStart w:id="2167" w:name="_Toc282787569"/>
      <w:bookmarkEnd w:id="2167"/>
      <w:bookmarkStart w:id="2168" w:name="_Toc144974735"/>
      <w:bookmarkEnd w:id="2168"/>
      <w:bookmarkStart w:id="2169" w:name="_Toc179632783"/>
      <w:bookmarkEnd w:id="2169"/>
      <w:bookmarkStart w:id="2170" w:name="_Toc287853468"/>
      <w:bookmarkEnd w:id="2170"/>
      <w:bookmarkStart w:id="2171" w:name="_Toc282779628"/>
      <w:bookmarkEnd w:id="2171"/>
      <w:bookmarkStart w:id="2172" w:name="_Toc283794316"/>
      <w:bookmarkEnd w:id="2172"/>
      <w:bookmarkStart w:id="2173" w:name="_Toc152045765"/>
      <w:bookmarkEnd w:id="2173"/>
      <w:bookmarkStart w:id="2174" w:name="_Toc288491644"/>
      <w:r>
        <w:rPr>
          <w:rFonts w:hint="eastAsia" w:ascii="宋体" w:hAnsi="宋体" w:eastAsia="宋体" w:cs="宋体"/>
          <w:color w:val="auto"/>
          <w:kern w:val="2"/>
          <w:sz w:val="21"/>
          <w:szCs w:val="21"/>
          <w:highlight w:val="none"/>
          <w:lang w:val="en-US" w:eastAsia="zh-CN" w:bidi="ar"/>
        </w:rPr>
        <w:t>24.3  争议评审</w:t>
      </w:r>
      <w:bookmarkEnd w:id="2174"/>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24.3.1  采用争议评审的，发包人和承包人应在开工日后的28天内或在争议发生后，协商成立争议评审组。争议评审组由有合同管理和工程实践经验的专家组成。</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争议评审组由3人或5人组成，专家聘请方法可由发包人和承包人共同协商确定，亦可请政府主管部门推荐或通过争议调解机构聘请，并经双方认同。争议评审组成员应与合同双方均无利害关系。争议评审组的各项费用由发包人和承包人平均分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24.3.2  合同双方的争议，应首先由申请人向争议评审组提交一份详细的评审申请报告，并附必要的文件、图纸和证明材料，申请人还应将上述报告的副本同时提交给被申请人和监理人。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24.3.3  被申请人在收到申请人评审申请报告副本后的28天内，向争议评审组提交一份答辩报告，并附证明材料。被申请人应将答辩报告的副本同时提交给申请人和监理人。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24.3.4  除专用合同条款另有约定外，争议评审组在收到合同双方报告后的14天内，邀请双方代表和有关人员举行调查会，向双方调查争议细节；必要时争议评审组可要求双方进一步提供补充材料。</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24.3.6  发包人和承包人接受评审意见的，由监理人根据评审意见拟定执行协议，经争议双方签字后作为合同的补充文件，并遵照执行。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175" w:name="_Toc282787570"/>
      <w:bookmarkEnd w:id="2175"/>
      <w:r>
        <w:rPr>
          <w:rFonts w:hint="eastAsia" w:ascii="宋体" w:hAnsi="宋体" w:eastAsia="宋体" w:cs="宋体"/>
          <w:color w:val="auto"/>
          <w:kern w:val="2"/>
          <w:sz w:val="21"/>
          <w:szCs w:val="21"/>
          <w:highlight w:val="none"/>
          <w:lang w:val="en-US" w:eastAsia="zh-CN" w:bidi="ar"/>
        </w:rPr>
        <w:t>24.4  仲裁</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24.4.1  本款适用于采用仲裁方式最终解决争议的项目。</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（1）对于未能友好解决或未能通过争议评审解决的争议，发包人或承包人任一方均有权提交给第24.1款约定的仲裁委员会仲裁。</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（3）仲裁裁决是终局性的并对发包人和承包人双方具有约束力。</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（4）全部仲裁费用应由败诉方承担；或按仲裁委员会裁决的比例分担。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24.4.2  仲裁的执行。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（1）任何一方不履行仲裁机构的裁决的，对方可以向有管辖权的人民法院申请执行。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4"/>
        <w:widowControl/>
        <w:jc w:val="center"/>
        <w:rPr>
          <w:rFonts w:hint="eastAsia" w:ascii="宋体" w:hAnsi="宋体" w:eastAsia="宋体" w:cs="宋体"/>
          <w:b w:val="0"/>
          <w:bCs/>
          <w:color w:val="auto"/>
          <w:spacing w:val="-6"/>
          <w:kern w:val="2"/>
          <w:sz w:val="21"/>
          <w:szCs w:val="21"/>
          <w:highlight w:val="none"/>
        </w:rPr>
      </w:pPr>
      <w:bookmarkStart w:id="2176" w:name="_Toc283794317"/>
      <w:bookmarkEnd w:id="2176"/>
      <w:bookmarkStart w:id="2177" w:name="_Toc282779120"/>
      <w:bookmarkEnd w:id="2177"/>
      <w:bookmarkStart w:id="2178" w:name="_Toc282779629"/>
      <w:bookmarkEnd w:id="2178"/>
      <w:bookmarkStart w:id="2179" w:name="_Toc288491645"/>
      <w:bookmarkEnd w:id="2179"/>
      <w:bookmarkStart w:id="2180" w:name="_Toc282787571"/>
      <w:bookmarkEnd w:id="2180"/>
      <w:bookmarkStart w:id="2181" w:name="_Toc287853469"/>
      <w:r>
        <w:rPr>
          <w:rFonts w:hint="eastAsia" w:ascii="宋体" w:hAnsi="宋体" w:eastAsia="宋体" w:cs="宋体"/>
          <w:b w:val="0"/>
          <w:bCs/>
          <w:color w:val="auto"/>
          <w:spacing w:val="-6"/>
          <w:kern w:val="2"/>
          <w:sz w:val="21"/>
          <w:szCs w:val="21"/>
          <w:highlight w:val="none"/>
        </w:rPr>
        <w:br w:type="page"/>
      </w:r>
      <w:bookmarkEnd w:id="2181"/>
      <w:bookmarkStart w:id="2182" w:name="_Toc8463"/>
      <w:bookmarkEnd w:id="2182"/>
      <w:bookmarkStart w:id="2183" w:name="_Toc118378096"/>
      <w:bookmarkEnd w:id="2183"/>
      <w:bookmarkStart w:id="2184" w:name="_Toc15025"/>
      <w:bookmarkEnd w:id="2184"/>
      <w:bookmarkStart w:id="2185" w:name="_Toc7675"/>
      <w:bookmarkEnd w:id="2185"/>
      <w:bookmarkStart w:id="2186" w:name="_Toc31332"/>
      <w:bookmarkEnd w:id="2186"/>
      <w:bookmarkStart w:id="2187" w:name="_Toc25168"/>
      <w:bookmarkEnd w:id="2187"/>
      <w:bookmarkStart w:id="2188" w:name="_Toc31112"/>
      <w:bookmarkEnd w:id="2188"/>
      <w:bookmarkStart w:id="2189" w:name="_Toc4425"/>
      <w:bookmarkEnd w:id="2189"/>
      <w:bookmarkStart w:id="2190" w:name="_Toc12436"/>
      <w:bookmarkEnd w:id="2190"/>
      <w:bookmarkStart w:id="2191" w:name="_Toc29361"/>
      <w:bookmarkEnd w:id="2191"/>
      <w:bookmarkStart w:id="2192" w:name="_Toc18944"/>
      <w:bookmarkEnd w:id="2192"/>
      <w:bookmarkStart w:id="2193" w:name="_Toc22254"/>
      <w:bookmarkEnd w:id="2193"/>
      <w:bookmarkStart w:id="2194" w:name="_Toc514936625"/>
      <w:bookmarkEnd w:id="2194"/>
      <w:bookmarkStart w:id="2195" w:name="_Toc5035"/>
      <w:bookmarkEnd w:id="2195"/>
      <w:bookmarkStart w:id="2196" w:name="_Toc10845"/>
      <w:r>
        <w:rPr>
          <w:rFonts w:hint="eastAsia" w:ascii="宋体" w:hAnsi="宋体" w:eastAsia="宋体" w:cs="宋体"/>
          <w:b/>
          <w:bCs w:val="0"/>
          <w:color w:val="auto"/>
          <w:spacing w:val="-6"/>
          <w:kern w:val="2"/>
          <w:sz w:val="28"/>
          <w:szCs w:val="28"/>
          <w:highlight w:val="none"/>
        </w:rPr>
        <w:t>第二节  项目专用合同条款</w:t>
      </w:r>
      <w:bookmarkEnd w:id="2196"/>
    </w:p>
    <w:p>
      <w:pPr>
        <w:pStyle w:val="4"/>
        <w:widowControl/>
        <w:spacing w:before="360" w:beforeAutospacing="0" w:after="120" w:afterAutospacing="0" w:line="240" w:lineRule="auto"/>
        <w:jc w:val="center"/>
        <w:rPr>
          <w:rFonts w:hint="eastAsia" w:ascii="宋体" w:hAnsi="宋体" w:eastAsia="宋体" w:cs="宋体"/>
          <w:b w:val="0"/>
          <w:bCs/>
          <w:color w:val="auto"/>
          <w:spacing w:val="-6"/>
          <w:kern w:val="2"/>
          <w:sz w:val="21"/>
          <w:szCs w:val="21"/>
          <w:highlight w:val="none"/>
        </w:rPr>
      </w:pPr>
      <w:bookmarkStart w:id="2197" w:name="_Toc16210"/>
      <w:bookmarkEnd w:id="2197"/>
      <w:bookmarkStart w:id="2198" w:name="_Toc6860"/>
      <w:bookmarkEnd w:id="2198"/>
      <w:bookmarkStart w:id="2199" w:name="_Toc24299"/>
      <w:bookmarkEnd w:id="2199"/>
      <w:bookmarkStart w:id="2200" w:name="_Toc18983"/>
      <w:bookmarkEnd w:id="2200"/>
      <w:bookmarkStart w:id="2201" w:name="_Toc282779121"/>
      <w:bookmarkEnd w:id="2201"/>
      <w:bookmarkStart w:id="2202" w:name="_Toc282779630"/>
      <w:bookmarkEnd w:id="2202"/>
      <w:bookmarkStart w:id="2203" w:name="_Toc7524"/>
      <w:bookmarkEnd w:id="2203"/>
      <w:bookmarkStart w:id="2204" w:name="_Toc30610"/>
      <w:bookmarkEnd w:id="2204"/>
      <w:bookmarkStart w:id="2205" w:name="_Toc3664"/>
      <w:bookmarkEnd w:id="2205"/>
      <w:bookmarkStart w:id="2206" w:name="_Toc8109"/>
      <w:bookmarkEnd w:id="2206"/>
      <w:bookmarkStart w:id="2207" w:name="_Toc24712"/>
      <w:bookmarkEnd w:id="2207"/>
      <w:bookmarkStart w:id="2208" w:name="_Toc12565"/>
      <w:bookmarkEnd w:id="2208"/>
      <w:bookmarkStart w:id="2209" w:name="_Toc282787572"/>
      <w:bookmarkEnd w:id="2209"/>
      <w:bookmarkStart w:id="2210" w:name="_Toc11171"/>
      <w:bookmarkEnd w:id="2210"/>
      <w:bookmarkStart w:id="2211" w:name="_Toc287853470"/>
      <w:bookmarkEnd w:id="2211"/>
      <w:bookmarkStart w:id="2212" w:name="_Toc118378097"/>
      <w:bookmarkEnd w:id="2212"/>
      <w:bookmarkStart w:id="2213" w:name="_Toc10097"/>
      <w:bookmarkEnd w:id="2213"/>
      <w:bookmarkStart w:id="2214" w:name="_Toc28029"/>
      <w:bookmarkEnd w:id="2214"/>
      <w:bookmarkStart w:id="2215" w:name="_Toc283794318"/>
      <w:bookmarkEnd w:id="2215"/>
      <w:bookmarkStart w:id="2216" w:name="_Toc288491646"/>
      <w:bookmarkEnd w:id="2216"/>
      <w:bookmarkStart w:id="2217" w:name="_Toc514936626"/>
      <w:r>
        <w:rPr>
          <w:rFonts w:hint="eastAsia" w:ascii="宋体" w:hAnsi="宋体" w:eastAsia="宋体" w:cs="宋体"/>
          <w:b w:val="0"/>
          <w:bCs/>
          <w:color w:val="auto"/>
          <w:spacing w:val="-6"/>
          <w:kern w:val="2"/>
          <w:sz w:val="21"/>
          <w:szCs w:val="21"/>
          <w:highlight w:val="none"/>
        </w:rPr>
        <w:t>项目专用合同条款数据表</w:t>
      </w:r>
      <w:bookmarkEnd w:id="2217"/>
    </w:p>
    <w:p>
      <w:pPr>
        <w:keepNext w:val="0"/>
        <w:keepLines w:val="0"/>
        <w:widowControl w:val="0"/>
        <w:suppressLineNumbers w:val="0"/>
        <w:spacing w:before="0" w:beforeAutospacing="0" w:after="120" w:afterLines="50" w:afterAutospacing="0" w:line="3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说明：本数据表是项目专用合同条款中适用于本项目的信息和数据的归纳与提示，是项目专用合同条款的组成部分。</w:t>
      </w:r>
    </w:p>
    <w:tbl>
      <w:tblPr>
        <w:tblStyle w:val="24"/>
        <w:tblW w:w="908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1"/>
        <w:gridCol w:w="1104"/>
        <w:gridCol w:w="71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6" w:hRule="atLeast"/>
        </w:trPr>
        <w:tc>
          <w:tcPr>
            <w:tcW w:w="821" w:type="dxa"/>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1104" w:type="dxa"/>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条目号</w:t>
            </w:r>
          </w:p>
        </w:tc>
        <w:tc>
          <w:tcPr>
            <w:tcW w:w="7160" w:type="dxa"/>
            <w:tcBorders>
              <w:top w:val="single" w:color="auto" w:sz="12"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821"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1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1.1.2.2</w:t>
            </w:r>
          </w:p>
        </w:tc>
        <w:tc>
          <w:tcPr>
            <w:tcW w:w="716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00" w:lineRule="exact"/>
              <w:ind w:left="0" w:right="0" w:firstLine="210" w:firstLineChars="1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发包人：仙居县交通运输局</w:t>
            </w:r>
          </w:p>
          <w:p>
            <w:pPr>
              <w:keepNext w:val="0"/>
              <w:keepLines w:val="0"/>
              <w:widowControl w:val="0"/>
              <w:suppressLineNumbers w:val="0"/>
              <w:spacing w:before="0" w:beforeAutospacing="0" w:after="0" w:afterAutospacing="0" w:line="300" w:lineRule="exact"/>
              <w:ind w:left="0" w:right="0" w:firstLine="210" w:firstLineChars="1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地  址：仙居县         邮政编码：317300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821"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1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1.1.2.6</w:t>
            </w:r>
          </w:p>
        </w:tc>
        <w:tc>
          <w:tcPr>
            <w:tcW w:w="716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00" w:lineRule="exact"/>
              <w:ind w:left="0" w:right="0" w:firstLine="210" w:firstLineChars="1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监理人：签订合同后，通知承包人</w:t>
            </w:r>
          </w:p>
          <w:p>
            <w:pPr>
              <w:keepNext w:val="0"/>
              <w:keepLines w:val="0"/>
              <w:widowControl w:val="0"/>
              <w:suppressLineNumbers w:val="0"/>
              <w:spacing w:before="0" w:beforeAutospacing="0" w:after="0" w:afterAutospacing="0" w:line="300" w:lineRule="exact"/>
              <w:ind w:left="0" w:right="0" w:firstLine="210" w:firstLineChars="1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  址：                       邮政编码：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21"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1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1.1.4.5</w:t>
            </w:r>
          </w:p>
        </w:tc>
        <w:tc>
          <w:tcPr>
            <w:tcW w:w="716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00" w:lineRule="exact"/>
              <w:ind w:left="0" w:right="0" w:firstLine="210" w:firstLineChars="1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缺陷责任期：自实际交工日期起计算</w:t>
            </w:r>
            <w:r>
              <w:rPr>
                <w:rFonts w:hint="eastAsia" w:ascii="宋体" w:hAnsi="宋体" w:eastAsia="宋体" w:cs="宋体"/>
                <w:color w:val="auto"/>
                <w:kern w:val="2"/>
                <w:sz w:val="21"/>
                <w:szCs w:val="21"/>
                <w:highlight w:val="none"/>
                <w:u w:val="single"/>
                <w:lang w:val="en-US" w:eastAsia="zh-CN" w:bidi="ar"/>
              </w:rPr>
              <w:t xml:space="preserve"> 1 </w:t>
            </w:r>
            <w:r>
              <w:rPr>
                <w:rFonts w:hint="eastAsia" w:ascii="宋体" w:hAnsi="宋体" w:eastAsia="宋体" w:cs="宋体"/>
                <w:color w:val="auto"/>
                <w:kern w:val="2"/>
                <w:sz w:val="21"/>
                <w:szCs w:val="21"/>
                <w:highlight w:val="none"/>
                <w:lang w:val="en-US" w:eastAsia="zh-CN" w:bidi="ar"/>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21"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firstLine="210" w:firstLineChars="1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11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firstLine="210" w:firstLineChars="1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1.6.3</w:t>
            </w:r>
          </w:p>
        </w:tc>
        <w:tc>
          <w:tcPr>
            <w:tcW w:w="716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00" w:lineRule="exact"/>
              <w:ind w:left="0" w:right="0" w:firstLine="210" w:firstLineChars="1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图纸需要修改和补充的，应由监理人取得发包人同意后，在该工程或工程相应部位施工前 14 天内签发图纸修改图和补充图给承包人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821"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11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3.1.1</w:t>
            </w:r>
          </w:p>
        </w:tc>
        <w:tc>
          <w:tcPr>
            <w:tcW w:w="716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00" w:lineRule="exact"/>
              <w:ind w:left="0" w:right="0" w:firstLine="210" w:firstLineChars="1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监理人在行使下列权力前需要经发包人事先批准：</w:t>
            </w:r>
          </w:p>
          <w:p>
            <w:pPr>
              <w:keepNext w:val="0"/>
              <w:keepLines w:val="0"/>
              <w:widowControl w:val="0"/>
              <w:suppressLineNumbers w:val="0"/>
              <w:spacing w:before="0" w:beforeAutospacing="0" w:after="0" w:afterAutospacing="0" w:line="300" w:lineRule="exact"/>
              <w:ind w:left="180" w:leftChars="50" w:right="0" w:firstLine="105" w:firstLineChars="5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（6）根据第15.3款发出的变更指示，需要经发包人事先批准。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1" w:hRule="atLeast"/>
        </w:trPr>
        <w:tc>
          <w:tcPr>
            <w:tcW w:w="821"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1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5.2.1</w:t>
            </w:r>
          </w:p>
        </w:tc>
        <w:tc>
          <w:tcPr>
            <w:tcW w:w="716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00" w:lineRule="exact"/>
              <w:ind w:left="0" w:right="0" w:firstLine="210" w:firstLineChars="1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发包人是否提供材料：</w:t>
            </w:r>
            <w:r>
              <w:rPr>
                <w:rFonts w:hint="eastAsia" w:ascii="宋体" w:hAnsi="宋体" w:eastAsia="宋体" w:cs="宋体"/>
                <w:color w:val="auto"/>
                <w:kern w:val="2"/>
                <w:sz w:val="21"/>
                <w:szCs w:val="21"/>
                <w:highlight w:val="none"/>
                <w:u w:val="single"/>
                <w:lang w:val="en-US" w:eastAsia="zh-CN" w:bidi="ar"/>
              </w:rPr>
              <w:t xml:space="preserve">  否    </w:t>
            </w: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00" w:lineRule="exact"/>
              <w:ind w:left="0" w:right="0" w:firstLine="210" w:firstLineChars="1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如发包人负责提供部分材料，相关规定如下：</w:t>
            </w:r>
            <w:r>
              <w:rPr>
                <w:rFonts w:hint="eastAsia" w:ascii="宋体" w:hAnsi="宋体" w:eastAsia="宋体" w:cs="宋体"/>
                <w:color w:val="auto"/>
                <w:kern w:val="2"/>
                <w:sz w:val="21"/>
                <w:szCs w:val="21"/>
                <w:highlight w:val="none"/>
                <w:u w:val="single"/>
                <w:lang w:val="en-US" w:eastAsia="zh-CN" w:bidi="ar"/>
              </w:rPr>
              <w:t xml:space="preserve"> 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5" w:hRule="atLeast"/>
        </w:trPr>
        <w:tc>
          <w:tcPr>
            <w:tcW w:w="821"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11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6.2</w:t>
            </w:r>
          </w:p>
        </w:tc>
        <w:tc>
          <w:tcPr>
            <w:tcW w:w="716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00" w:lineRule="exact"/>
              <w:ind w:left="0" w:right="0" w:firstLine="210" w:firstLineChars="1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发包人是否提供施工设备和临时设施：</w:t>
            </w:r>
            <w:r>
              <w:rPr>
                <w:rFonts w:hint="eastAsia" w:ascii="宋体" w:hAnsi="宋体" w:eastAsia="宋体" w:cs="宋体"/>
                <w:color w:val="auto"/>
                <w:kern w:val="2"/>
                <w:sz w:val="21"/>
                <w:szCs w:val="21"/>
                <w:highlight w:val="none"/>
                <w:u w:val="single"/>
                <w:lang w:val="en-US" w:eastAsia="zh-CN" w:bidi="ar"/>
              </w:rPr>
              <w:t xml:space="preserve">  否  </w:t>
            </w: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00" w:lineRule="exact"/>
              <w:ind w:left="0" w:right="0" w:firstLine="210" w:firstLineChars="1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如发包人负责提供部分施工设备和临时设施，相关规定如下：</w:t>
            </w:r>
            <w:r>
              <w:rPr>
                <w:rFonts w:hint="eastAsia" w:ascii="宋体" w:hAnsi="宋体" w:eastAsia="宋体" w:cs="宋体"/>
                <w:color w:val="auto"/>
                <w:kern w:val="2"/>
                <w:sz w:val="21"/>
                <w:szCs w:val="21"/>
                <w:highlight w:val="none"/>
                <w:u w:val="single"/>
                <w:lang w:val="en-US" w:eastAsia="zh-CN" w:bidi="ar"/>
              </w:rPr>
              <w:t xml:space="preserve"> 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821"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11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11.5</w:t>
            </w:r>
          </w:p>
        </w:tc>
        <w:tc>
          <w:tcPr>
            <w:tcW w:w="716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00" w:lineRule="exact"/>
              <w:ind w:left="0" w:right="0" w:firstLine="210" w:firstLineChars="1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逾期交工违约金：</w:t>
            </w:r>
            <w:r>
              <w:rPr>
                <w:rFonts w:hint="eastAsia" w:ascii="宋体" w:hAnsi="宋体" w:eastAsia="宋体" w:cs="宋体"/>
                <w:color w:val="auto"/>
                <w:kern w:val="2"/>
                <w:sz w:val="21"/>
                <w:szCs w:val="21"/>
                <w:highlight w:val="none"/>
                <w:u w:val="single"/>
                <w:lang w:val="en-US" w:eastAsia="zh-CN" w:bidi="ar"/>
              </w:rPr>
              <w:t xml:space="preserve">1000 </w:t>
            </w:r>
            <w:r>
              <w:rPr>
                <w:rFonts w:hint="eastAsia" w:ascii="宋体" w:hAnsi="宋体" w:eastAsia="宋体" w:cs="宋体"/>
                <w:color w:val="auto"/>
                <w:kern w:val="2"/>
                <w:sz w:val="21"/>
                <w:szCs w:val="21"/>
                <w:highlight w:val="none"/>
                <w:lang w:val="en-US" w:eastAsia="zh-CN" w:bidi="ar"/>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821"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11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11.5</w:t>
            </w:r>
          </w:p>
        </w:tc>
        <w:tc>
          <w:tcPr>
            <w:tcW w:w="716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00" w:lineRule="exact"/>
              <w:ind w:left="0" w:right="0" w:firstLine="210" w:firstLineChars="1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逾期交工违约金限额：</w:t>
            </w:r>
            <w:r>
              <w:rPr>
                <w:rFonts w:hint="eastAsia" w:ascii="宋体" w:hAnsi="宋体" w:eastAsia="宋体" w:cs="宋体"/>
                <w:color w:val="auto"/>
                <w:kern w:val="2"/>
                <w:sz w:val="21"/>
                <w:szCs w:val="21"/>
                <w:highlight w:val="none"/>
                <w:u w:val="single"/>
                <w:lang w:val="en-US" w:eastAsia="zh-CN" w:bidi="ar"/>
              </w:rPr>
              <w:t xml:space="preserve"> 10 </w:t>
            </w:r>
            <w:r>
              <w:rPr>
                <w:rFonts w:hint="eastAsia" w:ascii="宋体" w:hAnsi="宋体" w:eastAsia="宋体" w:cs="宋体"/>
                <w:color w:val="auto"/>
                <w:kern w:val="2"/>
                <w:sz w:val="21"/>
                <w:szCs w:val="21"/>
                <w:highlight w:val="none"/>
                <w:lang w:val="en-US" w:eastAsia="zh-CN" w:bidi="ar"/>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821"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11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11.6</w:t>
            </w:r>
          </w:p>
        </w:tc>
        <w:tc>
          <w:tcPr>
            <w:tcW w:w="716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00" w:lineRule="exact"/>
              <w:ind w:left="0" w:right="0" w:firstLine="210" w:firstLineChars="1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提前交工的奖金：</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821"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w:t>
            </w:r>
          </w:p>
        </w:tc>
        <w:tc>
          <w:tcPr>
            <w:tcW w:w="11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11.6</w:t>
            </w:r>
          </w:p>
        </w:tc>
        <w:tc>
          <w:tcPr>
            <w:tcW w:w="716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00" w:lineRule="exact"/>
              <w:ind w:left="0" w:right="0" w:firstLine="210" w:firstLineChars="1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提前交工的奖金限额：</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821" w:type="dxa"/>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1104"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16.1</w:t>
            </w:r>
          </w:p>
        </w:tc>
        <w:tc>
          <w:tcPr>
            <w:tcW w:w="7160" w:type="dxa"/>
            <w:tcBorders>
              <w:top w:val="single" w:color="auto" w:sz="6" w:space="0"/>
              <w:left w:val="single" w:color="auto" w:sz="6" w:space="0"/>
              <w:bottom w:val="single" w:color="auto" w:sz="12"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20" w:lineRule="exact"/>
              <w:ind w:left="0" w:right="0" w:firstLine="105" w:firstLineChars="5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合同期内不调价</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120" w:afterLines="50" w:afterAutospacing="0"/>
        <w:ind w:left="0" w:right="0" w:firstLine="7875" w:firstLineChars="37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br w:type="page"/>
      </w:r>
      <w:r>
        <w:rPr>
          <w:rFonts w:hint="eastAsia" w:ascii="宋体" w:hAnsi="宋体" w:eastAsia="宋体" w:cs="宋体"/>
          <w:color w:val="auto"/>
          <w:kern w:val="2"/>
          <w:sz w:val="21"/>
          <w:szCs w:val="21"/>
          <w:highlight w:val="none"/>
          <w:lang w:val="en-US" w:eastAsia="zh-CN" w:bidi="ar"/>
        </w:rPr>
        <w:t>续上表</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0"/>
        <w:gridCol w:w="1103"/>
        <w:gridCol w:w="71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7" w:hRule="atLeast"/>
        </w:trPr>
        <w:tc>
          <w:tcPr>
            <w:tcW w:w="820" w:type="dxa"/>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1103" w:type="dxa"/>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条目号</w:t>
            </w:r>
          </w:p>
        </w:tc>
        <w:tc>
          <w:tcPr>
            <w:tcW w:w="7158" w:type="dxa"/>
            <w:tcBorders>
              <w:top w:val="single" w:color="auto" w:sz="12"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82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c>
          <w:tcPr>
            <w:tcW w:w="11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17.2.1</w:t>
            </w:r>
          </w:p>
        </w:tc>
        <w:tc>
          <w:tcPr>
            <w:tcW w:w="7158"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color w:val="auto"/>
                <w:kern w:val="2"/>
                <w:sz w:val="21"/>
                <w:szCs w:val="21"/>
                <w:highlight w:val="none"/>
                <w:vertAlign w:val="superscript"/>
              </w:rPr>
            </w:pPr>
            <w:r>
              <w:rPr>
                <w:rFonts w:hint="eastAsia" w:ascii="宋体" w:hAnsi="宋体" w:eastAsia="宋体" w:cs="宋体"/>
                <w:color w:val="auto"/>
                <w:kern w:val="2"/>
                <w:sz w:val="21"/>
                <w:szCs w:val="21"/>
                <w:highlight w:val="none"/>
                <w:lang w:val="en-US" w:eastAsia="zh-CN" w:bidi="ar"/>
              </w:rPr>
              <w:t>开工预付款金额：</w:t>
            </w:r>
            <w:r>
              <w:rPr>
                <w:rFonts w:hint="eastAsia" w:ascii="宋体" w:hAnsi="宋体" w:eastAsia="宋体" w:cs="宋体"/>
                <w:color w:val="auto"/>
                <w:kern w:val="2"/>
                <w:sz w:val="21"/>
                <w:szCs w:val="21"/>
                <w:highlight w:val="none"/>
                <w:u w:val="single"/>
                <w:lang w:val="en-US" w:eastAsia="zh-CN" w:bidi="ar"/>
              </w:rPr>
              <w:t xml:space="preserve">40 </w:t>
            </w:r>
            <w:r>
              <w:rPr>
                <w:rFonts w:hint="eastAsia" w:ascii="宋体" w:hAnsi="宋体" w:eastAsia="宋体" w:cs="宋体"/>
                <w:color w:val="auto"/>
                <w:kern w:val="2"/>
                <w:sz w:val="21"/>
                <w:szCs w:val="21"/>
                <w:highlight w:val="none"/>
                <w:lang w:val="en-US" w:eastAsia="zh-CN" w:bidi="ar"/>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82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11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17.2.1</w:t>
            </w:r>
          </w:p>
        </w:tc>
        <w:tc>
          <w:tcPr>
            <w:tcW w:w="7158"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vertAlign w:val="superscript"/>
              </w:rPr>
            </w:pPr>
            <w:r>
              <w:rPr>
                <w:rFonts w:hint="eastAsia" w:ascii="宋体" w:hAnsi="宋体" w:eastAsia="宋体" w:cs="宋体"/>
                <w:color w:val="auto"/>
                <w:kern w:val="2"/>
                <w:sz w:val="21"/>
                <w:szCs w:val="21"/>
                <w:highlight w:val="none"/>
                <w:lang w:val="en-US" w:eastAsia="zh-CN" w:bidi="ar"/>
              </w:rPr>
              <w:t>材料预付款比例：</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等主要材料单据所列费用的</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i/>
                <w:iCs w:val="0"/>
                <w:color w:val="auto"/>
                <w:kern w:val="2"/>
                <w:sz w:val="21"/>
                <w:szCs w:val="21"/>
                <w:highlight w:val="non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82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w:t>
            </w:r>
          </w:p>
        </w:tc>
        <w:tc>
          <w:tcPr>
            <w:tcW w:w="11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17.3.2</w:t>
            </w:r>
          </w:p>
        </w:tc>
        <w:tc>
          <w:tcPr>
            <w:tcW w:w="7158"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承包人在每个付款周期末向监理人提交进度付款申请单的份数：</w:t>
            </w:r>
            <w:r>
              <w:rPr>
                <w:rFonts w:hint="eastAsia" w:ascii="宋体" w:hAnsi="宋体" w:eastAsia="宋体" w:cs="宋体"/>
                <w:color w:val="auto"/>
                <w:kern w:val="2"/>
                <w:sz w:val="21"/>
                <w:szCs w:val="21"/>
                <w:highlight w:val="none"/>
                <w:u w:val="single"/>
                <w:lang w:val="en-US" w:eastAsia="zh-CN" w:bidi="ar"/>
              </w:rPr>
              <w:t xml:space="preserve"> 6 </w:t>
            </w:r>
            <w:r>
              <w:rPr>
                <w:rFonts w:hint="eastAsia" w:ascii="宋体" w:hAnsi="宋体" w:eastAsia="宋体" w:cs="宋体"/>
                <w:color w:val="auto"/>
                <w:kern w:val="2"/>
                <w:sz w:val="21"/>
                <w:szCs w:val="21"/>
                <w:highlight w:val="none"/>
                <w:lang w:val="en-US" w:eastAsia="zh-CN" w:bidi="ar"/>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82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11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17.3.3（1）</w:t>
            </w:r>
          </w:p>
        </w:tc>
        <w:tc>
          <w:tcPr>
            <w:tcW w:w="7158"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进度付款证书最低限额：</w:t>
            </w:r>
            <w:r>
              <w:rPr>
                <w:rFonts w:hint="eastAsia" w:ascii="宋体" w:hAnsi="宋体" w:eastAsia="宋体" w:cs="宋体"/>
                <w:color w:val="auto"/>
                <w:kern w:val="2"/>
                <w:sz w:val="21"/>
                <w:szCs w:val="21"/>
                <w:highlight w:val="none"/>
                <w:u w:val="singl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82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w:t>
            </w:r>
          </w:p>
        </w:tc>
        <w:tc>
          <w:tcPr>
            <w:tcW w:w="11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17.3.3（2）</w:t>
            </w:r>
          </w:p>
        </w:tc>
        <w:tc>
          <w:tcPr>
            <w:tcW w:w="7158"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逾期付款违约金的利率：中国人民银行发布的同期六个月以内(含六个月)短期贷款基准利率(不计复利)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82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w:t>
            </w:r>
          </w:p>
        </w:tc>
        <w:tc>
          <w:tcPr>
            <w:tcW w:w="11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17.4.1</w:t>
            </w:r>
          </w:p>
        </w:tc>
        <w:tc>
          <w:tcPr>
            <w:tcW w:w="7158"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质量保证金百分比：</w:t>
            </w:r>
            <w:r>
              <w:rPr>
                <w:rFonts w:hint="eastAsia" w:ascii="宋体" w:hAnsi="宋体" w:eastAsia="宋体" w:cs="宋体"/>
                <w:color w:val="auto"/>
                <w:kern w:val="2"/>
                <w:sz w:val="21"/>
                <w:szCs w:val="21"/>
                <w:highlight w:val="none"/>
                <w:u w:val="single"/>
                <w:lang w:val="en-US" w:eastAsia="zh-CN" w:bidi="ar"/>
              </w:rPr>
              <w:t>/ %</w:t>
            </w:r>
            <w:r>
              <w:rPr>
                <w:rFonts w:hint="eastAsia" w:ascii="宋体" w:hAnsi="宋体" w:eastAsia="宋体" w:cs="宋体"/>
                <w:color w:val="auto"/>
                <w:kern w:val="2"/>
                <w:sz w:val="21"/>
                <w:szCs w:val="21"/>
                <w:highlight w:val="none"/>
                <w:lang w:val="en-US" w:eastAsia="zh-CN" w:bidi="ar"/>
              </w:rPr>
              <w:tab/>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82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19</w:t>
            </w:r>
          </w:p>
        </w:tc>
        <w:tc>
          <w:tcPr>
            <w:tcW w:w="11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17.4.1</w:t>
            </w:r>
          </w:p>
        </w:tc>
        <w:tc>
          <w:tcPr>
            <w:tcW w:w="7158"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color w:val="auto"/>
                <w:kern w:val="2"/>
                <w:sz w:val="21"/>
                <w:szCs w:val="21"/>
                <w:highlight w:val="none"/>
                <w:vertAlign w:val="superscript"/>
              </w:rPr>
            </w:pPr>
            <w:r>
              <w:rPr>
                <w:rFonts w:hint="eastAsia" w:ascii="宋体" w:hAnsi="宋体" w:eastAsia="宋体" w:cs="宋体"/>
                <w:color w:val="auto"/>
                <w:kern w:val="2"/>
                <w:sz w:val="21"/>
                <w:szCs w:val="21"/>
                <w:highlight w:val="none"/>
                <w:lang w:val="en-US" w:eastAsia="zh-CN" w:bidi="ar"/>
              </w:rPr>
              <w:t>质量保证金金额：工程价款结算总额的1.5%，允许采用现金、支票或工程保函(包括银行 保函、保险机构保证保险保单和融资担保公司保函) 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82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p>
        </w:tc>
        <w:tc>
          <w:tcPr>
            <w:tcW w:w="11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17.5.1</w:t>
            </w:r>
          </w:p>
        </w:tc>
        <w:tc>
          <w:tcPr>
            <w:tcW w:w="7158"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承包人向监理人提交交工付款申请单（包括相关证明材料）的份数：</w:t>
            </w:r>
            <w:r>
              <w:rPr>
                <w:rFonts w:hint="eastAsia" w:ascii="宋体" w:hAnsi="宋体" w:eastAsia="宋体" w:cs="宋体"/>
                <w:color w:val="auto"/>
                <w:kern w:val="2"/>
                <w:sz w:val="21"/>
                <w:szCs w:val="21"/>
                <w:highlight w:val="none"/>
                <w:u w:val="single"/>
                <w:lang w:val="en-US" w:eastAsia="zh-CN" w:bidi="ar"/>
              </w:rPr>
              <w:t xml:space="preserve"> 6 </w:t>
            </w:r>
            <w:r>
              <w:rPr>
                <w:rFonts w:hint="eastAsia" w:ascii="宋体" w:hAnsi="宋体" w:eastAsia="宋体" w:cs="宋体"/>
                <w:color w:val="auto"/>
                <w:kern w:val="2"/>
                <w:sz w:val="21"/>
                <w:szCs w:val="21"/>
                <w:highlight w:val="none"/>
                <w:lang w:val="en-US" w:eastAsia="zh-CN" w:bidi="ar"/>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82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w:t>
            </w:r>
          </w:p>
        </w:tc>
        <w:tc>
          <w:tcPr>
            <w:tcW w:w="11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17.6.1</w:t>
            </w:r>
          </w:p>
        </w:tc>
        <w:tc>
          <w:tcPr>
            <w:tcW w:w="7158"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承包人向监理人提交最终结清申请单（包括相关证明材料）的份数：</w:t>
            </w:r>
            <w:r>
              <w:rPr>
                <w:rFonts w:hint="eastAsia" w:ascii="宋体" w:hAnsi="宋体" w:eastAsia="宋体" w:cs="宋体"/>
                <w:color w:val="auto"/>
                <w:kern w:val="2"/>
                <w:sz w:val="21"/>
                <w:szCs w:val="21"/>
                <w:highlight w:val="none"/>
                <w:u w:val="single"/>
                <w:lang w:val="en-US" w:eastAsia="zh-CN" w:bidi="ar"/>
              </w:rPr>
              <w:t xml:space="preserve"> 6 </w:t>
            </w:r>
            <w:r>
              <w:rPr>
                <w:rFonts w:hint="eastAsia" w:ascii="宋体" w:hAnsi="宋体" w:eastAsia="宋体" w:cs="宋体"/>
                <w:color w:val="auto"/>
                <w:kern w:val="2"/>
                <w:sz w:val="21"/>
                <w:szCs w:val="21"/>
                <w:highlight w:val="none"/>
                <w:lang w:val="en-US" w:eastAsia="zh-CN" w:bidi="ar"/>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82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w:t>
            </w:r>
          </w:p>
        </w:tc>
        <w:tc>
          <w:tcPr>
            <w:tcW w:w="11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18.2</w:t>
            </w:r>
          </w:p>
        </w:tc>
        <w:tc>
          <w:tcPr>
            <w:tcW w:w="7158"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竣工资料的份数：</w:t>
            </w:r>
            <w:r>
              <w:rPr>
                <w:rFonts w:hint="eastAsia" w:ascii="宋体" w:hAnsi="宋体" w:eastAsia="宋体" w:cs="宋体"/>
                <w:color w:val="auto"/>
                <w:kern w:val="2"/>
                <w:sz w:val="21"/>
                <w:szCs w:val="21"/>
                <w:highlight w:val="none"/>
                <w:u w:val="single"/>
                <w:lang w:val="en-US" w:eastAsia="zh-CN" w:bidi="ar"/>
              </w:rPr>
              <w:t xml:space="preserve"> 6 </w:t>
            </w:r>
            <w:r>
              <w:rPr>
                <w:rFonts w:hint="eastAsia" w:ascii="宋体" w:hAnsi="宋体" w:eastAsia="宋体" w:cs="宋体"/>
                <w:color w:val="auto"/>
                <w:kern w:val="2"/>
                <w:sz w:val="21"/>
                <w:szCs w:val="21"/>
                <w:highlight w:val="none"/>
                <w:lang w:val="en-US" w:eastAsia="zh-CN" w:bidi="ar"/>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82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23</w:t>
            </w:r>
          </w:p>
        </w:tc>
        <w:tc>
          <w:tcPr>
            <w:tcW w:w="11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19.7</w:t>
            </w:r>
          </w:p>
        </w:tc>
        <w:tc>
          <w:tcPr>
            <w:tcW w:w="7158"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保修期：</w:t>
            </w:r>
            <w:r>
              <w:rPr>
                <w:rFonts w:hint="eastAsia" w:ascii="宋体" w:hAnsi="宋体" w:eastAsia="宋体" w:cs="宋体"/>
                <w:color w:val="auto"/>
                <w:kern w:val="2"/>
                <w:sz w:val="21"/>
                <w:szCs w:val="21"/>
                <w:highlight w:val="none"/>
                <w:u w:val="single"/>
                <w:lang w:val="en-US" w:eastAsia="zh-CN" w:bidi="ar"/>
              </w:rPr>
              <w:t>自实际交工日期起计算1年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82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24</w:t>
            </w:r>
          </w:p>
        </w:tc>
        <w:tc>
          <w:tcPr>
            <w:tcW w:w="11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20.1</w:t>
            </w:r>
          </w:p>
        </w:tc>
        <w:tc>
          <w:tcPr>
            <w:tcW w:w="7158"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建筑工程一切险的保险费率：</w:t>
            </w:r>
            <w:r>
              <w:rPr>
                <w:rFonts w:hint="eastAsia" w:ascii="宋体" w:hAnsi="宋体" w:eastAsia="宋体" w:cs="宋体"/>
                <w:color w:val="auto"/>
                <w:kern w:val="0"/>
                <w:sz w:val="21"/>
                <w:szCs w:val="21"/>
                <w:highlight w:val="none"/>
                <w:u w:val="single"/>
                <w:lang w:val="en-US" w:eastAsia="zh-CN" w:bidi="ar"/>
              </w:rPr>
              <w:t xml:space="preserve">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82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w:t>
            </w:r>
          </w:p>
        </w:tc>
        <w:tc>
          <w:tcPr>
            <w:tcW w:w="11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20.4.2</w:t>
            </w:r>
          </w:p>
        </w:tc>
        <w:tc>
          <w:tcPr>
            <w:tcW w:w="7158"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suppressLineNumbers w:val="0"/>
              <w:wordWrap w:val="0"/>
              <w:spacing w:before="0" w:beforeAutospacing="0" w:after="0" w:afterAutospacing="0" w:line="400" w:lineRule="exact"/>
              <w:ind w:left="0" w:right="0"/>
              <w:rPr>
                <w:rFonts w:hint="default" w:ascii="Times New Roman" w:hAnsi="Times New Roman" w:eastAsia="宋体"/>
                <w:color w:val="FF0000"/>
                <w:sz w:val="21"/>
                <w:szCs w:val="20"/>
              </w:rPr>
            </w:pPr>
            <w:r>
              <w:rPr>
                <w:rFonts w:hint="eastAsia" w:ascii="Times New Roman" w:hAnsi="Times New Roman" w:eastAsia="宋体"/>
                <w:color w:val="FF0000"/>
                <w:sz w:val="21"/>
                <w:szCs w:val="20"/>
              </w:rPr>
              <w:t>第三者责任险的最低投保金额：</w:t>
            </w:r>
            <w:r>
              <w:rPr>
                <w:rFonts w:hint="eastAsia" w:ascii="Times New Roman" w:hAnsi="Times New Roman" w:eastAsia="宋体"/>
                <w:color w:val="FF0000"/>
                <w:sz w:val="21"/>
                <w:szCs w:val="20"/>
                <w:u w:val="single"/>
              </w:rPr>
              <w:t>100</w:t>
            </w:r>
            <w:r>
              <w:rPr>
                <w:rFonts w:hint="eastAsia" w:ascii="Times New Roman" w:hAnsi="Times New Roman" w:eastAsia="宋体"/>
                <w:color w:val="FF0000"/>
                <w:sz w:val="21"/>
                <w:szCs w:val="20"/>
              </w:rPr>
              <w:t>万元，事故次数不限（不计免赔额）</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bidi="ar"/>
              </w:rPr>
            </w:pPr>
            <w:r>
              <w:rPr>
                <w:rFonts w:hint="eastAsia" w:ascii="Times New Roman" w:hAnsi="Times New Roman" w:eastAsia="宋体"/>
                <w:color w:val="FF0000"/>
                <w:sz w:val="21"/>
                <w:szCs w:val="20"/>
              </w:rPr>
              <w:t>保险费率：</w:t>
            </w:r>
            <w:r>
              <w:rPr>
                <w:rFonts w:hint="default" w:ascii="Times New Roman" w:hAnsi="Times New Roman" w:eastAsia="宋体"/>
                <w:color w:val="FF0000"/>
                <w:sz w:val="21"/>
                <w:szCs w:val="20"/>
                <w:u w:val="singl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820" w:type="dxa"/>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26</w:t>
            </w:r>
          </w:p>
        </w:tc>
        <w:tc>
          <w:tcPr>
            <w:tcW w:w="1103"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24.1</w:t>
            </w:r>
          </w:p>
        </w:tc>
        <w:tc>
          <w:tcPr>
            <w:tcW w:w="7158" w:type="dxa"/>
            <w:tcBorders>
              <w:top w:val="single" w:color="auto" w:sz="6" w:space="0"/>
              <w:left w:val="single" w:color="auto" w:sz="6" w:space="0"/>
              <w:bottom w:val="single" w:color="auto" w:sz="12"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争议的最终解决方式：诉讼</w:t>
            </w:r>
          </w:p>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争议的最终解决地点：仙居县人民法院</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pacing w:val="-6"/>
          <w:kern w:val="2"/>
          <w:sz w:val="28"/>
          <w:szCs w:val="28"/>
          <w:highlight w:val="none"/>
        </w:rPr>
      </w:pPr>
      <w:bookmarkStart w:id="2218" w:name="_Toc6460"/>
      <w:bookmarkEnd w:id="2218"/>
      <w:bookmarkStart w:id="2219" w:name="_Toc30900"/>
      <w:bookmarkEnd w:id="2219"/>
      <w:bookmarkStart w:id="2220" w:name="_Toc4418"/>
      <w:bookmarkEnd w:id="2220"/>
      <w:bookmarkStart w:id="2221" w:name="_Toc9446"/>
      <w:bookmarkEnd w:id="2221"/>
      <w:bookmarkStart w:id="2222" w:name="_Toc288491647"/>
      <w:bookmarkEnd w:id="2222"/>
      <w:bookmarkStart w:id="2223" w:name="_Toc283794319"/>
      <w:bookmarkEnd w:id="2223"/>
      <w:bookmarkStart w:id="2224" w:name="_Toc20153"/>
      <w:bookmarkEnd w:id="2224"/>
      <w:bookmarkStart w:id="2225" w:name="_Toc6587"/>
      <w:bookmarkEnd w:id="2225"/>
      <w:bookmarkStart w:id="2226" w:name="_Toc25986"/>
      <w:bookmarkEnd w:id="2226"/>
      <w:bookmarkStart w:id="2227" w:name="_Toc7664"/>
      <w:bookmarkEnd w:id="2227"/>
      <w:bookmarkStart w:id="2228" w:name="_Toc514936627"/>
      <w:bookmarkEnd w:id="2228"/>
      <w:bookmarkStart w:id="2229" w:name="_Toc26467"/>
      <w:bookmarkEnd w:id="2229"/>
      <w:bookmarkStart w:id="2230" w:name="_Toc6145"/>
      <w:bookmarkEnd w:id="2230"/>
      <w:bookmarkStart w:id="2231" w:name="_Toc282779631"/>
      <w:bookmarkEnd w:id="2231"/>
      <w:bookmarkStart w:id="2232" w:name="_Toc2276"/>
      <w:bookmarkEnd w:id="2232"/>
      <w:bookmarkStart w:id="2233" w:name="_Toc287853471"/>
      <w:bookmarkEnd w:id="2233"/>
      <w:bookmarkStart w:id="2234" w:name="_Toc118378098"/>
      <w:bookmarkEnd w:id="2234"/>
      <w:bookmarkStart w:id="2235" w:name="_Toc13468"/>
      <w:bookmarkEnd w:id="2235"/>
      <w:bookmarkStart w:id="2236" w:name="_Toc282787573"/>
      <w:bookmarkEnd w:id="2236"/>
      <w:bookmarkStart w:id="2237" w:name="_Toc25318"/>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pacing w:val="-6"/>
          <w:kern w:val="2"/>
          <w:sz w:val="28"/>
          <w:szCs w:val="28"/>
          <w:highlight w:val="none"/>
        </w:rPr>
      </w:pPr>
      <w:r>
        <w:rPr>
          <w:rFonts w:hint="eastAsia" w:ascii="宋体" w:hAnsi="宋体" w:eastAsia="宋体" w:cs="宋体"/>
          <w:b/>
          <w:bCs w:val="0"/>
          <w:color w:val="auto"/>
          <w:spacing w:val="-6"/>
          <w:kern w:val="2"/>
          <w:sz w:val="28"/>
          <w:szCs w:val="28"/>
          <w:highlight w:val="none"/>
        </w:rPr>
        <w:t>项目专用合同条款</w:t>
      </w:r>
      <w:bookmarkEnd w:id="2237"/>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说明：本部分所列的项目专用合同条款是对“通用合同条款”中规定必须在专用合同条款中明确的内容的集中，招标人根据本项目的具体特点和实际需要编制的“项目专用合同条款”不限于本部分所列示例性内容。</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2238" w:name="_Toc14208"/>
      <w:bookmarkEnd w:id="2238"/>
      <w:bookmarkStart w:id="2239" w:name="_Toc287853472"/>
      <w:bookmarkEnd w:id="2239"/>
      <w:bookmarkStart w:id="2240" w:name="_Toc4326"/>
      <w:bookmarkEnd w:id="2240"/>
      <w:bookmarkStart w:id="2241" w:name="_Toc514936628"/>
      <w:bookmarkEnd w:id="2241"/>
      <w:bookmarkStart w:id="2242" w:name="_Toc8796"/>
      <w:bookmarkEnd w:id="2242"/>
      <w:bookmarkStart w:id="2243" w:name="_Toc283794320"/>
      <w:bookmarkEnd w:id="2243"/>
      <w:bookmarkStart w:id="2244" w:name="_Toc282787574"/>
      <w:bookmarkEnd w:id="2244"/>
      <w:bookmarkStart w:id="2245" w:name="_Toc28689"/>
      <w:bookmarkEnd w:id="2245"/>
      <w:bookmarkStart w:id="2246" w:name="_Toc25720"/>
      <w:bookmarkEnd w:id="2246"/>
      <w:bookmarkStart w:id="2247" w:name="_Toc9252"/>
      <w:bookmarkEnd w:id="2247"/>
      <w:bookmarkStart w:id="2248" w:name="_Toc17552"/>
      <w:bookmarkEnd w:id="2248"/>
      <w:bookmarkStart w:id="2249" w:name="_Toc282779123"/>
      <w:bookmarkEnd w:id="2249"/>
      <w:bookmarkStart w:id="2250" w:name="_Toc118378099"/>
      <w:bookmarkEnd w:id="2250"/>
      <w:bookmarkStart w:id="2251" w:name="_Toc288491648"/>
      <w:bookmarkEnd w:id="2251"/>
      <w:bookmarkStart w:id="2252" w:name="_Toc24326"/>
      <w:bookmarkEnd w:id="2252"/>
      <w:bookmarkStart w:id="2253" w:name="_Toc11094"/>
      <w:bookmarkEnd w:id="2253"/>
      <w:bookmarkStart w:id="2254" w:name="_Toc282779632"/>
      <w:bookmarkEnd w:id="2254"/>
      <w:bookmarkStart w:id="2255" w:name="_Toc31683"/>
      <w:bookmarkEnd w:id="2255"/>
      <w:bookmarkStart w:id="2256" w:name="_Toc26492"/>
      <w:bookmarkEnd w:id="2256"/>
      <w:bookmarkStart w:id="2257" w:name="_Toc22678"/>
      <w:bookmarkEnd w:id="2257"/>
      <w:bookmarkStart w:id="2258" w:name="_Toc12856"/>
      <w:r>
        <w:rPr>
          <w:rFonts w:hint="eastAsia" w:ascii="宋体" w:hAnsi="宋体" w:eastAsia="宋体" w:cs="宋体"/>
          <w:color w:val="auto"/>
          <w:kern w:val="2"/>
          <w:sz w:val="21"/>
          <w:szCs w:val="21"/>
          <w:highlight w:val="none"/>
          <w:lang w:val="en-US" w:eastAsia="zh-CN" w:bidi="ar"/>
        </w:rPr>
        <w:t>1．一般约定</w:t>
      </w:r>
      <w:bookmarkEnd w:id="2258"/>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259" w:name="_Toc283794321"/>
      <w:bookmarkEnd w:id="2259"/>
      <w:bookmarkStart w:id="2260" w:name="_Toc282779124"/>
      <w:bookmarkEnd w:id="2260"/>
      <w:bookmarkStart w:id="2261" w:name="_Toc287853473"/>
      <w:bookmarkEnd w:id="2261"/>
      <w:bookmarkStart w:id="2262" w:name="_Toc288491649"/>
      <w:bookmarkEnd w:id="2262"/>
      <w:bookmarkStart w:id="2263" w:name="_Toc282779633"/>
      <w:bookmarkEnd w:id="2263"/>
      <w:bookmarkStart w:id="2264" w:name="_Toc282787575"/>
      <w:bookmarkEnd w:id="2264"/>
      <w:bookmarkStart w:id="2265" w:name="_Toc282784895"/>
      <w:r>
        <w:rPr>
          <w:rFonts w:hint="eastAsia" w:ascii="宋体" w:hAnsi="宋体" w:eastAsia="宋体" w:cs="宋体"/>
          <w:color w:val="auto"/>
          <w:kern w:val="2"/>
          <w:sz w:val="21"/>
          <w:szCs w:val="21"/>
          <w:highlight w:val="none"/>
          <w:lang w:val="en-US" w:eastAsia="zh-CN" w:bidi="ar"/>
        </w:rPr>
        <w:t>1.1  词语定义</w:t>
      </w:r>
      <w:bookmarkEnd w:id="2265"/>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1.1.6  其他</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本项补充1.1.6.1、1.1.6.2目：</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1.1.6.1  根据浙江省地方标准《交通养护工程工程量清单计价规范》DB33/T 751—2009</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规定，“一类项目”是指规定范围和数量的检查、保养和小修项目，实行年度总承包的养护项目。</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1.1.6.2  根据浙江省地方标准《交通养护工程工程量清单计价规范》DB33/T 751—2009规定，“二类项目”是指超过一类项目规定范围和数量的检查、保养和小修项目，实行按实结算的养护项目。</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2266" w:name="_Toc3771"/>
      <w:bookmarkEnd w:id="2266"/>
      <w:bookmarkStart w:id="2267" w:name="_Toc5711"/>
      <w:bookmarkEnd w:id="2267"/>
      <w:bookmarkStart w:id="2268" w:name="_Toc283794323"/>
      <w:bookmarkEnd w:id="2268"/>
      <w:bookmarkStart w:id="2269" w:name="_Toc16170"/>
      <w:bookmarkEnd w:id="2269"/>
      <w:bookmarkStart w:id="2270" w:name="_Toc288491651"/>
      <w:bookmarkEnd w:id="2270"/>
      <w:bookmarkStart w:id="2271" w:name="_Toc282787578"/>
      <w:bookmarkEnd w:id="2271"/>
      <w:bookmarkStart w:id="2272" w:name="_Toc18074"/>
      <w:bookmarkEnd w:id="2272"/>
      <w:bookmarkStart w:id="2273" w:name="_Toc20487"/>
      <w:bookmarkEnd w:id="2273"/>
      <w:bookmarkStart w:id="2274" w:name="_Toc287853475"/>
      <w:bookmarkEnd w:id="2274"/>
      <w:bookmarkStart w:id="2275" w:name="_Toc8734"/>
      <w:bookmarkEnd w:id="2275"/>
      <w:bookmarkStart w:id="2276" w:name="_Toc9115"/>
      <w:bookmarkEnd w:id="2276"/>
      <w:bookmarkStart w:id="2277" w:name="_Toc514936630"/>
      <w:bookmarkEnd w:id="2277"/>
      <w:bookmarkStart w:id="2278" w:name="_Toc30660"/>
      <w:bookmarkEnd w:id="2278"/>
      <w:bookmarkStart w:id="2279" w:name="_Toc29608"/>
      <w:bookmarkEnd w:id="2279"/>
      <w:bookmarkStart w:id="2280" w:name="_Toc85"/>
      <w:bookmarkEnd w:id="2280"/>
      <w:bookmarkStart w:id="2281" w:name="_Toc282779126"/>
      <w:bookmarkEnd w:id="2281"/>
      <w:bookmarkStart w:id="2282" w:name="_Toc282779635"/>
      <w:bookmarkEnd w:id="2282"/>
      <w:bookmarkStart w:id="2283" w:name="_Toc27764"/>
      <w:bookmarkEnd w:id="2283"/>
      <w:bookmarkStart w:id="2284" w:name="_Toc6488"/>
      <w:bookmarkEnd w:id="2284"/>
      <w:bookmarkStart w:id="2285" w:name="_Toc118378100"/>
      <w:bookmarkEnd w:id="2285"/>
      <w:bookmarkStart w:id="2286" w:name="_Toc6312"/>
      <w:r>
        <w:rPr>
          <w:rFonts w:hint="eastAsia" w:ascii="宋体" w:hAnsi="宋体" w:eastAsia="宋体" w:cs="宋体"/>
          <w:color w:val="auto"/>
          <w:kern w:val="2"/>
          <w:sz w:val="21"/>
          <w:szCs w:val="21"/>
          <w:highlight w:val="none"/>
          <w:lang w:val="en-US" w:eastAsia="zh-CN" w:bidi="ar"/>
        </w:rPr>
        <w:t>4.承包人</w:t>
      </w:r>
      <w:bookmarkEnd w:id="2286"/>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287" w:name="_Toc282787579"/>
      <w:bookmarkEnd w:id="2287"/>
      <w:r>
        <w:rPr>
          <w:rFonts w:hint="eastAsia" w:ascii="宋体" w:hAnsi="宋体" w:eastAsia="宋体" w:cs="宋体"/>
          <w:color w:val="auto"/>
          <w:kern w:val="2"/>
          <w:sz w:val="21"/>
          <w:szCs w:val="21"/>
          <w:highlight w:val="none"/>
          <w:lang w:val="en-US" w:eastAsia="zh-CN" w:bidi="ar"/>
        </w:rPr>
        <w:t>4.1  承包人的一般义务</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4.1.10  其他义务</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本项第4.1.10（2）目细化为：</w:t>
      </w:r>
    </w:p>
    <w:p>
      <w:pPr>
        <w:keepNext w:val="0"/>
        <w:keepLines w:val="0"/>
        <w:widowControl w:val="0"/>
        <w:suppressLineNumbers w:val="0"/>
        <w:spacing w:before="0" w:beforeAutospacing="0" w:after="0" w:afterAutospacing="0" w:line="420" w:lineRule="exact"/>
        <w:ind w:left="0" w:right="0" w:firstLine="43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2）承包人应严格遵守国家有关解决拖欠工程款和民工工资的法律、法规，及时支付工程中的材料、设备货款及民工工资等费用。承包人应分解工程款中的人工费用，及时向发包人提供人工费用数额。承包人不得以任何借口拖欠材料、设备货款及民工工资等费用，如果出现此种现象，发包人有权代为支付其拖欠的材料、设备货款及民工工资，并从应付给承包人的任何款项中扣除相应款项。对恶意拖欠和拒不按计划支付的，作为不良记录纳入浙江省交通运输厅建设市场诚信信息系统和信用评价管理系统。</w:t>
      </w:r>
    </w:p>
    <w:p>
      <w:pPr>
        <w:keepNext w:val="0"/>
        <w:keepLines w:val="0"/>
        <w:widowControl w:val="0"/>
        <w:suppressLineNumbers w:val="0"/>
        <w:spacing w:before="0" w:beforeAutospacing="0" w:after="0" w:afterAutospacing="0" w:line="420" w:lineRule="exact"/>
        <w:ind w:left="0" w:right="0" w:firstLine="43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的项目经理部是民工工资支付行为的主体，承包人的项目经理是民工工资支付的责任人。项目经理部要建立全体民工花名册和工资支付表，实行人工工资与其他工程款分账管理（本项目人工费用比例按《关于在全省工程建设领域改革保证金制度的通知》（浙建〔2020〕7号）规定，暂按</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％计列），由发包人开设人工工资专用账户，委托银行发放民工工资，确保将工资直接发放给民工本人，严禁发放给“包工头”或其他不具备用工主体资格的组织和个人。</w:t>
      </w:r>
    </w:p>
    <w:p>
      <w:pPr>
        <w:keepNext w:val="0"/>
        <w:keepLines w:val="0"/>
        <w:widowControl w:val="0"/>
        <w:suppressLineNumbers w:val="0"/>
        <w:spacing w:before="0" w:beforeAutospacing="0" w:after="0" w:afterAutospacing="0" w:line="420" w:lineRule="exact"/>
        <w:ind w:left="0" w:right="0" w:firstLine="43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工资支付表应如实记录支付单位、支付时间、支付对象、支付数额、支付对象的身份证号和签字等信息。民工花名册和工资支付表应报发包人和监理人备查。</w:t>
      </w:r>
    </w:p>
    <w:p>
      <w:pPr>
        <w:keepNext w:val="0"/>
        <w:keepLines w:val="0"/>
        <w:widowControl w:val="0"/>
        <w:suppressLineNumbers w:val="0"/>
        <w:spacing w:before="0" w:beforeAutospacing="0" w:after="0" w:afterAutospacing="0" w:line="420" w:lineRule="exact"/>
        <w:ind w:left="0" w:right="0" w:firstLine="43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在本工程中，应严格执行《关于在全省工程建设领域改革保证金制度的通知》（浙建〔2020〕7号）、《浙江省企业工资支付管理办法》（浙江省人民政府第353号令）、《关于进一步落实交通建设领域施工企业农民工记工考勤卡等事宜的通知》（浙交〔2009〕39号）、《关于进一步完善建筑业企业农民工工资支付保证金制度意见的通知》（浙政发〔2012〕100号）、《浙江省人力资源和社会保障厅等6部门关于加强工程建设市场管理有效治理拖欠农民工工资问题的意见》（浙人社发〔2015〕148号）、《关于做好全省公路水运建设工程人工工资专用账户管理工作的通知》（浙交〔2018〕241号）”、关于印发《台州市交通建设领域“台州无欠薪”行动专项治理方案》的通知（台交［2017］210号）和《关于进一步落实交通建设领域施工企业农民工记工考勤卡等事宜的通知》（浙交［2009］39号）、《台州市交通建设领域农民工工资支付监督管理暂行办法》、《台州市交通建设领域农民工工资支付分账管理实施细则》的通知（台交【2018】210号）及“《关于印发〈浙江省交通建设领域“浙江无欠薪”行动专项治理方案〉的通知》（浙交〔2017〕145号）、《关于在全省工程建设领域改革保证金制度的通知》（浙建〔2020〕7号）、《国务院办公厅关于全面治理拖欠农民工工资问题的意见》（国办发〔2016〕1号）和《保障农民工工资支付条例》（中华人民共和国国务院令第724号）。</w:t>
      </w:r>
    </w:p>
    <w:p>
      <w:pPr>
        <w:keepNext w:val="0"/>
        <w:keepLines w:val="0"/>
        <w:widowControl w:val="0"/>
        <w:suppressLineNumbers w:val="0"/>
        <w:spacing w:before="0" w:beforeAutospacing="0" w:after="0" w:afterAutospacing="0" w:line="420" w:lineRule="exact"/>
        <w:ind w:left="0" w:right="0" w:firstLine="43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严格执行《国务院办公厅关于全面治理拖欠农民工工资问题的意见》（国办发[2016]1号，2016年1月17日发布）、《浙江省企业工资支付管理办法》（浙江省人民政府令第353号）等规定；实行人工费用与其他工程款分账管理制度，将农民工工资与工程材料款等相分离。承包人应分解工程价款中的人工费用；发包人将按照工程承包合同约定的比例或承包人提供的人工费用数额将应付工程款中的人工费单独拨付到发包人开设的农民工工资（劳务费）专用账户，此间涉及的相关责任及费用均由承包人自行承担，发包人不另行计量支付。</w:t>
      </w:r>
    </w:p>
    <w:p>
      <w:pPr>
        <w:keepNext w:val="0"/>
        <w:keepLines w:val="0"/>
        <w:widowControl w:val="0"/>
        <w:suppressLineNumbers w:val="0"/>
        <w:spacing w:before="0" w:beforeAutospacing="0" w:after="0" w:afterAutospacing="0" w:line="420" w:lineRule="exact"/>
        <w:ind w:left="0" w:right="0" w:firstLine="43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严格遵照国家有关法律、法规和政策，及时解决工程中的各种经济纠纷及民工工资等问题。若由此发生民工上访、围堵发包人或政府部门的办公场所等事件，其项目经理或承包人有关负责人在接到通知后，须2小时之内赶到事发地点，及时处理好相关事宜，否则，所造成的经济损失及一切责任由承包人承担。</w:t>
      </w:r>
    </w:p>
    <w:p>
      <w:pPr>
        <w:keepNext w:val="0"/>
        <w:keepLines w:val="0"/>
        <w:widowControl w:val="0"/>
        <w:suppressLineNumbers w:val="0"/>
        <w:spacing w:before="0" w:beforeAutospacing="0" w:after="0" w:afterAutospacing="0" w:line="420" w:lineRule="exact"/>
        <w:ind w:left="0" w:right="0" w:firstLine="43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关于进一步落实交通建设领域施工企业农民工记工考勤卡等事宜的通知》的规定，在用工后15天内与农民工签订劳动合同，根据劳动合同签订情况，统计农民工人数，按照实际人数办理记工考勤卡。承包人应将农民工工资保证金缴纳主管部门设立的农民工工资保证金专户（可采用银行保函或现金或保险保函或融资性担保公司保函），项目完工后或农民工提前离开工地，承包人应在合同约定期限之内对农民工工资进行结算，并一次性付清所有应发放的工资，同时承包人应在项目经理部和新闻媒介上分阶段公示民工工资支付情况，并公开2个监督电话（电话为当地交通主管部门和劳动保障部门等第三方单位可打通的号码），公示期符合相关规定。承包人应加强劳动合同管理，规范公路建设用工行为。不拖欠农民工工资，及时、足额发放农民工工资。</w:t>
      </w:r>
    </w:p>
    <w:p>
      <w:pPr>
        <w:keepNext w:val="0"/>
        <w:keepLines w:val="0"/>
        <w:widowControl w:val="0"/>
        <w:suppressLineNumbers w:val="0"/>
        <w:spacing w:before="0" w:beforeAutospacing="0" w:after="0" w:afterAutospacing="0" w:line="420" w:lineRule="exact"/>
        <w:ind w:left="0" w:right="0" w:firstLine="43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本款约定的内容如相关部门有最新规定的，按相关部门最新文件执行。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通用合同条款4.1.10第（4）目细化为：</w:t>
      </w:r>
    </w:p>
    <w:p>
      <w:pPr>
        <w:keepNext w:val="0"/>
        <w:keepLines w:val="0"/>
        <w:widowControl w:val="0"/>
        <w:suppressLineNumbers w:val="0"/>
        <w:spacing w:before="0" w:beforeAutospacing="0" w:after="0" w:afterAutospacing="0" w:line="400" w:lineRule="exact"/>
        <w:ind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根据合同的各项规定，承包人应负责做好合同规定的养护组织设计，精心组织养护，加强养护质量控制，完成本合同公路养护工程。为此，承包人应提供所需的全部监督管理、劳务、材料、设备、养护装备和其它物品。</w:t>
      </w:r>
    </w:p>
    <w:p>
      <w:pPr>
        <w:keepNext w:val="0"/>
        <w:keepLines w:val="0"/>
        <w:widowControl w:val="0"/>
        <w:suppressLineNumbers w:val="0"/>
        <w:spacing w:before="0" w:beforeAutospacing="0" w:after="0" w:afterAutospacing="0" w:line="400" w:lineRule="exact"/>
        <w:ind w:right="0" w:firstLine="420" w:firstLineChars="200"/>
        <w:jc w:val="both"/>
        <w:rPr>
          <w:rFonts w:hint="eastAsia" w:ascii="宋体" w:hAnsi="宋体" w:eastAsia="宋体" w:cs="宋体"/>
          <w:bCs/>
          <w:color w:val="auto"/>
          <w:kern w:val="2"/>
          <w:sz w:val="21"/>
          <w:szCs w:val="21"/>
          <w:highlight w:val="none"/>
          <w:lang w:val="en-US" w:eastAsia="zh-CN" w:bidi="ar"/>
        </w:rPr>
      </w:pPr>
      <w:r>
        <w:rPr>
          <w:rFonts w:hint="eastAsia" w:ascii="宋体" w:hAnsi="宋体"/>
          <w:color w:val="auto"/>
          <w:kern w:val="0"/>
          <w:sz w:val="21"/>
          <w:szCs w:val="21"/>
          <w:highlight w:val="none"/>
        </w:rPr>
        <w:t>本款补充</w:t>
      </w:r>
      <w:r>
        <w:rPr>
          <w:rFonts w:hint="eastAsia" w:ascii="宋体" w:hAnsi="宋体" w:eastAsia="宋体" w:cs="Times New Roman"/>
          <w:color w:val="auto"/>
          <w:kern w:val="0"/>
          <w:sz w:val="21"/>
          <w:szCs w:val="21"/>
          <w:highlight w:val="none"/>
        </w:rPr>
        <w:t>4.1.10第（</w:t>
      </w:r>
      <w:r>
        <w:rPr>
          <w:rFonts w:hint="eastAsia" w:ascii="宋体" w:hAnsi="宋体" w:eastAsia="宋体" w:cs="Times New Roman"/>
          <w:color w:val="auto"/>
          <w:kern w:val="0"/>
          <w:sz w:val="21"/>
          <w:szCs w:val="21"/>
          <w:highlight w:val="none"/>
          <w:lang w:val="en-US" w:eastAsia="zh-CN"/>
        </w:rPr>
        <w:t>5</w:t>
      </w:r>
      <w:r>
        <w:rPr>
          <w:rFonts w:hint="eastAsia" w:ascii="宋体" w:hAnsi="宋体" w:eastAsia="宋体" w:cs="Times New Roman"/>
          <w:color w:val="auto"/>
          <w:kern w:val="0"/>
          <w:sz w:val="21"/>
          <w:szCs w:val="21"/>
          <w:highlight w:val="none"/>
        </w:rPr>
        <w:t>）目为</w:t>
      </w:r>
      <w:r>
        <w:rPr>
          <w:color w:val="auto"/>
          <w:sz w:val="21"/>
          <w:szCs w:val="21"/>
          <w:highlight w:val="none"/>
        </w:rPr>
        <w:t>：</w:t>
      </w:r>
    </w:p>
    <w:p>
      <w:pPr>
        <w:keepNext w:val="0"/>
        <w:keepLines w:val="0"/>
        <w:widowControl w:val="0"/>
        <w:suppressLineNumbers w:val="0"/>
        <w:spacing w:before="0" w:beforeAutospacing="0" w:after="0" w:afterAutospacing="0" w:line="400" w:lineRule="exact"/>
        <w:ind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（5）材料、设备和操作工艺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a.所有用于公路养护工程的材料和设备进场以前，承包人必须向发包人提交生产厂商出具的质量合格证书和承包人检验合格证书，证明材料、设备质量符合本合同技术规范的规定，以供发包人批准。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b.承包人应随时按发包人的指令在制造、加工或养护施工现场对材料和设备进行检验。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c.承包人应为发包人对材料或设备的检验提供一切必要的协助，在材料用于养护工程之前，承包人应按发包人的要求提供材料样品以供检验。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d.所有公路养护工程操作工艺均应符合《公路养护技术规范》（JTG H10-2009）、《公路养护安全作业规程》（JTG H30-2015）等有关的规定。</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288" w:name="_Toc282787580"/>
      <w:bookmarkEnd w:id="2288"/>
      <w:r>
        <w:rPr>
          <w:rFonts w:hint="eastAsia" w:ascii="宋体" w:hAnsi="宋体" w:eastAsia="宋体" w:cs="宋体"/>
          <w:color w:val="auto"/>
          <w:kern w:val="2"/>
          <w:sz w:val="21"/>
          <w:szCs w:val="21"/>
          <w:highlight w:val="none"/>
          <w:lang w:val="en-US" w:eastAsia="zh-CN" w:bidi="ar"/>
        </w:rPr>
        <w:t>4.10  承包人现场查勘</w:t>
      </w:r>
    </w:p>
    <w:p>
      <w:pPr>
        <w:keepNext w:val="0"/>
        <w:keepLines w:val="0"/>
        <w:widowControl w:val="0"/>
        <w:suppressLineNumbers w:val="0"/>
        <w:spacing w:before="0" w:beforeAutospacing="0" w:after="0" w:afterAutospacing="0" w:line="400" w:lineRule="exact"/>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本款补充第4.10.3项：</w:t>
      </w:r>
    </w:p>
    <w:p>
      <w:pPr>
        <w:keepNext w:val="0"/>
        <w:keepLines w:val="0"/>
        <w:widowControl w:val="0"/>
        <w:suppressLineNumbers w:val="0"/>
        <w:spacing w:before="0" w:beforeAutospacing="0" w:after="0" w:afterAutospacing="0" w:line="400" w:lineRule="exact"/>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承包人应认真查勘施工现场，充分考虑到施工区域与相邻标段的相互影响和干扰，以及材料、设备等进入施工现场的公路和水路现状，并在投标报价中考虑上述因素而产生的所有费用，这些费用均由承包人承担。</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289" w:name="_Toc282787581"/>
      <w:bookmarkEnd w:id="2289"/>
      <w:r>
        <w:rPr>
          <w:rFonts w:hint="eastAsia" w:ascii="宋体" w:hAnsi="宋体" w:eastAsia="宋体" w:cs="宋体"/>
          <w:color w:val="auto"/>
          <w:kern w:val="2"/>
          <w:sz w:val="21"/>
          <w:szCs w:val="21"/>
          <w:highlight w:val="none"/>
          <w:lang w:val="en-US" w:eastAsia="zh-CN" w:bidi="ar"/>
        </w:rPr>
        <w:t>4.11  不利物质条件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4.1.11  不利物质条件的范围：</w:t>
      </w:r>
      <w:r>
        <w:rPr>
          <w:rFonts w:hint="eastAsia" w:ascii="宋体" w:hAnsi="宋体" w:eastAsia="宋体" w:cs="宋体"/>
          <w:color w:val="auto"/>
          <w:kern w:val="2"/>
          <w:sz w:val="21"/>
          <w:szCs w:val="21"/>
          <w:highlight w:val="none"/>
          <w:u w:val="single"/>
          <w:lang w:val="en-US" w:eastAsia="zh-CN" w:bidi="ar"/>
        </w:rPr>
        <w:t xml:space="preserve"> /。</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2290" w:name="_Toc288491652"/>
      <w:bookmarkEnd w:id="2290"/>
      <w:bookmarkStart w:id="2291" w:name="_Toc30482"/>
      <w:bookmarkEnd w:id="2291"/>
      <w:bookmarkStart w:id="2292" w:name="_Toc514936631"/>
      <w:bookmarkEnd w:id="2292"/>
      <w:bookmarkStart w:id="2293" w:name="_Toc282779127"/>
      <w:bookmarkEnd w:id="2293"/>
      <w:bookmarkStart w:id="2294" w:name="_Toc32094"/>
      <w:bookmarkEnd w:id="2294"/>
      <w:bookmarkStart w:id="2295" w:name="_Toc27854"/>
      <w:bookmarkEnd w:id="2295"/>
      <w:bookmarkStart w:id="2296" w:name="_Toc21464"/>
      <w:bookmarkEnd w:id="2296"/>
      <w:bookmarkStart w:id="2297" w:name="_Toc15119"/>
      <w:bookmarkEnd w:id="2297"/>
      <w:bookmarkStart w:id="2298" w:name="_Toc282787582"/>
      <w:bookmarkEnd w:id="2298"/>
      <w:bookmarkStart w:id="2299" w:name="_Toc6744"/>
      <w:bookmarkEnd w:id="2299"/>
      <w:bookmarkStart w:id="2300" w:name="_Toc7473"/>
      <w:bookmarkEnd w:id="2300"/>
      <w:bookmarkStart w:id="2301" w:name="_Toc12242"/>
      <w:bookmarkEnd w:id="2301"/>
      <w:bookmarkStart w:id="2302" w:name="_Toc118378101"/>
      <w:bookmarkEnd w:id="2302"/>
      <w:bookmarkStart w:id="2303" w:name="_Toc31172"/>
      <w:bookmarkEnd w:id="2303"/>
      <w:bookmarkStart w:id="2304" w:name="_Toc14134"/>
      <w:bookmarkEnd w:id="2304"/>
      <w:bookmarkStart w:id="2305" w:name="_Toc282779636"/>
      <w:bookmarkEnd w:id="2305"/>
      <w:bookmarkStart w:id="2306" w:name="_Toc25540"/>
      <w:bookmarkEnd w:id="2306"/>
      <w:bookmarkStart w:id="2307" w:name="_Toc9844"/>
      <w:bookmarkEnd w:id="2307"/>
      <w:bookmarkStart w:id="2308" w:name="_Toc283794324"/>
      <w:bookmarkEnd w:id="2308"/>
      <w:bookmarkStart w:id="2309" w:name="_Toc28592"/>
      <w:bookmarkEnd w:id="2309"/>
      <w:bookmarkStart w:id="2310" w:name="_Toc287853476"/>
      <w:r>
        <w:rPr>
          <w:rFonts w:hint="eastAsia" w:ascii="宋体" w:hAnsi="宋体" w:eastAsia="宋体" w:cs="宋体"/>
          <w:color w:val="auto"/>
          <w:kern w:val="2"/>
          <w:sz w:val="21"/>
          <w:szCs w:val="21"/>
          <w:highlight w:val="none"/>
          <w:lang w:val="en-US" w:eastAsia="zh-CN" w:bidi="ar"/>
        </w:rPr>
        <w:t>9．施工安全、治安保卫和环境保护</w:t>
      </w:r>
      <w:bookmarkEnd w:id="2310"/>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311" w:name="_Toc288491653"/>
      <w:bookmarkEnd w:id="2311"/>
      <w:bookmarkStart w:id="2312" w:name="_Toc282787583"/>
      <w:bookmarkEnd w:id="2312"/>
      <w:bookmarkStart w:id="2313" w:name="_Toc282779637"/>
      <w:bookmarkEnd w:id="2313"/>
      <w:bookmarkStart w:id="2314" w:name="_Toc283794325"/>
      <w:bookmarkEnd w:id="2314"/>
      <w:bookmarkStart w:id="2315" w:name="_Toc287853477"/>
      <w:bookmarkEnd w:id="2315"/>
      <w:bookmarkStart w:id="2316" w:name="_Toc282779128"/>
      <w:r>
        <w:rPr>
          <w:rFonts w:hint="eastAsia" w:ascii="宋体" w:hAnsi="宋体" w:eastAsia="宋体" w:cs="宋体"/>
          <w:color w:val="auto"/>
          <w:kern w:val="2"/>
          <w:sz w:val="21"/>
          <w:szCs w:val="21"/>
          <w:highlight w:val="none"/>
          <w:lang w:val="en-US" w:eastAsia="zh-CN" w:bidi="ar"/>
        </w:rPr>
        <w:t>9.2  承包人的施工安全责任</w:t>
      </w:r>
      <w:bookmarkEnd w:id="2316"/>
    </w:p>
    <w:p>
      <w:pPr>
        <w:keepNext w:val="0"/>
        <w:keepLines w:val="0"/>
        <w:widowControl/>
        <w:suppressLineNumbers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本款第9.2.1项补充：</w:t>
      </w:r>
    </w:p>
    <w:p>
      <w:pPr>
        <w:keepNext w:val="0"/>
        <w:keepLines w:val="0"/>
        <w:widowControl/>
        <w:suppressLineNumbers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监理人发现承包人在施工现场存在安全隐患或未落实安全生产费用的，应当提出要求其改正，施工单位拒不改正的，监理人可暂时停止工程款的计量支付，并及时向发包人报告。</w:t>
      </w:r>
    </w:p>
    <w:p>
      <w:pPr>
        <w:keepNext w:val="0"/>
        <w:keepLines w:val="0"/>
        <w:widowControl w:val="0"/>
        <w:suppressLineNumbers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第9.2.5项约定为：</w:t>
      </w:r>
    </w:p>
    <w:p>
      <w:pPr>
        <w:keepNext w:val="0"/>
        <w:keepLines w:val="0"/>
        <w:widowControl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bookmarkStart w:id="2317" w:name="_Toc282787584"/>
      <w:bookmarkEnd w:id="2317"/>
      <w:bookmarkStart w:id="2318" w:name="_Toc282779129"/>
      <w:bookmarkEnd w:id="2318"/>
      <w:bookmarkStart w:id="2319" w:name="_Toc283794326"/>
      <w:bookmarkEnd w:id="2319"/>
      <w:bookmarkStart w:id="2320" w:name="_Toc288491654"/>
      <w:bookmarkEnd w:id="2320"/>
      <w:bookmarkStart w:id="2321" w:name="_Toc287853478"/>
      <w:bookmarkEnd w:id="2321"/>
      <w:r>
        <w:rPr>
          <w:rFonts w:hint="eastAsia" w:ascii="宋体" w:hAnsi="宋体" w:eastAsia="宋体" w:cs="宋体"/>
          <w:color w:val="auto"/>
          <w:kern w:val="0"/>
          <w:sz w:val="21"/>
          <w:szCs w:val="21"/>
          <w:highlight w:val="none"/>
          <w:lang w:val="en-US" w:eastAsia="zh-CN" w:bidi="ar"/>
        </w:rPr>
        <w:t>安全生产费为工程量清单第100章（不含工程一切险、安全生产责任险、安全生产费）至第900章合计金额的2.0%计取（浙交[2020]104号《关于进一步加强全省交通建设工程安全生产管理工作的若干规定》），承包人计量按浙交[2021]12号《浙江省交通建设工程安全生产费用管理办法》的相关要求执行；安全生产费用应用于施工安全防护用具及设施的采购和更新、安全施工措施的落实、安全生产条件的改善，不得挪作他用。承包人还应执行《浙江省交通建设工程质量和安全生产管理条例》（浙江省第十三届人民代表大会常务委员会公告第 4 号）的相关规定和要求。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安全生产费的使用和支付按浙交【2021】12号《省交通运输厅关于印发&lt;浙江省交通建设工程安全生产费用管理办法&gt;的通知》的相关规定办理。</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2322" w:name="_Toc118378102"/>
      <w:bookmarkEnd w:id="2322"/>
      <w:bookmarkStart w:id="2323" w:name="_Toc32397"/>
      <w:bookmarkEnd w:id="2323"/>
      <w:bookmarkStart w:id="2324" w:name="_Toc3438"/>
      <w:bookmarkEnd w:id="2324"/>
      <w:bookmarkStart w:id="2325" w:name="_Toc26161"/>
      <w:bookmarkEnd w:id="2325"/>
      <w:bookmarkStart w:id="2326" w:name="_Toc8403"/>
      <w:bookmarkEnd w:id="2326"/>
      <w:bookmarkStart w:id="2327" w:name="_Toc1682"/>
      <w:bookmarkEnd w:id="2327"/>
      <w:bookmarkStart w:id="2328" w:name="_Toc9579"/>
      <w:bookmarkEnd w:id="2328"/>
      <w:bookmarkStart w:id="2329" w:name="_Toc2484"/>
      <w:bookmarkEnd w:id="2329"/>
      <w:bookmarkStart w:id="2330" w:name="_Toc11217"/>
      <w:bookmarkEnd w:id="2330"/>
      <w:bookmarkStart w:id="2331" w:name="_Toc195"/>
      <w:bookmarkEnd w:id="2331"/>
      <w:bookmarkStart w:id="2332" w:name="_Toc514936632"/>
      <w:bookmarkEnd w:id="2332"/>
      <w:bookmarkStart w:id="2333" w:name="_Toc30588"/>
      <w:bookmarkEnd w:id="2333"/>
      <w:bookmarkStart w:id="2334" w:name="_Toc3857"/>
      <w:bookmarkEnd w:id="2334"/>
      <w:bookmarkStart w:id="2335" w:name="_Toc25755"/>
      <w:bookmarkEnd w:id="2335"/>
      <w:bookmarkStart w:id="2336" w:name="_Toc8487"/>
      <w:r>
        <w:rPr>
          <w:rFonts w:hint="eastAsia" w:ascii="宋体" w:hAnsi="宋体" w:eastAsia="宋体" w:cs="宋体"/>
          <w:color w:val="auto"/>
          <w:kern w:val="2"/>
          <w:sz w:val="21"/>
          <w:szCs w:val="21"/>
          <w:highlight w:val="none"/>
          <w:lang w:val="en-US" w:eastAsia="zh-CN" w:bidi="ar"/>
        </w:rPr>
        <w:t>10．进度计划</w:t>
      </w:r>
      <w:bookmarkEnd w:id="2336"/>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337" w:name="_Toc282787585"/>
      <w:bookmarkEnd w:id="2337"/>
      <w:r>
        <w:rPr>
          <w:rFonts w:hint="eastAsia" w:ascii="宋体" w:hAnsi="宋体" w:eastAsia="宋体" w:cs="宋体"/>
          <w:color w:val="auto"/>
          <w:kern w:val="2"/>
          <w:sz w:val="21"/>
          <w:szCs w:val="21"/>
          <w:highlight w:val="none"/>
          <w:lang w:val="en-US" w:eastAsia="zh-CN" w:bidi="ar"/>
        </w:rPr>
        <w:t>10.1  合同进度计划</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本款补充：</w:t>
      </w:r>
    </w:p>
    <w:p>
      <w:pPr>
        <w:keepNext w:val="0"/>
        <w:keepLines w:val="0"/>
        <w:widowControl w:val="0"/>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Times New Roman"/>
          <w:color w:val="auto"/>
          <w:kern w:val="2"/>
          <w:sz w:val="21"/>
          <w:szCs w:val="21"/>
          <w:highlight w:val="none"/>
        </w:rPr>
      </w:pPr>
      <w:bookmarkStart w:id="2338" w:name="_Toc14355"/>
      <w:r>
        <w:rPr>
          <w:rFonts w:hint="eastAsia" w:ascii="宋体" w:hAnsi="宋体" w:eastAsia="宋体" w:cs="宋体"/>
          <w:color w:val="auto"/>
          <w:kern w:val="2"/>
          <w:sz w:val="21"/>
          <w:szCs w:val="21"/>
          <w:highlight w:val="none"/>
          <w:lang w:val="en-US" w:eastAsia="zh-CN" w:bidi="ar"/>
        </w:rPr>
        <w:t>承包人编制养护工程作业方案的内容：</w:t>
      </w:r>
    </w:p>
    <w:p>
      <w:pPr>
        <w:keepNext w:val="0"/>
        <w:keepLines w:val="0"/>
        <w:widowControl w:val="0"/>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（1）养护工程的施工组织、现场布置；</w:t>
      </w:r>
    </w:p>
    <w:p>
      <w:pPr>
        <w:keepNext w:val="0"/>
        <w:keepLines w:val="0"/>
        <w:widowControl w:val="0"/>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（2）养护工程计划；</w:t>
      </w:r>
    </w:p>
    <w:p>
      <w:pPr>
        <w:keepNext w:val="0"/>
        <w:keepLines w:val="0"/>
        <w:widowControl w:val="0"/>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（3）劳动力、机械设备、材料的供应及资金流量计划；</w:t>
      </w:r>
    </w:p>
    <w:p>
      <w:pPr>
        <w:keepNext w:val="0"/>
        <w:keepLines w:val="0"/>
        <w:widowControl w:val="0"/>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（4）大中修养护工程的技术措施和保施工道路畅通方案；</w:t>
      </w:r>
    </w:p>
    <w:p>
      <w:pPr>
        <w:keepNext w:val="0"/>
        <w:keepLines w:val="0"/>
        <w:widowControl w:val="0"/>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a．施工现场临时用电方案；</w:t>
      </w:r>
    </w:p>
    <w:p>
      <w:pPr>
        <w:keepNext w:val="0"/>
        <w:keepLines w:val="0"/>
        <w:widowControl w:val="0"/>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b．对危险性较大的养护作业应当编制专项施工方案：</w:t>
      </w:r>
    </w:p>
    <w:p>
      <w:pPr>
        <w:keepNext w:val="0"/>
        <w:keepLines w:val="0"/>
        <w:widowControl w:val="0"/>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（5）质量、安全保证体系；</w:t>
      </w:r>
    </w:p>
    <w:p>
      <w:pPr>
        <w:keepNext w:val="0"/>
        <w:keepLines w:val="0"/>
        <w:widowControl w:val="0"/>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（6）环境保护措施；</w:t>
      </w:r>
    </w:p>
    <w:p>
      <w:pPr>
        <w:keepNext w:val="0"/>
        <w:keepLines w:val="0"/>
        <w:widowControl w:val="0"/>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（7）其它应说明的事项。</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11．开工和交工</w:t>
      </w:r>
      <w:bookmarkEnd w:id="2338"/>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339" w:name="_Toc282787587"/>
      <w:bookmarkEnd w:id="2339"/>
      <w:r>
        <w:rPr>
          <w:rFonts w:hint="eastAsia" w:ascii="宋体" w:hAnsi="宋体" w:eastAsia="宋体" w:cs="宋体"/>
          <w:color w:val="auto"/>
          <w:kern w:val="2"/>
          <w:sz w:val="21"/>
          <w:szCs w:val="21"/>
          <w:highlight w:val="none"/>
          <w:lang w:val="en-US" w:eastAsia="zh-CN" w:bidi="ar"/>
        </w:rPr>
        <w:t>11.4  异常恶劣的气候条件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本款补充异常恶劣的气候条件为：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（1）持续高温：连续三日日最高气温38℃以上；</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（2）持续低温：连续三日日最高气温-20℃以下；</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（3）暴雨天气：日降雨量50mm，雨日超过1天及以上，或降雨强度大于20mm/h；</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（4）大风天气：日风力在6级以上且持续时间不少于4小时，或阵风大于8级以上台风灾害；</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（5）造成工程损坏的冰雹和大雪灾害：日降雪量10mm及以上；</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（6）水淹：施工场地大部或全部被潮水、洪水或雨水淹没超过1天；</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（7）其他异常恶劣气候灾害。</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异常恶劣的气候数据以养护工程所在地气象部门资料为准。</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2340" w:name="_Toc9507"/>
      <w:bookmarkEnd w:id="2340"/>
      <w:bookmarkStart w:id="2341" w:name="_Toc2783"/>
      <w:bookmarkEnd w:id="2341"/>
      <w:bookmarkStart w:id="2342" w:name="_Toc4735"/>
      <w:bookmarkEnd w:id="2342"/>
      <w:bookmarkStart w:id="2343" w:name="_Toc288491656"/>
      <w:bookmarkEnd w:id="2343"/>
      <w:bookmarkStart w:id="2344" w:name="_Toc287853480"/>
      <w:bookmarkEnd w:id="2344"/>
      <w:bookmarkStart w:id="2345" w:name="_Toc1258"/>
      <w:bookmarkEnd w:id="2345"/>
      <w:bookmarkStart w:id="2346" w:name="_Toc282787588"/>
      <w:bookmarkEnd w:id="2346"/>
      <w:bookmarkStart w:id="2347" w:name="_Toc13754"/>
      <w:bookmarkEnd w:id="2347"/>
      <w:bookmarkStart w:id="2348" w:name="_Toc8969"/>
      <w:bookmarkEnd w:id="2348"/>
      <w:bookmarkStart w:id="2349" w:name="_Toc21186"/>
      <w:bookmarkEnd w:id="2349"/>
      <w:bookmarkStart w:id="2350" w:name="_Toc28471"/>
      <w:bookmarkEnd w:id="2350"/>
      <w:bookmarkStart w:id="2351" w:name="_Toc17375"/>
      <w:bookmarkEnd w:id="2351"/>
      <w:bookmarkStart w:id="2352" w:name="_Toc514936634"/>
      <w:bookmarkEnd w:id="2352"/>
      <w:bookmarkStart w:id="2353" w:name="_Toc16658"/>
      <w:bookmarkEnd w:id="2353"/>
      <w:bookmarkStart w:id="2354" w:name="_Toc15171"/>
      <w:bookmarkEnd w:id="2354"/>
      <w:bookmarkStart w:id="2355" w:name="_Toc282779131"/>
      <w:bookmarkEnd w:id="2355"/>
      <w:bookmarkStart w:id="2356" w:name="_Toc283794328"/>
      <w:bookmarkEnd w:id="2356"/>
      <w:bookmarkStart w:id="2357" w:name="_Toc118378104"/>
      <w:bookmarkEnd w:id="2357"/>
      <w:bookmarkStart w:id="2358" w:name="_Toc29871"/>
      <w:bookmarkEnd w:id="2358"/>
      <w:bookmarkStart w:id="2359" w:name="_Toc282779640"/>
      <w:bookmarkEnd w:id="2359"/>
      <w:bookmarkStart w:id="2360" w:name="_Toc26565"/>
      <w:r>
        <w:rPr>
          <w:rFonts w:hint="eastAsia" w:ascii="宋体" w:hAnsi="宋体" w:eastAsia="宋体" w:cs="宋体"/>
          <w:color w:val="auto"/>
          <w:kern w:val="2"/>
          <w:sz w:val="21"/>
          <w:szCs w:val="21"/>
          <w:highlight w:val="none"/>
          <w:lang w:val="en-US" w:eastAsia="zh-CN" w:bidi="ar"/>
        </w:rPr>
        <w:t>12. 暂停施工</w:t>
      </w:r>
      <w:bookmarkEnd w:id="2360"/>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361" w:name="_Toc282787589"/>
      <w:bookmarkEnd w:id="2361"/>
      <w:bookmarkStart w:id="2362" w:name="_Toc238550384"/>
      <w:r>
        <w:rPr>
          <w:rFonts w:hint="eastAsia" w:ascii="宋体" w:hAnsi="宋体" w:eastAsia="宋体" w:cs="宋体"/>
          <w:color w:val="auto"/>
          <w:kern w:val="2"/>
          <w:sz w:val="21"/>
          <w:szCs w:val="21"/>
          <w:highlight w:val="none"/>
          <w:lang w:val="en-US" w:eastAsia="zh-CN" w:bidi="ar"/>
        </w:rPr>
        <w:t>12.</w:t>
      </w:r>
      <w:bookmarkEnd w:id="2362"/>
      <w:r>
        <w:rPr>
          <w:rFonts w:hint="eastAsia" w:ascii="宋体" w:hAnsi="宋体" w:eastAsia="宋体" w:cs="宋体"/>
          <w:color w:val="auto"/>
          <w:kern w:val="2"/>
          <w:sz w:val="21"/>
          <w:szCs w:val="21"/>
          <w:highlight w:val="none"/>
          <w:lang w:val="en-US" w:eastAsia="zh-CN" w:bidi="ar"/>
        </w:rPr>
        <w:t>1  承包人暂停施工的责任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本款第12.1（6）项约定为：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（6）由承包人承担的其他暂停施工：</w:t>
      </w:r>
      <w:r>
        <w:rPr>
          <w:rFonts w:hint="eastAsia" w:ascii="宋体" w:hAnsi="宋体" w:eastAsia="宋体" w:cs="宋体"/>
          <w:color w:val="auto"/>
          <w:kern w:val="2"/>
          <w:sz w:val="21"/>
          <w:szCs w:val="21"/>
          <w:highlight w:val="none"/>
          <w:u w:val="single"/>
          <w:lang w:val="en-US" w:eastAsia="zh-CN" w:bidi="ar"/>
        </w:rPr>
        <w:t xml:space="preserve">  /   </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lang w:val="en-US" w:eastAsia="zh-CN" w:bidi="ar"/>
        </w:rPr>
      </w:pPr>
      <w:bookmarkStart w:id="2363" w:name="_Toc514936635"/>
      <w:bookmarkEnd w:id="2363"/>
      <w:bookmarkStart w:id="2364" w:name="_Toc8624"/>
      <w:bookmarkEnd w:id="2364"/>
      <w:bookmarkStart w:id="2365" w:name="_Toc2017"/>
      <w:bookmarkEnd w:id="2365"/>
      <w:bookmarkStart w:id="2366" w:name="_Toc7110"/>
      <w:bookmarkEnd w:id="2366"/>
      <w:bookmarkStart w:id="2367" w:name="_Toc1527"/>
      <w:bookmarkEnd w:id="2367"/>
      <w:bookmarkStart w:id="2368" w:name="_Toc16435"/>
      <w:bookmarkEnd w:id="2368"/>
      <w:bookmarkStart w:id="2369" w:name="_Toc240883731"/>
      <w:bookmarkEnd w:id="2369"/>
      <w:bookmarkStart w:id="2370" w:name="_Toc2837"/>
      <w:bookmarkEnd w:id="2370"/>
      <w:bookmarkStart w:id="2371" w:name="_Toc282779641"/>
      <w:bookmarkEnd w:id="2371"/>
      <w:bookmarkStart w:id="2372" w:name="_Toc2891"/>
      <w:bookmarkEnd w:id="2372"/>
      <w:bookmarkStart w:id="2373" w:name="_Toc28927"/>
      <w:bookmarkEnd w:id="2373"/>
      <w:bookmarkStart w:id="2374" w:name="_Toc18212"/>
      <w:bookmarkEnd w:id="2374"/>
      <w:bookmarkStart w:id="2375" w:name="_Toc287853481"/>
      <w:bookmarkEnd w:id="2375"/>
      <w:bookmarkStart w:id="2376" w:name="_Toc282787590"/>
      <w:bookmarkEnd w:id="2376"/>
      <w:bookmarkStart w:id="2377" w:name="_Toc282787591"/>
      <w:bookmarkEnd w:id="2377"/>
      <w:bookmarkStart w:id="2378" w:name="_Toc15729"/>
      <w:bookmarkEnd w:id="2378"/>
      <w:bookmarkStart w:id="2379" w:name="_Toc11373"/>
      <w:bookmarkEnd w:id="2379"/>
      <w:bookmarkStart w:id="2380" w:name="_Toc240724136"/>
      <w:bookmarkEnd w:id="2380"/>
      <w:bookmarkStart w:id="2381" w:name="_Toc118378105"/>
      <w:bookmarkEnd w:id="2381"/>
      <w:bookmarkStart w:id="2382" w:name="_Toc32682"/>
      <w:bookmarkEnd w:id="2382"/>
      <w:bookmarkStart w:id="2383" w:name="_Toc288491657"/>
      <w:bookmarkEnd w:id="2383"/>
      <w:bookmarkStart w:id="2384" w:name="_Toc282779132"/>
      <w:bookmarkEnd w:id="2384"/>
      <w:bookmarkStart w:id="2385" w:name="_Toc19913"/>
      <w:bookmarkEnd w:id="2385"/>
      <w:bookmarkStart w:id="2386" w:name="_Toc283794329"/>
      <w:r>
        <w:rPr>
          <w:rFonts w:hint="eastAsia" w:ascii="宋体" w:hAnsi="宋体" w:eastAsia="宋体" w:cs="宋体"/>
          <w:color w:val="auto"/>
          <w:kern w:val="2"/>
          <w:sz w:val="21"/>
          <w:szCs w:val="21"/>
          <w:highlight w:val="none"/>
          <w:lang w:val="en-US" w:eastAsia="zh-CN" w:bidi="ar"/>
        </w:rPr>
        <w:t>12.2  发包人暂停施工的责任</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本款原内容后补充：</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发包人如连续2个月发生已计量应支付而未支付工程款的，承包人可停工（但不得拖欠农民工工资）。造成的损失由发包人承担。</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  工程质量</w:t>
      </w:r>
      <w:bookmarkEnd w:id="2386"/>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387" w:name="_Toc283794330"/>
      <w:bookmarkEnd w:id="2387"/>
      <w:bookmarkStart w:id="2388" w:name="_Toc282787592"/>
      <w:bookmarkEnd w:id="2388"/>
      <w:bookmarkStart w:id="2389" w:name="_Toc299345062"/>
      <w:bookmarkEnd w:id="2389"/>
      <w:bookmarkStart w:id="2390" w:name="_Toc240883733"/>
      <w:bookmarkEnd w:id="2390"/>
      <w:bookmarkStart w:id="2391" w:name="_Toc287853482"/>
      <w:bookmarkEnd w:id="2391"/>
      <w:bookmarkStart w:id="2392" w:name="_Toc332566067"/>
      <w:bookmarkEnd w:id="2392"/>
      <w:bookmarkStart w:id="2393" w:name="_Toc282779133"/>
      <w:bookmarkEnd w:id="2393"/>
      <w:bookmarkStart w:id="2394" w:name="_Toc240724138"/>
      <w:bookmarkEnd w:id="2394"/>
      <w:bookmarkStart w:id="2395" w:name="_Toc282779642"/>
      <w:bookmarkEnd w:id="2395"/>
      <w:bookmarkStart w:id="2396" w:name="_Toc288491658"/>
      <w:r>
        <w:rPr>
          <w:rFonts w:hint="eastAsia" w:ascii="宋体" w:hAnsi="宋体" w:eastAsia="宋体" w:cs="宋体"/>
          <w:color w:val="auto"/>
          <w:kern w:val="2"/>
          <w:sz w:val="21"/>
          <w:szCs w:val="21"/>
          <w:highlight w:val="none"/>
          <w:lang w:val="en-US" w:eastAsia="zh-CN" w:bidi="ar"/>
        </w:rPr>
        <w:t>13.1工程质量要求</w:t>
      </w:r>
      <w:bookmarkEnd w:id="2396"/>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本款第13.1.1项细化为：</w:t>
      </w:r>
    </w:p>
    <w:p>
      <w:pPr>
        <w:keepNext w:val="0"/>
        <w:keepLines w:val="0"/>
        <w:widowControl w:val="0"/>
        <w:suppressLineNumbers w:val="0"/>
        <w:spacing w:before="0" w:beforeAutospacing="0" w:after="0" w:afterAutospacing="0" w:line="400" w:lineRule="exact"/>
        <w:ind w:left="0" w:right="0" w:firstLine="420" w:firstLineChars="200"/>
        <w:jc w:val="both"/>
        <w:rPr>
          <w:rFonts w:ascii="Times New Roman" w:hAnsi="Times New Roman" w:eastAsia="宋体"/>
          <w:color w:val="auto"/>
          <w:sz w:val="21"/>
          <w:szCs w:val="20"/>
          <w:highlight w:val="none"/>
        </w:rPr>
      </w:pPr>
      <w:r>
        <w:rPr>
          <w:rFonts w:hint="eastAsia" w:ascii="宋体" w:hAnsi="宋体"/>
          <w:color w:val="auto"/>
          <w:sz w:val="21"/>
          <w:szCs w:val="21"/>
          <w:highlight w:val="none"/>
        </w:rPr>
        <w:t>工程质量验收按相</w:t>
      </w:r>
      <w:r>
        <w:rPr>
          <w:rFonts w:hint="eastAsia" w:ascii="宋体" w:hAnsi="宋体" w:eastAsia="宋体" w:cs="Times New Roman"/>
          <w:color w:val="auto"/>
          <w:sz w:val="21"/>
          <w:szCs w:val="21"/>
          <w:highlight w:val="none"/>
        </w:rPr>
        <w:t>关技术规范执行。</w:t>
      </w:r>
      <w:r>
        <w:rPr>
          <w:rFonts w:ascii="Times New Roman" w:hAnsi="Times New Roman" w:eastAsia="宋体"/>
          <w:color w:val="auto"/>
          <w:sz w:val="21"/>
          <w:szCs w:val="20"/>
          <w:highlight w:val="none"/>
        </w:rPr>
        <w:t>本工程的质量目标：标段工程交工验收工程质量评定：</w:t>
      </w:r>
      <w:r>
        <w:rPr>
          <w:rFonts w:hint="eastAsia" w:ascii="Times New Roman" w:hAnsi="Times New Roman" w:eastAsia="宋体"/>
          <w:color w:val="auto"/>
          <w:sz w:val="21"/>
          <w:szCs w:val="20"/>
          <w:highlight w:val="none"/>
          <w:u w:val="single"/>
        </w:rPr>
        <w:t>合格</w:t>
      </w:r>
      <w:r>
        <w:rPr>
          <w:rFonts w:ascii="Times New Roman" w:hAnsi="Times New Roman" w:eastAsia="宋体"/>
          <w:color w:val="auto"/>
          <w:sz w:val="21"/>
          <w:szCs w:val="20"/>
          <w:highlight w:val="none"/>
        </w:rPr>
        <w:t>；标段工程竣工验收工程质量评定：</w:t>
      </w:r>
      <w:r>
        <w:rPr>
          <w:rFonts w:hint="eastAsia" w:ascii="Times New Roman" w:hAnsi="Times New Roman" w:eastAsia="宋体"/>
          <w:color w:val="auto"/>
          <w:sz w:val="21"/>
          <w:szCs w:val="20"/>
          <w:highlight w:val="none"/>
          <w:u w:val="single"/>
        </w:rPr>
        <w:t>合格</w:t>
      </w:r>
      <w:r>
        <w:rPr>
          <w:rFonts w:ascii="Times New Roman" w:hAnsi="Times New Roman" w:eastAsia="宋体"/>
          <w:color w:val="auto"/>
          <w:sz w:val="21"/>
          <w:szCs w:val="20"/>
          <w:highlight w:val="none"/>
        </w:rPr>
        <w:t>。</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为本合同的施工建立强有力的质保系统和质检系统，认真执行国家和交通运输部有关加强质量管理的法规与文件，开展全面质量管理，确保工程质量达到目标要求。若由于承包人不重视质量管理，因日常小修保养未到位引发事故而产生的经济赔偿等一切责任由中标单位承担，中标单位必须购买公共责任保险。工程验收未能达到目标要求则按项目专用条款22.1规定进行违约处理。</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13.7  质量抽检</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bookmarkStart w:id="2397" w:name="_Toc240883734"/>
      <w:bookmarkEnd w:id="2397"/>
      <w:bookmarkStart w:id="2398" w:name="_Toc240724139"/>
      <w:bookmarkEnd w:id="2398"/>
      <w:bookmarkStart w:id="2399" w:name="_Toc238550388"/>
      <w:r>
        <w:rPr>
          <w:rFonts w:hint="eastAsia" w:ascii="宋体" w:hAnsi="宋体" w:eastAsia="宋体" w:cs="宋体"/>
          <w:color w:val="auto"/>
          <w:kern w:val="2"/>
          <w:sz w:val="21"/>
          <w:szCs w:val="21"/>
          <w:highlight w:val="none"/>
          <w:lang w:val="en-US" w:eastAsia="zh-CN" w:bidi="ar"/>
        </w:rPr>
        <w:t>第13.7款补充：</w:t>
      </w:r>
      <w:bookmarkEnd w:id="2399"/>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省、市交通工程质量监督机构和发包人有权对承包人施工质量随时进行抽检，并通过监理人对工程质量实施否决，承包人应积极配合并免费提供试验用的试件。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bookmarkStart w:id="2400" w:name="_Toc468702671"/>
      <w:bookmarkEnd w:id="2400"/>
      <w:bookmarkStart w:id="2401" w:name="_Toc262895918"/>
      <w:bookmarkEnd w:id="2401"/>
      <w:bookmarkStart w:id="2402" w:name="_Toc245538808"/>
      <w:bookmarkEnd w:id="2402"/>
      <w:bookmarkStart w:id="2403" w:name="_Toc2652"/>
      <w:bookmarkEnd w:id="2403"/>
      <w:bookmarkStart w:id="2404" w:name="_Toc263889246"/>
      <w:bookmarkEnd w:id="2404"/>
      <w:bookmarkStart w:id="2405" w:name="_Toc282779134"/>
      <w:bookmarkEnd w:id="2405"/>
      <w:bookmarkStart w:id="2406" w:name="_Toc31994"/>
      <w:bookmarkEnd w:id="2406"/>
      <w:bookmarkStart w:id="2407" w:name="_Toc27432"/>
      <w:bookmarkEnd w:id="2407"/>
      <w:bookmarkStart w:id="2408" w:name="_Toc32353"/>
      <w:bookmarkEnd w:id="2408"/>
      <w:bookmarkStart w:id="2409" w:name="_Toc514936636"/>
      <w:bookmarkEnd w:id="2409"/>
      <w:bookmarkStart w:id="2410" w:name="_Toc262031859"/>
      <w:bookmarkEnd w:id="2410"/>
      <w:bookmarkStart w:id="2411" w:name="_Toc28148"/>
      <w:bookmarkEnd w:id="2411"/>
      <w:bookmarkStart w:id="2412" w:name="_Toc3224"/>
      <w:bookmarkEnd w:id="2412"/>
      <w:bookmarkStart w:id="2413" w:name="_Toc8731"/>
      <w:bookmarkEnd w:id="2413"/>
      <w:bookmarkStart w:id="2414" w:name="_Toc498542982"/>
      <w:bookmarkEnd w:id="2414"/>
      <w:bookmarkStart w:id="2415" w:name="_Toc282779643"/>
      <w:bookmarkEnd w:id="2415"/>
      <w:bookmarkStart w:id="2416" w:name="_Toc441002371"/>
      <w:bookmarkEnd w:id="2416"/>
      <w:bookmarkStart w:id="2417" w:name="_Toc282787593"/>
      <w:bookmarkEnd w:id="2417"/>
      <w:bookmarkStart w:id="2418" w:name="_Toc66726501"/>
      <w:bookmarkEnd w:id="2418"/>
      <w:bookmarkStart w:id="2419" w:name="_Toc12227"/>
      <w:bookmarkEnd w:id="2419"/>
      <w:bookmarkStart w:id="2420" w:name="_Toc16189"/>
      <w:bookmarkEnd w:id="2420"/>
      <w:bookmarkStart w:id="2421" w:name="_Toc24872"/>
      <w:bookmarkEnd w:id="2421"/>
      <w:bookmarkStart w:id="2422" w:name="_Toc283794331"/>
      <w:bookmarkEnd w:id="2422"/>
      <w:bookmarkStart w:id="2423" w:name="_Toc421630693"/>
      <w:bookmarkEnd w:id="2423"/>
      <w:bookmarkStart w:id="2424" w:name="_Toc288491659"/>
      <w:bookmarkEnd w:id="2424"/>
      <w:bookmarkStart w:id="2425" w:name="_Toc234382896"/>
      <w:bookmarkEnd w:id="2425"/>
      <w:bookmarkStart w:id="2426" w:name="_Toc2862"/>
      <w:bookmarkEnd w:id="2426"/>
      <w:bookmarkStart w:id="2427" w:name="_Toc287853483"/>
      <w:r>
        <w:rPr>
          <w:rFonts w:hint="eastAsia" w:ascii="宋体" w:hAnsi="宋体" w:eastAsia="宋体" w:cs="宋体"/>
          <w:color w:val="auto"/>
          <w:kern w:val="2"/>
          <w:sz w:val="21"/>
          <w:szCs w:val="21"/>
          <w:highlight w:val="none"/>
          <w:lang w:val="en-US" w:eastAsia="zh-CN" w:bidi="ar"/>
        </w:rPr>
        <w:t>15.变更</w:t>
      </w:r>
      <w:bookmarkEnd w:id="2427"/>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bookmarkStart w:id="2428" w:name="_Toc421630695"/>
      <w:bookmarkEnd w:id="2428"/>
      <w:bookmarkStart w:id="2429" w:name="_Toc234382898"/>
      <w:bookmarkEnd w:id="2429"/>
      <w:bookmarkStart w:id="2430" w:name="_Toc262031861"/>
      <w:bookmarkEnd w:id="2430"/>
      <w:bookmarkStart w:id="2431" w:name="_Toc468702672"/>
      <w:bookmarkEnd w:id="2431"/>
      <w:bookmarkStart w:id="2432" w:name="_Toc245538810"/>
      <w:bookmarkEnd w:id="2432"/>
      <w:bookmarkStart w:id="2433" w:name="_Toc468702673"/>
      <w:bookmarkEnd w:id="2433"/>
      <w:bookmarkStart w:id="2434" w:name="_Toc498542983"/>
      <w:bookmarkEnd w:id="2434"/>
      <w:bookmarkStart w:id="2435" w:name="_Toc262031860"/>
      <w:bookmarkEnd w:id="2435"/>
      <w:bookmarkStart w:id="2436" w:name="_Toc66726502"/>
      <w:bookmarkEnd w:id="2436"/>
      <w:bookmarkStart w:id="2437" w:name="_Toc498542984"/>
      <w:bookmarkEnd w:id="2437"/>
      <w:bookmarkStart w:id="2438" w:name="_Toc441002372"/>
      <w:bookmarkEnd w:id="2438"/>
      <w:bookmarkStart w:id="2439" w:name="_Toc262895920"/>
      <w:bookmarkEnd w:id="2439"/>
      <w:bookmarkStart w:id="2440" w:name="_Toc66726503"/>
      <w:bookmarkEnd w:id="2440"/>
      <w:bookmarkStart w:id="2441" w:name="_Toc262895919"/>
      <w:bookmarkEnd w:id="2441"/>
      <w:bookmarkStart w:id="2442" w:name="_Toc245538809"/>
      <w:bookmarkEnd w:id="2442"/>
      <w:bookmarkStart w:id="2443" w:name="_Toc234382897"/>
      <w:bookmarkEnd w:id="2443"/>
      <w:bookmarkStart w:id="2444" w:name="_Toc263889247"/>
      <w:bookmarkEnd w:id="2444"/>
      <w:bookmarkStart w:id="2445" w:name="_Toc263889248"/>
      <w:bookmarkEnd w:id="2445"/>
      <w:bookmarkStart w:id="2446" w:name="_Toc441002373"/>
      <w:r>
        <w:rPr>
          <w:rFonts w:hint="eastAsia" w:ascii="宋体" w:hAnsi="宋体" w:eastAsia="宋体" w:cs="宋体"/>
          <w:color w:val="auto"/>
          <w:kern w:val="2"/>
          <w:sz w:val="21"/>
          <w:szCs w:val="21"/>
          <w:highlight w:val="none"/>
          <w:lang w:val="en-US" w:eastAsia="zh-CN" w:bidi="ar"/>
        </w:rPr>
        <w:t>15.3变更程序</w:t>
      </w:r>
      <w:bookmarkEnd w:id="2446"/>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公路工程专用合同条款第15.3.4项细化为：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本项目所有工程内容的设计变更程序、方法均执行交通运输部《公路工程设计变更管理办法》（交通运输部令2005年第5号）、浙江省交通运输厅关于印发《浙江省普通国省道干线公路工程设计变更管理实施细则》的通知（浙交[2017]34号）及地方政府的相关规定和要求。</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公路工程专用合同条款补充第15.3.5项：</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15.3.5 </w:t>
      </w:r>
      <w:r>
        <w:rPr>
          <w:rFonts w:hint="eastAsia" w:ascii="宋体" w:hAnsi="宋体" w:eastAsia="宋体" w:cs="宋体"/>
          <w:b/>
          <w:bCs/>
          <w:color w:val="auto"/>
          <w:kern w:val="2"/>
          <w:sz w:val="21"/>
          <w:szCs w:val="21"/>
          <w:highlight w:val="none"/>
          <w:lang w:val="en-US" w:eastAsia="zh-CN" w:bidi="ar"/>
        </w:rPr>
        <w:t xml:space="preserve"> 第15.3款发出的变更指示必须经发包人同意。</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bookmarkStart w:id="2447" w:name="_Toc519182671"/>
      <w:bookmarkEnd w:id="2447"/>
      <w:r>
        <w:rPr>
          <w:rFonts w:hint="eastAsia" w:ascii="宋体" w:hAnsi="宋体" w:eastAsia="宋体" w:cs="宋体"/>
          <w:color w:val="auto"/>
          <w:kern w:val="2"/>
          <w:sz w:val="21"/>
          <w:szCs w:val="21"/>
          <w:highlight w:val="none"/>
          <w:lang w:val="en-US" w:eastAsia="zh-CN" w:bidi="ar"/>
        </w:rPr>
        <w:t>公路工程专用合同条款15.4.4项细化为：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已标价工程量清单中无适用或类似子目的单价，依据以下次序原则进行处理：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（1）本标段中无适用和类似子目的，按本款以下原则组价，经监理人审核、发包人批准后计取；</w:t>
      </w:r>
    </w:p>
    <w:p>
      <w:pPr>
        <w:wordWrap w:val="0"/>
        <w:adjustRightInd w:val="0"/>
        <w:snapToGrid w:val="0"/>
        <w:spacing w:line="360" w:lineRule="exact"/>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a.</w:t>
      </w:r>
      <w:r>
        <w:rPr>
          <w:rFonts w:ascii="Times New Roman" w:hAnsi="Times New Roman" w:eastAsia="宋体"/>
          <w:sz w:val="21"/>
          <w:szCs w:val="21"/>
        </w:rPr>
        <w:t xml:space="preserve">定额套用：交通运输部《公路工程预算定额》（JTG/T </w:t>
      </w:r>
      <w:r>
        <w:rPr>
          <w:rFonts w:hint="eastAsia" w:ascii="Times New Roman" w:hAnsi="Times New Roman" w:eastAsia="宋体"/>
          <w:sz w:val="21"/>
          <w:szCs w:val="21"/>
        </w:rPr>
        <w:t>3832</w:t>
      </w:r>
      <w:r>
        <w:rPr>
          <w:rFonts w:ascii="Times New Roman" w:hAnsi="Times New Roman" w:eastAsia="宋体"/>
          <w:sz w:val="21"/>
          <w:szCs w:val="21"/>
        </w:rPr>
        <w:t>-</w:t>
      </w:r>
      <w:r>
        <w:rPr>
          <w:rFonts w:hint="eastAsia" w:ascii="Times New Roman" w:hAnsi="Times New Roman" w:eastAsia="宋体"/>
          <w:sz w:val="21"/>
          <w:szCs w:val="21"/>
        </w:rPr>
        <w:t>2018</w:t>
      </w:r>
      <w:r>
        <w:rPr>
          <w:rFonts w:ascii="Times New Roman" w:hAnsi="Times New Roman" w:eastAsia="宋体"/>
          <w:sz w:val="21"/>
          <w:szCs w:val="21"/>
        </w:rPr>
        <w:t>）及部、浙江省补充定额；</w:t>
      </w:r>
    </w:p>
    <w:p>
      <w:pPr>
        <w:wordWrap w:val="0"/>
        <w:adjustRightInd w:val="0"/>
        <w:snapToGrid w:val="0"/>
        <w:spacing w:line="360" w:lineRule="exact"/>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b.</w:t>
      </w:r>
      <w:r>
        <w:rPr>
          <w:rFonts w:ascii="Times New Roman" w:hAnsi="Times New Roman" w:eastAsia="宋体"/>
          <w:sz w:val="21"/>
          <w:szCs w:val="21"/>
        </w:rPr>
        <w:t xml:space="preserve">取费标准、人工费、机械台班费用：按交通运输部《公路工程基本建设项目概算编制办法》（JTG/T </w:t>
      </w:r>
      <w:r>
        <w:rPr>
          <w:rFonts w:hint="eastAsia" w:ascii="Times New Roman" w:hAnsi="Times New Roman" w:eastAsia="宋体"/>
          <w:sz w:val="21"/>
          <w:szCs w:val="21"/>
        </w:rPr>
        <w:t>3832</w:t>
      </w:r>
      <w:r>
        <w:rPr>
          <w:rFonts w:ascii="Times New Roman" w:hAnsi="Times New Roman" w:eastAsia="宋体"/>
          <w:sz w:val="21"/>
          <w:szCs w:val="21"/>
        </w:rPr>
        <w:t>-</w:t>
      </w:r>
      <w:r>
        <w:rPr>
          <w:rFonts w:hint="eastAsia" w:ascii="Times New Roman" w:hAnsi="Times New Roman" w:eastAsia="宋体"/>
          <w:sz w:val="21"/>
          <w:szCs w:val="21"/>
        </w:rPr>
        <w:t>2018</w:t>
      </w:r>
      <w:r>
        <w:rPr>
          <w:rFonts w:ascii="Times New Roman" w:hAnsi="Times New Roman" w:eastAsia="宋体"/>
          <w:sz w:val="21"/>
          <w:szCs w:val="21"/>
        </w:rPr>
        <w:t xml:space="preserve">）、《公路工程机械台班费用定额》（JTG/T </w:t>
      </w:r>
      <w:r>
        <w:rPr>
          <w:rFonts w:hint="eastAsia" w:ascii="Times New Roman" w:hAnsi="Times New Roman" w:eastAsia="宋体"/>
          <w:sz w:val="21"/>
          <w:szCs w:val="21"/>
        </w:rPr>
        <w:t>3832</w:t>
      </w:r>
      <w:r>
        <w:rPr>
          <w:rFonts w:ascii="Times New Roman" w:hAnsi="Times New Roman" w:eastAsia="宋体"/>
          <w:sz w:val="21"/>
          <w:szCs w:val="21"/>
        </w:rPr>
        <w:t>-</w:t>
      </w:r>
      <w:r>
        <w:rPr>
          <w:rFonts w:hint="eastAsia" w:ascii="Times New Roman" w:hAnsi="Times New Roman" w:eastAsia="宋体"/>
          <w:sz w:val="21"/>
          <w:szCs w:val="21"/>
        </w:rPr>
        <w:t>2018</w:t>
      </w:r>
      <w:r>
        <w:rPr>
          <w:rFonts w:ascii="Times New Roman" w:hAnsi="Times New Roman" w:eastAsia="宋体"/>
          <w:sz w:val="21"/>
          <w:szCs w:val="21"/>
        </w:rPr>
        <w:t>）、《浙江省公路工程概算预算编制补充规定的通知》（浙交（20</w:t>
      </w:r>
      <w:r>
        <w:rPr>
          <w:rFonts w:hint="eastAsia" w:ascii="Times New Roman" w:hAnsi="Times New Roman" w:eastAsia="宋体"/>
          <w:sz w:val="21"/>
          <w:szCs w:val="21"/>
        </w:rPr>
        <w:t>19</w:t>
      </w:r>
      <w:r>
        <w:rPr>
          <w:rFonts w:ascii="Times New Roman" w:hAnsi="Times New Roman" w:eastAsia="宋体"/>
          <w:sz w:val="21"/>
          <w:szCs w:val="21"/>
        </w:rPr>
        <w:t>）</w:t>
      </w:r>
      <w:r>
        <w:rPr>
          <w:rFonts w:hint="eastAsia" w:ascii="Times New Roman" w:hAnsi="Times New Roman" w:eastAsia="宋体"/>
          <w:sz w:val="21"/>
          <w:szCs w:val="21"/>
        </w:rPr>
        <w:t>116</w:t>
      </w:r>
      <w:r>
        <w:rPr>
          <w:rFonts w:ascii="Times New Roman" w:hAnsi="Times New Roman" w:eastAsia="宋体"/>
          <w:sz w:val="21"/>
          <w:szCs w:val="21"/>
        </w:rPr>
        <w:t>号）</w:t>
      </w:r>
    </w:p>
    <w:p>
      <w:pPr>
        <w:spacing w:line="360" w:lineRule="exact"/>
        <w:ind w:firstLine="420" w:firstLineChars="200"/>
        <w:rPr>
          <w:rFonts w:ascii="宋体" w:hAnsi="宋体" w:eastAsia="宋体"/>
          <w:sz w:val="21"/>
          <w:szCs w:val="21"/>
        </w:rPr>
      </w:pPr>
      <w:r>
        <w:rPr>
          <w:rFonts w:hint="eastAsia" w:eastAsia="宋体"/>
          <w:sz w:val="21"/>
          <w:szCs w:val="21"/>
          <w:lang w:val="en-US" w:eastAsia="zh-CN"/>
        </w:rPr>
        <w:t>c</w:t>
      </w:r>
      <w:r>
        <w:rPr>
          <w:rFonts w:hint="eastAsia" w:ascii="Times New Roman" w:hAnsi="Times New Roman" w:eastAsia="宋体"/>
          <w:sz w:val="21"/>
          <w:szCs w:val="21"/>
          <w:lang w:val="en-US" w:eastAsia="zh-CN"/>
        </w:rPr>
        <w:t>.</w:t>
      </w:r>
      <w:r>
        <w:rPr>
          <w:rFonts w:eastAsia="宋体"/>
          <w:sz w:val="21"/>
          <w:szCs w:val="21"/>
        </w:rPr>
        <w:t>材料：</w:t>
      </w:r>
      <w:r>
        <w:rPr>
          <w:rFonts w:ascii="宋体" w:hAnsi="宋体" w:eastAsia="宋体"/>
          <w:sz w:val="21"/>
          <w:szCs w:val="21"/>
        </w:rPr>
        <w:t>按本项目合同专用条款16.1款公布的基期价格计入，16.1款无规定基期价格的材料，</w:t>
      </w:r>
      <w:r>
        <w:rPr>
          <w:rFonts w:hint="eastAsia" w:ascii="宋体" w:hAnsi="宋体" w:eastAsia="宋体"/>
          <w:sz w:val="21"/>
          <w:szCs w:val="21"/>
        </w:rPr>
        <w:t>以</w:t>
      </w:r>
      <w:r>
        <w:rPr>
          <w:rFonts w:ascii="宋体" w:hAnsi="宋体" w:eastAsia="宋体"/>
          <w:sz w:val="21"/>
          <w:szCs w:val="21"/>
        </w:rPr>
        <w:t>浙江省交通厅工程造价管理站发布的</w:t>
      </w:r>
      <w:r>
        <w:rPr>
          <w:rFonts w:hint="eastAsia" w:ascii="宋体" w:hAnsi="宋体" w:eastAsia="宋体"/>
          <w:sz w:val="21"/>
          <w:szCs w:val="21"/>
        </w:rPr>
        <w:t>投标截止</w:t>
      </w:r>
      <w:r>
        <w:rPr>
          <w:rFonts w:ascii="宋体" w:hAnsi="宋体" w:eastAsia="宋体"/>
          <w:sz w:val="21"/>
          <w:szCs w:val="21"/>
        </w:rPr>
        <w:t>期前</w:t>
      </w:r>
      <w:r>
        <w:rPr>
          <w:rFonts w:hint="eastAsia" w:ascii="宋体" w:hAnsi="宋体" w:eastAsia="宋体"/>
          <w:sz w:val="21"/>
          <w:szCs w:val="21"/>
        </w:rPr>
        <w:t>1个</w:t>
      </w:r>
      <w:r>
        <w:rPr>
          <w:rFonts w:ascii="宋体" w:hAnsi="宋体" w:eastAsia="宋体"/>
          <w:sz w:val="21"/>
          <w:szCs w:val="21"/>
        </w:rPr>
        <w:t>月《质监与造价》上的信息价计入</w:t>
      </w:r>
      <w:r>
        <w:rPr>
          <w:rFonts w:hint="eastAsia" w:ascii="宋体" w:hAnsi="宋体" w:eastAsia="宋体"/>
          <w:sz w:val="21"/>
          <w:szCs w:val="21"/>
        </w:rPr>
        <w:t>（台州</w:t>
      </w:r>
      <w:r>
        <w:rPr>
          <w:rFonts w:ascii="宋体" w:hAnsi="宋体" w:eastAsia="宋体"/>
          <w:sz w:val="21"/>
          <w:szCs w:val="21"/>
        </w:rPr>
        <w:t>市信息价平均值）；</w:t>
      </w:r>
      <w:r>
        <w:rPr>
          <w:rFonts w:hint="eastAsia" w:ascii="宋体" w:hAnsi="宋体" w:eastAsia="宋体"/>
          <w:sz w:val="21"/>
          <w:szCs w:val="21"/>
        </w:rPr>
        <w:t>《质</w:t>
      </w:r>
      <w:r>
        <w:rPr>
          <w:rFonts w:ascii="宋体" w:hAnsi="宋体" w:eastAsia="宋体"/>
          <w:sz w:val="21"/>
          <w:szCs w:val="21"/>
        </w:rPr>
        <w:t>监与造价》</w:t>
      </w:r>
      <w:r>
        <w:rPr>
          <w:rFonts w:hint="eastAsia" w:ascii="宋体" w:hAnsi="宋体" w:eastAsia="宋体"/>
          <w:sz w:val="21"/>
          <w:szCs w:val="21"/>
        </w:rPr>
        <w:t>中</w:t>
      </w:r>
      <w:r>
        <w:rPr>
          <w:rFonts w:ascii="宋体" w:hAnsi="宋体" w:eastAsia="宋体"/>
          <w:sz w:val="21"/>
          <w:szCs w:val="21"/>
        </w:rPr>
        <w:t>也无信息价的，由监理人、发包人、承包人商定；</w:t>
      </w:r>
    </w:p>
    <w:p>
      <w:pPr>
        <w:wordWrap w:val="0"/>
        <w:adjustRightInd w:val="0"/>
        <w:snapToGrid w:val="0"/>
        <w:spacing w:line="360" w:lineRule="exact"/>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d.</w:t>
      </w:r>
      <w:r>
        <w:rPr>
          <w:rFonts w:ascii="Times New Roman" w:hAnsi="Times New Roman" w:eastAsia="宋体"/>
          <w:sz w:val="21"/>
          <w:szCs w:val="21"/>
        </w:rPr>
        <w:t>无法套用上述定额和取费标准的，依法按水运、市政、水利、铁路、建筑定额和取费标准的顺序进行组价；上述定额有区域性的，优先适用浙江定额与取费标准；</w:t>
      </w:r>
    </w:p>
    <w:p>
      <w:pPr>
        <w:wordWrap w:val="0"/>
        <w:adjustRightInd w:val="0"/>
        <w:snapToGrid w:val="0"/>
        <w:spacing w:line="360" w:lineRule="exact"/>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e.</w:t>
      </w:r>
      <w:r>
        <w:rPr>
          <w:rFonts w:ascii="Times New Roman" w:hAnsi="Times New Roman" w:eastAsia="宋体"/>
          <w:sz w:val="21"/>
          <w:szCs w:val="21"/>
        </w:rPr>
        <w:t>无法套用任何现行定额的，由承包人报监理人审核，并经发包人审批同意后计取；</w:t>
      </w:r>
    </w:p>
    <w:p>
      <w:pPr>
        <w:wordWrap w:val="0"/>
        <w:adjustRightInd w:val="0"/>
        <w:snapToGrid w:val="0"/>
        <w:spacing w:line="360" w:lineRule="exact"/>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f.</w:t>
      </w:r>
      <w:r>
        <w:rPr>
          <w:rFonts w:ascii="Times New Roman" w:hAnsi="Times New Roman" w:eastAsia="宋体"/>
          <w:sz w:val="21"/>
          <w:szCs w:val="21"/>
        </w:rPr>
        <w:t>根据上述原则组价的综合单价，乘以承包人的</w:t>
      </w:r>
      <w:r>
        <w:rPr>
          <w:rFonts w:hint="eastAsia" w:ascii="Times New Roman" w:hAnsi="Times New Roman" w:eastAsia="宋体"/>
          <w:sz w:val="21"/>
          <w:szCs w:val="21"/>
        </w:rPr>
        <w:t>投标</w:t>
      </w:r>
      <w:r>
        <w:rPr>
          <w:rFonts w:ascii="Times New Roman" w:hAnsi="Times New Roman" w:eastAsia="宋体"/>
          <w:sz w:val="21"/>
          <w:szCs w:val="21"/>
        </w:rPr>
        <w:t>价与</w:t>
      </w:r>
      <w:r>
        <w:rPr>
          <w:rFonts w:hint="eastAsia" w:ascii="Times New Roman" w:hAnsi="Times New Roman" w:eastAsia="宋体"/>
          <w:sz w:val="21"/>
          <w:szCs w:val="20"/>
        </w:rPr>
        <w:t>采购</w:t>
      </w:r>
      <w:r>
        <w:rPr>
          <w:rFonts w:ascii="Times New Roman" w:hAnsi="Times New Roman" w:eastAsia="宋体"/>
          <w:sz w:val="21"/>
          <w:szCs w:val="21"/>
        </w:rPr>
        <w:t>时经公布的工程量清单预算价的比例，作为该子目的单价。</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（2）无法套用任何现行定额的，由承包人报监理人审核，并经发包人审批同意后计取。</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2448" w:name="_Toc118378106"/>
      <w:bookmarkEnd w:id="2448"/>
      <w:bookmarkStart w:id="2449" w:name="_Toc23709"/>
      <w:bookmarkEnd w:id="2449"/>
      <w:bookmarkStart w:id="2450" w:name="_Toc12397"/>
      <w:r>
        <w:rPr>
          <w:rFonts w:hint="eastAsia" w:ascii="宋体" w:hAnsi="宋体" w:eastAsia="宋体" w:cs="宋体"/>
          <w:color w:val="auto"/>
          <w:kern w:val="2"/>
          <w:sz w:val="21"/>
          <w:szCs w:val="21"/>
          <w:highlight w:val="none"/>
          <w:lang w:val="en-US" w:eastAsia="zh-CN" w:bidi="ar"/>
        </w:rPr>
        <w:t>16．价格调整</w:t>
      </w:r>
      <w:bookmarkEnd w:id="2450"/>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451" w:name="_Toc282787594"/>
      <w:bookmarkEnd w:id="2451"/>
      <w:r>
        <w:rPr>
          <w:rFonts w:hint="eastAsia" w:ascii="宋体" w:hAnsi="宋体" w:eastAsia="宋体" w:cs="宋体"/>
          <w:color w:val="auto"/>
          <w:kern w:val="2"/>
          <w:sz w:val="21"/>
          <w:szCs w:val="21"/>
          <w:highlight w:val="none"/>
          <w:lang w:val="en-US" w:eastAsia="zh-CN" w:bidi="ar"/>
        </w:rPr>
        <w:t>16.1  物价波动引起的价格调整</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本项目物价波动引起的价格不调整。</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2452" w:name="_Toc288491660"/>
      <w:bookmarkEnd w:id="2452"/>
      <w:bookmarkStart w:id="2453" w:name="_Toc283794332"/>
      <w:bookmarkEnd w:id="2453"/>
      <w:bookmarkStart w:id="2454" w:name="_Toc27483"/>
      <w:bookmarkEnd w:id="2454"/>
      <w:bookmarkStart w:id="2455" w:name="_Toc8296"/>
      <w:bookmarkEnd w:id="2455"/>
      <w:bookmarkStart w:id="2456" w:name="_Toc22075"/>
      <w:bookmarkEnd w:id="2456"/>
      <w:bookmarkStart w:id="2457" w:name="_Toc240883737"/>
      <w:bookmarkEnd w:id="2457"/>
      <w:bookmarkStart w:id="2458" w:name="_Toc118378107"/>
      <w:bookmarkEnd w:id="2458"/>
      <w:bookmarkStart w:id="2459" w:name="_Toc2002"/>
      <w:bookmarkEnd w:id="2459"/>
      <w:bookmarkStart w:id="2460" w:name="_Toc2726"/>
      <w:bookmarkEnd w:id="2460"/>
      <w:bookmarkStart w:id="2461" w:name="_Toc23949"/>
      <w:bookmarkEnd w:id="2461"/>
      <w:bookmarkStart w:id="2462" w:name="_Toc282779135"/>
      <w:bookmarkEnd w:id="2462"/>
      <w:bookmarkStart w:id="2463" w:name="_Toc240724142"/>
      <w:bookmarkEnd w:id="2463"/>
      <w:bookmarkStart w:id="2464" w:name="_Toc32204"/>
      <w:bookmarkEnd w:id="2464"/>
      <w:bookmarkStart w:id="2465" w:name="_Toc16674"/>
      <w:bookmarkEnd w:id="2465"/>
      <w:bookmarkStart w:id="2466" w:name="_Toc26089"/>
      <w:bookmarkEnd w:id="2466"/>
      <w:bookmarkStart w:id="2467" w:name="_Toc32111"/>
      <w:bookmarkEnd w:id="2467"/>
      <w:bookmarkStart w:id="2468" w:name="_Toc282779644"/>
      <w:bookmarkEnd w:id="2468"/>
      <w:bookmarkStart w:id="2469" w:name="_Toc282787595"/>
      <w:bookmarkEnd w:id="2469"/>
      <w:bookmarkStart w:id="2470" w:name="_Toc514936637"/>
      <w:bookmarkEnd w:id="2470"/>
      <w:bookmarkStart w:id="2471" w:name="_Toc29462"/>
      <w:bookmarkEnd w:id="2471"/>
      <w:bookmarkStart w:id="2472" w:name="_Toc6214"/>
      <w:bookmarkEnd w:id="2472"/>
      <w:bookmarkStart w:id="2473" w:name="_Toc287853484"/>
      <w:bookmarkEnd w:id="2473"/>
      <w:bookmarkStart w:id="2474" w:name="_Toc14641"/>
      <w:r>
        <w:rPr>
          <w:rFonts w:hint="eastAsia" w:ascii="宋体" w:hAnsi="宋体" w:eastAsia="宋体" w:cs="宋体"/>
          <w:color w:val="auto"/>
          <w:kern w:val="2"/>
          <w:sz w:val="21"/>
          <w:szCs w:val="21"/>
          <w:highlight w:val="none"/>
          <w:lang w:val="en-US" w:eastAsia="zh-CN" w:bidi="ar"/>
        </w:rPr>
        <w:t>17．计量与支付</w:t>
      </w:r>
      <w:bookmarkEnd w:id="2474"/>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475" w:name="_Toc282779645"/>
      <w:bookmarkEnd w:id="2475"/>
      <w:bookmarkStart w:id="2476" w:name="_Toc239488083"/>
      <w:bookmarkEnd w:id="2476"/>
      <w:bookmarkStart w:id="2477" w:name="_Toc282779136"/>
      <w:bookmarkEnd w:id="2477"/>
      <w:bookmarkStart w:id="2478" w:name="_Toc240724143"/>
      <w:bookmarkEnd w:id="2478"/>
      <w:bookmarkStart w:id="2479" w:name="_Toc288491661"/>
      <w:bookmarkEnd w:id="2479"/>
      <w:bookmarkStart w:id="2480" w:name="_Toc240883738"/>
      <w:bookmarkEnd w:id="2480"/>
      <w:bookmarkStart w:id="2481" w:name="_Toc282787596"/>
      <w:bookmarkEnd w:id="2481"/>
      <w:bookmarkStart w:id="2482" w:name="_Toc287853485"/>
      <w:bookmarkEnd w:id="2482"/>
      <w:bookmarkStart w:id="2483" w:name="_Toc283794333"/>
      <w:r>
        <w:rPr>
          <w:rFonts w:hint="eastAsia" w:ascii="宋体" w:hAnsi="宋体" w:eastAsia="宋体" w:cs="宋体"/>
          <w:color w:val="auto"/>
          <w:kern w:val="2"/>
          <w:sz w:val="21"/>
          <w:szCs w:val="21"/>
          <w:highlight w:val="none"/>
          <w:lang w:val="en-US" w:eastAsia="zh-CN" w:bidi="ar"/>
        </w:rPr>
        <w:t>17.2  预付款</w:t>
      </w:r>
      <w:bookmarkEnd w:id="2483"/>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删除本款内容修改为：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（1）开工预付款为签约合同价的40%</w:t>
      </w:r>
      <w:r>
        <w:rPr>
          <w:rFonts w:hint="eastAsia" w:ascii="宋体" w:hAnsi="宋体" w:cs="宋体"/>
          <w:color w:val="auto"/>
          <w:kern w:val="2"/>
          <w:sz w:val="21"/>
          <w:szCs w:val="21"/>
          <w:highlight w:val="none"/>
          <w:lang w:val="en-US" w:eastAsia="zh-CN" w:bidi="ar-SA"/>
        </w:rPr>
        <w:t>（其中签约合同价的1%，作为农民工工资预付款）</w:t>
      </w:r>
      <w:r>
        <w:rPr>
          <w:rFonts w:hint="eastAsia" w:ascii="宋体" w:hAnsi="宋体" w:eastAsia="宋体" w:cs="宋体"/>
          <w:color w:val="auto"/>
          <w:kern w:val="2"/>
          <w:sz w:val="21"/>
          <w:szCs w:val="21"/>
          <w:highlight w:val="none"/>
          <w:lang w:val="en-US" w:eastAsia="zh-CN" w:bidi="ar"/>
        </w:rPr>
        <w:t>，开工预付款在发出进场通知后，承包人已进驻，承包人承诺的关键机械、设备和主要人员已到施工现场，并能保证连续施工，经监理人核实、发包人批准后7个工作日内支付。</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承包人不得将该预付款用于与本工程无关的支出，监理人有权监督承包人对该项费用的使用，如经查实承包人滥用开工预付款，发包人有权立即将该款收回。</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（2）本项目不支付材料、设备预付款。</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bookmarkStart w:id="2484" w:name="_Toc338772129"/>
      <w:bookmarkEnd w:id="2484"/>
      <w:bookmarkStart w:id="2485" w:name="_Toc343590103"/>
      <w:bookmarkEnd w:id="2485"/>
      <w:bookmarkStart w:id="2486" w:name="_Toc329247758"/>
      <w:bookmarkEnd w:id="2486"/>
      <w:bookmarkStart w:id="2487" w:name="_Toc18600"/>
      <w:bookmarkEnd w:id="2487"/>
      <w:bookmarkStart w:id="2488" w:name="_Toc32692"/>
      <w:bookmarkEnd w:id="2488"/>
      <w:bookmarkStart w:id="2489" w:name="_Toc28936"/>
      <w:bookmarkEnd w:id="2489"/>
      <w:bookmarkStart w:id="2490" w:name="_Toc338770510"/>
      <w:r>
        <w:rPr>
          <w:rFonts w:hint="eastAsia" w:ascii="宋体" w:hAnsi="宋体" w:eastAsia="宋体" w:cs="宋体"/>
          <w:color w:val="auto"/>
          <w:kern w:val="2"/>
          <w:sz w:val="21"/>
          <w:szCs w:val="21"/>
          <w:highlight w:val="none"/>
          <w:lang w:val="en-US" w:eastAsia="zh-CN" w:bidi="ar"/>
        </w:rPr>
        <w:t>17.2.2  预付款保函</w:t>
      </w:r>
      <w:bookmarkEnd w:id="2490"/>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本项目无需提交。</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17.2.3预付款扣回与还清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本项目预付款不扣回。</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17.3 工程进度付款</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对17.3.3（2）进度付款证书和支付时间做细化补充：</w:t>
      </w:r>
    </w:p>
    <w:p>
      <w:pPr>
        <w:keepNext w:val="0"/>
        <w:keepLines w:val="0"/>
        <w:numPr>
          <w:ilvl w:val="0"/>
          <w:numId w:val="0"/>
        </w:numPr>
        <w:suppressLineNumbers w:val="0"/>
        <w:spacing w:before="0" w:beforeAutospacing="0" w:after="0" w:afterAutospacing="0" w:line="420" w:lineRule="exact"/>
        <w:ind w:left="0" w:right="0"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每月凭业主、监理工程师的签证付工程款一次，额度为该月实际完成经计量的合格工程量工程款的85%（包括40%的开工预付款）；交工验收达到要求的质量标准等级后付至合格工程量工程款的90%（包括40%的开工预付款）；结算经有资质的审价机构审定后，付至工程结算价的98.5%，</w:t>
      </w:r>
      <w:r>
        <w:rPr>
          <w:rFonts w:hint="eastAsia" w:ascii="宋体" w:hAnsi="宋体" w:eastAsia="宋体" w:cs="宋体"/>
          <w:color w:val="auto"/>
          <w:kern w:val="2"/>
          <w:sz w:val="21"/>
          <w:szCs w:val="21"/>
          <w:highlight w:val="none"/>
          <w:lang w:val="en-US" w:eastAsia="zh-CN" w:bidi="ar-SA"/>
        </w:rPr>
        <w:t>剩余1.5%在一年后无质量问题、无违约行为的情况下15日内付清。（若</w:t>
      </w:r>
      <w:r>
        <w:rPr>
          <w:rFonts w:hint="eastAsia" w:ascii="宋体" w:hAnsi="宋体" w:cs="宋体"/>
          <w:color w:val="auto"/>
          <w:kern w:val="2"/>
          <w:sz w:val="21"/>
          <w:szCs w:val="21"/>
          <w:highlight w:val="none"/>
          <w:lang w:val="en-US" w:eastAsia="zh-CN" w:bidi="ar-SA"/>
        </w:rPr>
        <w:t>余下1.5%若承包人采用银行保函、保险机构保证保险保单和融资担保公司保函等形式向发包人提供与缺陷责任期时间一致的工程保函后（保函或保单的费用由承包人自行承担），可付至工程结算价的100%。</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right="0" w:firstLine="420" w:firstLineChars="200"/>
        <w:jc w:val="left"/>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工程正式开工后发包人按月将工资性工程进度款足额拨付至农民工工资（劳务费）专用账户，工资性工程进度款＝签约合同价×15%÷合同工期（月）。该先行支付的工资性工程进度款项在计量支付款中予以扣回。</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18．交（竣）工验收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本条补充第18.9款：</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491" w:name="_Toc282787598"/>
      <w:bookmarkEnd w:id="2491"/>
      <w:r>
        <w:rPr>
          <w:rFonts w:hint="eastAsia" w:ascii="宋体" w:hAnsi="宋体" w:eastAsia="宋体" w:cs="宋体"/>
          <w:color w:val="auto"/>
          <w:kern w:val="2"/>
          <w:sz w:val="21"/>
          <w:szCs w:val="21"/>
          <w:highlight w:val="none"/>
          <w:lang w:val="en-US" w:eastAsia="zh-CN" w:bidi="ar"/>
        </w:rPr>
        <w:t>18.9  交（竣）工文件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大中修养护工程承包人编制竣工文件，应按交通运输部2004年第3号令《公路工程竣(交)工验收办法》、交公路发【2010】65号《公路工程竣（交）工验收办法实施细则》、浙江省交通运输厅【2002】138号《浙江省公路工程竣工文件编制办法》和浙交【2019】184号《浙江省公路工程竣（交）工验收办法》的相关规定编制，在缺陷责任期内应为竣工验收补充、编制竣工资料，并在签发缺陷责任期终止证书之前提交。承包人还应按交通运输部交财发[2000]207号《交通基本建设项目竣工决算报告编制办法》的规定和要求编制(由其实施的部分)竣工决算一式六套，提交监理人审核，同时应提交全套竣工所需资料的电子文档刻录光盘或其他电子存储介质，费用由承包人承担。</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竣工文件中涉及施工及监理文件的有关表式，承包人应按《浙江省公路建设项目施工统一用表管理系统》（光盘）和浙江省交通运输厅工程质量监督局检测中心规定的统一用表（光盘）选用。光盘由承包人自备。</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2492" w:name="_Toc10058"/>
      <w:bookmarkEnd w:id="2492"/>
      <w:bookmarkStart w:id="2493" w:name="_Toc2418"/>
      <w:bookmarkEnd w:id="2493"/>
      <w:bookmarkStart w:id="2494" w:name="_Toc282779647"/>
      <w:bookmarkEnd w:id="2494"/>
      <w:bookmarkStart w:id="2495" w:name="_Toc26697"/>
      <w:bookmarkEnd w:id="2495"/>
      <w:bookmarkStart w:id="2496" w:name="_Toc282787599"/>
      <w:bookmarkEnd w:id="2496"/>
      <w:bookmarkStart w:id="2497" w:name="_Toc16218"/>
      <w:bookmarkEnd w:id="2497"/>
      <w:bookmarkStart w:id="2498" w:name="_Toc30612"/>
      <w:bookmarkEnd w:id="2498"/>
      <w:bookmarkStart w:id="2499" w:name="_Toc11737"/>
      <w:bookmarkEnd w:id="2499"/>
      <w:bookmarkStart w:id="2500" w:name="_Toc288491663"/>
      <w:bookmarkEnd w:id="2500"/>
      <w:bookmarkStart w:id="2501" w:name="_Toc7231"/>
      <w:bookmarkEnd w:id="2501"/>
      <w:bookmarkStart w:id="2502" w:name="_Toc12259"/>
      <w:bookmarkEnd w:id="2502"/>
      <w:bookmarkStart w:id="2503" w:name="_Toc2607"/>
      <w:bookmarkEnd w:id="2503"/>
      <w:bookmarkStart w:id="2504" w:name="_Toc8569"/>
      <w:bookmarkEnd w:id="2504"/>
      <w:bookmarkStart w:id="2505" w:name="_Toc20842"/>
      <w:bookmarkEnd w:id="2505"/>
      <w:bookmarkStart w:id="2506" w:name="_Toc282779138"/>
      <w:bookmarkEnd w:id="2506"/>
      <w:bookmarkStart w:id="2507" w:name="_Toc118378109"/>
      <w:bookmarkEnd w:id="2507"/>
      <w:bookmarkStart w:id="2508" w:name="_Toc514936639"/>
      <w:bookmarkEnd w:id="2508"/>
      <w:bookmarkStart w:id="2509" w:name="_Toc287853487"/>
      <w:bookmarkEnd w:id="2509"/>
      <w:bookmarkStart w:id="2510" w:name="_Toc18629"/>
      <w:bookmarkEnd w:id="2510"/>
      <w:bookmarkStart w:id="2511" w:name="_Toc9053"/>
      <w:bookmarkEnd w:id="2511"/>
      <w:bookmarkStart w:id="2512" w:name="_Toc283794335"/>
      <w:r>
        <w:rPr>
          <w:rFonts w:hint="eastAsia" w:ascii="宋体" w:hAnsi="宋体" w:eastAsia="宋体" w:cs="宋体"/>
          <w:color w:val="auto"/>
          <w:kern w:val="2"/>
          <w:sz w:val="21"/>
          <w:szCs w:val="21"/>
          <w:highlight w:val="none"/>
          <w:lang w:val="en-US" w:eastAsia="zh-CN" w:bidi="ar"/>
        </w:rPr>
        <w:t>20.  保险</w:t>
      </w:r>
      <w:bookmarkEnd w:id="2512"/>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513" w:name="_Toc398118431"/>
      <w:bookmarkEnd w:id="2513"/>
      <w:bookmarkStart w:id="2514" w:name="_Toc240724145"/>
      <w:bookmarkEnd w:id="2514"/>
      <w:bookmarkStart w:id="2515" w:name="_Toc240883740"/>
      <w:bookmarkEnd w:id="2515"/>
      <w:bookmarkStart w:id="2516" w:name="_Toc238550391"/>
      <w:bookmarkEnd w:id="2516"/>
      <w:bookmarkStart w:id="2517" w:name="_Toc508135455"/>
      <w:bookmarkEnd w:id="2517"/>
      <w:bookmarkStart w:id="2518" w:name="_Toc282787601"/>
      <w:r>
        <w:rPr>
          <w:rFonts w:hint="eastAsia" w:ascii="宋体" w:hAnsi="宋体" w:eastAsia="宋体" w:cs="宋体"/>
          <w:color w:val="auto"/>
          <w:kern w:val="2"/>
          <w:sz w:val="21"/>
          <w:szCs w:val="21"/>
          <w:highlight w:val="none"/>
          <w:lang w:val="en-US" w:eastAsia="zh-CN" w:bidi="ar"/>
        </w:rPr>
        <w:t>20.1 工程保险</w:t>
      </w:r>
      <w:bookmarkEnd w:id="2518"/>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本款约定为：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建筑工程—切险的投保内容：为本合同工程的永久工程、临时工程和设备及已运至施工工地用于永久工程的材料和设备所投的保险。</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保险金额：工程量第100章（不含工程一切险和安全生产责任险的保险费）至第900章的合计金额。</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保险费率：保险费率按3‰估列。</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保险期限：开工日起直至本合同工程签发缺陷责任期终止证书止（即合同工期＋缺陷责任期）</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承包人应以发包人和承包人的共同名义投保建筑工程一切险。保险费由承包人承担并支付，并包含在所报的单价或总额价中，业主不予单独计量支付。</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20.2 人员工伤事故的保险</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lang w:val="en-US" w:eastAsia="zh-CN" w:bidi="ar"/>
        </w:rPr>
      </w:pPr>
      <w:r>
        <w:rPr>
          <w:rFonts w:hint="eastAsia" w:ascii="宋体" w:hAnsi="宋体"/>
          <w:color w:val="auto"/>
          <w:sz w:val="21"/>
          <w:szCs w:val="21"/>
          <w:highlight w:val="none"/>
        </w:rPr>
        <w:t>本条补充</w:t>
      </w:r>
      <w:r>
        <w:rPr>
          <w:rFonts w:hint="eastAsia" w:ascii="宋体" w:hAnsi="宋体" w:eastAsia="宋体" w:cs="宋体"/>
          <w:color w:val="auto"/>
          <w:kern w:val="2"/>
          <w:sz w:val="21"/>
          <w:szCs w:val="21"/>
          <w:highlight w:val="none"/>
          <w:lang w:val="en-US" w:eastAsia="zh-CN" w:bidi="ar"/>
        </w:rPr>
        <w:t xml:space="preserve"> 20.2.1 项：其中农民工工伤保险按 《浙江省人力资源和社会保障厅等六部门转发人力资源社会保障部等六部门关于铁路、公路、水运、水利、能源、机场工程建设项目参加工伤保险工作的通知》（浙人社发〔 2018〕 29 号）规定办理。</w:t>
      </w:r>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20.6  对各项保险的一般要求</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20.6.1  保险凭证</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本项约定为：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承包人向发包人提交各项保险失效的证据和保险单副本的期限：开工后28天内。</w:t>
      </w:r>
    </w:p>
    <w:p>
      <w:pPr>
        <w:keepNext w:val="0"/>
        <w:keepLines w:val="0"/>
        <w:widowControl w:val="0"/>
        <w:suppressLineNumbers w:val="0"/>
        <w:spacing w:before="120" w:beforeLines="50" w:beforeAutospacing="0" w:after="120" w:afterLines="50" w:afterAutospacing="0" w:line="400" w:lineRule="exact"/>
        <w:ind w:left="0" w:right="0"/>
        <w:jc w:val="left"/>
        <w:outlineLvl w:val="2"/>
        <w:rPr>
          <w:rFonts w:hint="eastAsia" w:ascii="宋体" w:hAnsi="宋体" w:eastAsia="宋体" w:cs="宋体"/>
          <w:color w:val="auto"/>
          <w:kern w:val="2"/>
          <w:sz w:val="21"/>
          <w:szCs w:val="21"/>
          <w:highlight w:val="none"/>
        </w:rPr>
      </w:pPr>
      <w:bookmarkStart w:id="2519" w:name="_Toc13214"/>
      <w:bookmarkEnd w:id="2519"/>
      <w:bookmarkStart w:id="2520" w:name="_Toc976"/>
      <w:bookmarkEnd w:id="2520"/>
      <w:bookmarkStart w:id="2521" w:name="_Toc282787602"/>
      <w:bookmarkEnd w:id="2521"/>
      <w:bookmarkStart w:id="2522" w:name="_Toc7942"/>
      <w:bookmarkEnd w:id="2522"/>
      <w:bookmarkStart w:id="2523" w:name="_Toc288491664"/>
      <w:bookmarkEnd w:id="2523"/>
      <w:bookmarkStart w:id="2524" w:name="_Toc118378110"/>
      <w:bookmarkEnd w:id="2524"/>
      <w:bookmarkStart w:id="2525" w:name="_Toc287853488"/>
      <w:bookmarkEnd w:id="2525"/>
      <w:bookmarkStart w:id="2526" w:name="_Toc20863"/>
      <w:bookmarkEnd w:id="2526"/>
      <w:bookmarkStart w:id="2527" w:name="_Toc15526"/>
      <w:bookmarkEnd w:id="2527"/>
      <w:bookmarkStart w:id="2528" w:name="_Toc514936640"/>
      <w:bookmarkEnd w:id="2528"/>
      <w:bookmarkStart w:id="2529" w:name="_Toc283794336"/>
      <w:bookmarkEnd w:id="2529"/>
      <w:bookmarkStart w:id="2530" w:name="_Toc3262"/>
      <w:bookmarkEnd w:id="2530"/>
      <w:bookmarkStart w:id="2531" w:name="_Toc4660"/>
      <w:bookmarkEnd w:id="2531"/>
      <w:bookmarkStart w:id="2532" w:name="_Toc13176"/>
      <w:bookmarkEnd w:id="2532"/>
      <w:bookmarkStart w:id="2533" w:name="_Toc22125"/>
      <w:bookmarkEnd w:id="2533"/>
      <w:bookmarkStart w:id="2534" w:name="_Toc282779648"/>
      <w:bookmarkEnd w:id="2534"/>
      <w:bookmarkStart w:id="2535" w:name="_Toc282779139"/>
      <w:bookmarkEnd w:id="2535"/>
      <w:bookmarkStart w:id="2536" w:name="_Toc32424"/>
      <w:bookmarkEnd w:id="2536"/>
      <w:bookmarkStart w:id="2537" w:name="_Toc6809"/>
      <w:bookmarkEnd w:id="2537"/>
      <w:bookmarkStart w:id="2538" w:name="_Toc13751"/>
      <w:bookmarkEnd w:id="2538"/>
      <w:bookmarkStart w:id="2539" w:name="_Toc15015"/>
      <w:r>
        <w:rPr>
          <w:rFonts w:hint="eastAsia" w:ascii="宋体" w:hAnsi="宋体" w:eastAsia="宋体" w:cs="宋体"/>
          <w:color w:val="auto"/>
          <w:kern w:val="2"/>
          <w:sz w:val="21"/>
          <w:szCs w:val="21"/>
          <w:highlight w:val="none"/>
          <w:lang w:val="en-US" w:eastAsia="zh-CN" w:bidi="ar"/>
        </w:rPr>
        <w:t>22．违约</w:t>
      </w:r>
      <w:bookmarkEnd w:id="2539"/>
    </w:p>
    <w:p>
      <w:pPr>
        <w:keepNext w:val="0"/>
        <w:keepLines w:val="0"/>
        <w:widowControl w:val="0"/>
        <w:suppressLineNumbers w:val="0"/>
        <w:spacing w:before="120" w:beforeLines="50" w:beforeAutospacing="0" w:after="120" w:afterLines="50" w:afterAutospacing="0" w:line="400" w:lineRule="exact"/>
        <w:ind w:left="0" w:right="0"/>
        <w:jc w:val="both"/>
        <w:outlineLvl w:val="3"/>
        <w:rPr>
          <w:rFonts w:hint="eastAsia" w:ascii="宋体" w:hAnsi="宋体" w:eastAsia="宋体" w:cs="宋体"/>
          <w:color w:val="auto"/>
          <w:kern w:val="2"/>
          <w:sz w:val="21"/>
          <w:szCs w:val="21"/>
          <w:highlight w:val="none"/>
        </w:rPr>
      </w:pPr>
      <w:bookmarkStart w:id="2540" w:name="_Toc282787603"/>
      <w:bookmarkEnd w:id="2540"/>
      <w:r>
        <w:rPr>
          <w:rFonts w:hint="eastAsia" w:ascii="宋体" w:hAnsi="宋体" w:eastAsia="宋体" w:cs="宋体"/>
          <w:color w:val="auto"/>
          <w:kern w:val="2"/>
          <w:sz w:val="21"/>
          <w:szCs w:val="21"/>
          <w:highlight w:val="none"/>
          <w:lang w:val="en-US" w:eastAsia="zh-CN" w:bidi="ar"/>
        </w:rPr>
        <w:t>22.1  承包人违约</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bookmarkStart w:id="2541" w:name="_Toc282779140"/>
      <w:bookmarkEnd w:id="2541"/>
      <w:bookmarkStart w:id="2542" w:name="_Toc283794337"/>
      <w:bookmarkEnd w:id="2542"/>
      <w:bookmarkStart w:id="2543" w:name="_Toc282787604"/>
      <w:bookmarkEnd w:id="2543"/>
      <w:bookmarkStart w:id="2544" w:name="_Toc282779649"/>
      <w:bookmarkEnd w:id="2544"/>
      <w:bookmarkStart w:id="2545" w:name="_Toc288491665"/>
      <w:bookmarkEnd w:id="2545"/>
      <w:bookmarkStart w:id="2546" w:name="_Toc287853489"/>
      <w:r>
        <w:rPr>
          <w:rFonts w:hint="eastAsia" w:ascii="宋体" w:hAnsi="宋体" w:eastAsia="宋体" w:cs="宋体"/>
          <w:color w:val="auto"/>
          <w:kern w:val="0"/>
          <w:sz w:val="21"/>
          <w:szCs w:val="21"/>
          <w:highlight w:val="none"/>
          <w:lang w:val="en-US" w:eastAsia="zh-CN" w:bidi="ar"/>
        </w:rPr>
        <w:t>（1）违反“投标人须知”第1.3.3项关于工程质量要求必须达到合格的规定，则课以2％合同价的违约金；</w:t>
      </w:r>
      <w:bookmarkEnd w:id="2546"/>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违反第4.6款关于承包人人员管理的规定，或违反第6条承包人承诺提供施工配备的关键施工设备，则课以1%合同价的违约金；主要人员离开工地必须向监理人请假，并经发包人同意后才能离开。若擅自离开工地，每天课以违约金2000元／人；若每月在工地天数不足20天（特殊情况经发包人同意例外）者，每不足一天课以违约金2000元／人；当承包人因工作安排或其它原因确需调换主要人员时，须事先得到发包人的书面批准，更换的人员资质不得低于原被替换人员的资质，经发包人批准同意更换的，按下述规定课以违约金：项目经理8万元/次，技术负责人5万元/次，其他主要人员3万元/ 次，若未经批准擅自更换的，按下述规定课以违约金：项目经理10万元/次，技术负责人8万元/次，其他主要人员5万元/ 次。</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（3）违反第4.9款关于承包人工程价款应专款专用的规定，课以与移（挪）用资金等额的违约金；</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（4）无视监理人事先的书面警告，一贯或公然忽视履行其合同规定的义务；</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（5）在接到根据第37.3或39.1款关于修复或运走、替换不合格材料、设备的规定发出的通知或指令后的14天内不遵守该通知或指令；</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（6）无正当理由而未能根据第41.1款规定开工；或在第46.1款规定的通知后的14天内，无正当理由未能采取措施加快进行本工程或其它关键部分的施工；</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（7）发生了第4.1款规定的违规分包的情况；</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（8）违反第7.2款关于承包人未经监理人批准，不得对施工图进行修改的规定；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（9）违反第35.1款关于要求承包人的人员和装备必须满足工程进度和质量要求的规定；</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（10）违反第4.1.10（2）目关于维护农民工合法权益，拖欠或克扣农民工工资的。</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若承包人在执行合同中，有本项（4）、（5）、（6）、（7）、（8）、（9）、（10）目等所列情况，在发包人向承包人发出书面通知的14天内未见纠正后，发包人将按每一情况酌情向承包人课以1％合同价的违约金。</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上述违约金将在履约担保中索扣。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bookmarkStart w:id="2547" w:name="_Toc159959797"/>
      <w:bookmarkEnd w:id="2547"/>
      <w:bookmarkStart w:id="2548" w:name="_Toc340057141"/>
      <w:bookmarkEnd w:id="2548"/>
      <w:bookmarkStart w:id="2549" w:name="_Toc11962"/>
      <w:bookmarkEnd w:id="2549"/>
      <w:bookmarkStart w:id="2550" w:name="_Toc15657"/>
      <w:bookmarkEnd w:id="2550"/>
      <w:bookmarkStart w:id="2551" w:name="_Toc159959796"/>
      <w:bookmarkEnd w:id="2551"/>
      <w:bookmarkStart w:id="2552" w:name="_Toc340057138"/>
      <w:bookmarkEnd w:id="2552"/>
      <w:bookmarkStart w:id="2553" w:name="_Toc18730"/>
      <w:bookmarkEnd w:id="2553"/>
      <w:bookmarkStart w:id="2554" w:name="_Toc340057139"/>
      <w:bookmarkEnd w:id="2554"/>
      <w:bookmarkStart w:id="2555" w:name="_Toc3022"/>
      <w:bookmarkEnd w:id="2555"/>
      <w:bookmarkStart w:id="2556" w:name="_Toc159959799"/>
      <w:r>
        <w:rPr>
          <w:rFonts w:hint="eastAsia" w:ascii="宋体" w:hAnsi="宋体" w:eastAsia="宋体" w:cs="宋体"/>
          <w:color w:val="auto"/>
          <w:kern w:val="0"/>
          <w:sz w:val="21"/>
          <w:szCs w:val="21"/>
          <w:highlight w:val="none"/>
          <w:lang w:val="en-US" w:eastAsia="zh-CN" w:bidi="ar"/>
        </w:rPr>
        <w:t>24．争议的解决</w:t>
      </w:r>
      <w:bookmarkEnd w:id="2556"/>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bookmarkStart w:id="2557" w:name="_Toc31932"/>
      <w:bookmarkEnd w:id="2557"/>
      <w:bookmarkStart w:id="2558" w:name="_Toc159959800"/>
      <w:bookmarkEnd w:id="2558"/>
      <w:bookmarkStart w:id="2559" w:name="_Toc29452"/>
      <w:bookmarkEnd w:id="2559"/>
      <w:bookmarkStart w:id="2560" w:name="_Toc340057142"/>
      <w:r>
        <w:rPr>
          <w:rFonts w:hint="eastAsia" w:ascii="宋体" w:hAnsi="宋体" w:eastAsia="宋体" w:cs="宋体"/>
          <w:color w:val="auto"/>
          <w:kern w:val="0"/>
          <w:sz w:val="21"/>
          <w:szCs w:val="21"/>
          <w:highlight w:val="none"/>
          <w:lang w:val="en-US" w:eastAsia="zh-CN" w:bidi="ar"/>
        </w:rPr>
        <w:t>24.1  争议的解决方式</w:t>
      </w:r>
      <w:bookmarkEnd w:id="2560"/>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本款约定：仙居县人民法院诉讼。</w:t>
      </w:r>
    </w:p>
    <w:p>
      <w:pPr>
        <w:rPr>
          <w:rFonts w:hint="eastAsia" w:ascii="宋体" w:hAnsi="宋体" w:eastAsia="宋体" w:cs="宋体"/>
          <w:color w:val="auto"/>
          <w:kern w:val="0"/>
          <w:sz w:val="21"/>
          <w:szCs w:val="21"/>
          <w:highlight w:val="none"/>
        </w:rPr>
        <w:sectPr>
          <w:pgSz w:w="11906" w:h="16838"/>
          <w:pgMar w:top="1588" w:right="1418" w:bottom="1588" w:left="1418" w:header="1021" w:footer="1134" w:gutter="0"/>
          <w:lnNumType w:countBy="0" w:distance="360"/>
          <w:pgNumType w:fmt="decimal"/>
          <w:cols w:space="720" w:num="1"/>
          <w:docGrid w:type="lines" w:linePitch="312" w:charSpace="0"/>
        </w:sectPr>
      </w:pPr>
    </w:p>
    <w:p>
      <w:pPr>
        <w:pStyle w:val="4"/>
        <w:widowControl/>
        <w:spacing w:before="480" w:beforeAutospacing="0" w:line="400" w:lineRule="exact"/>
        <w:jc w:val="center"/>
        <w:rPr>
          <w:rFonts w:hint="eastAsia" w:ascii="宋体" w:hAnsi="宋体" w:eastAsia="宋体" w:cs="宋体"/>
          <w:b w:val="0"/>
          <w:bCs/>
          <w:color w:val="auto"/>
          <w:spacing w:val="-6"/>
          <w:kern w:val="2"/>
          <w:sz w:val="21"/>
          <w:szCs w:val="21"/>
          <w:highlight w:val="none"/>
        </w:rPr>
      </w:pPr>
      <w:bookmarkStart w:id="2561" w:name="_Toc27030"/>
      <w:bookmarkEnd w:id="2561"/>
      <w:bookmarkStart w:id="2562" w:name="_Toc12297"/>
      <w:bookmarkEnd w:id="2562"/>
      <w:bookmarkStart w:id="2563" w:name="_Toc1238"/>
      <w:bookmarkEnd w:id="2563"/>
      <w:bookmarkStart w:id="2564" w:name="_Toc15125"/>
      <w:bookmarkEnd w:id="2564"/>
      <w:bookmarkStart w:id="2565" w:name="_Toc23385"/>
      <w:bookmarkEnd w:id="2565"/>
      <w:bookmarkStart w:id="2566" w:name="_Toc140"/>
      <w:bookmarkEnd w:id="2566"/>
      <w:bookmarkStart w:id="2567" w:name="_Toc17958"/>
      <w:bookmarkEnd w:id="2567"/>
      <w:bookmarkStart w:id="2568" w:name="_Toc14688"/>
      <w:bookmarkEnd w:id="2568"/>
      <w:bookmarkStart w:id="2569" w:name="_Toc12192"/>
      <w:bookmarkEnd w:id="2569"/>
      <w:bookmarkStart w:id="2570" w:name="_Toc13560"/>
      <w:bookmarkEnd w:id="2570"/>
      <w:bookmarkStart w:id="2571" w:name="_Toc32169"/>
      <w:bookmarkEnd w:id="2571"/>
      <w:bookmarkStart w:id="2572" w:name="_Toc15854"/>
      <w:bookmarkEnd w:id="2572"/>
      <w:bookmarkStart w:id="2573" w:name="_Toc118378111"/>
      <w:bookmarkEnd w:id="2573"/>
      <w:bookmarkStart w:id="2574" w:name="_Toc514936641"/>
      <w:bookmarkEnd w:id="2574"/>
      <w:r>
        <w:rPr>
          <w:rFonts w:hint="eastAsia" w:ascii="宋体" w:hAnsi="宋体" w:eastAsia="宋体" w:cs="宋体"/>
          <w:b/>
          <w:bCs w:val="0"/>
          <w:color w:val="auto"/>
          <w:spacing w:val="-6"/>
          <w:kern w:val="2"/>
          <w:sz w:val="28"/>
          <w:szCs w:val="28"/>
          <w:highlight w:val="none"/>
        </w:rPr>
        <w:t>第三节  合同附件格式</w:t>
      </w:r>
    </w:p>
    <w:p>
      <w:pPr>
        <w:keepNext w:val="0"/>
        <w:keepLines w:val="0"/>
        <w:widowControl w:val="0"/>
        <w:suppressLineNumbers w:val="0"/>
        <w:spacing w:before="0" w:beforeAutospacing="0" w:after="0" w:afterAutospacing="0" w:line="420" w:lineRule="exact"/>
        <w:ind w:left="0" w:right="0"/>
        <w:jc w:val="both"/>
        <w:outlineLvl w:val="2"/>
        <w:rPr>
          <w:rFonts w:hint="eastAsia" w:ascii="宋体" w:hAnsi="宋体" w:eastAsia="宋体" w:cs="宋体"/>
          <w:color w:val="auto"/>
          <w:kern w:val="2"/>
          <w:sz w:val="28"/>
          <w:szCs w:val="28"/>
          <w:highlight w:val="none"/>
        </w:rPr>
      </w:pPr>
      <w:bookmarkStart w:id="2575" w:name="_Toc282779141"/>
      <w:bookmarkEnd w:id="2575"/>
      <w:bookmarkStart w:id="2576" w:name="_Toc233423336"/>
      <w:bookmarkEnd w:id="2576"/>
      <w:bookmarkStart w:id="2577" w:name="_Toc15772"/>
      <w:bookmarkEnd w:id="2577"/>
      <w:bookmarkStart w:id="2578" w:name="_Toc233435992"/>
      <w:bookmarkEnd w:id="2578"/>
      <w:bookmarkStart w:id="2579" w:name="_Toc282779650"/>
      <w:bookmarkEnd w:id="2579"/>
      <w:bookmarkStart w:id="2580" w:name="_Toc29980"/>
      <w:bookmarkEnd w:id="2580"/>
      <w:bookmarkStart w:id="2581" w:name="_Toc283794338"/>
      <w:bookmarkEnd w:id="2581"/>
      <w:bookmarkStart w:id="2582" w:name="_Toc183"/>
      <w:bookmarkEnd w:id="2582"/>
      <w:bookmarkStart w:id="2583" w:name="_Toc20337"/>
      <w:bookmarkEnd w:id="2583"/>
      <w:bookmarkStart w:id="2584" w:name="_Toc9554"/>
      <w:bookmarkEnd w:id="2584"/>
      <w:bookmarkStart w:id="2585" w:name="_Toc12834"/>
      <w:bookmarkEnd w:id="2585"/>
      <w:bookmarkStart w:id="2586" w:name="_Toc30558"/>
      <w:bookmarkEnd w:id="2586"/>
      <w:bookmarkStart w:id="2587" w:name="_Toc288491666"/>
      <w:bookmarkEnd w:id="2587"/>
      <w:bookmarkStart w:id="2588" w:name="_Toc5140"/>
      <w:bookmarkEnd w:id="2588"/>
      <w:bookmarkStart w:id="2589" w:name="_Toc13136"/>
      <w:bookmarkEnd w:id="2589"/>
      <w:bookmarkStart w:id="2590" w:name="_Toc118378112"/>
      <w:bookmarkEnd w:id="2590"/>
      <w:bookmarkStart w:id="2591" w:name="_Toc514936642"/>
      <w:bookmarkEnd w:id="2591"/>
      <w:bookmarkStart w:id="2592" w:name="_Toc233214903"/>
      <w:bookmarkEnd w:id="2592"/>
      <w:bookmarkStart w:id="2593" w:name="_Toc233290451"/>
      <w:bookmarkEnd w:id="2593"/>
      <w:bookmarkStart w:id="2594" w:name="_Toc16203"/>
      <w:bookmarkEnd w:id="2594"/>
      <w:bookmarkStart w:id="2595" w:name="_Toc282787605"/>
      <w:bookmarkEnd w:id="2595"/>
      <w:bookmarkStart w:id="2596" w:name="_Toc233429853"/>
      <w:bookmarkEnd w:id="2596"/>
      <w:bookmarkStart w:id="2597" w:name="_Toc287853490"/>
      <w:bookmarkEnd w:id="2597"/>
      <w:bookmarkStart w:id="2598" w:name="_Toc30734"/>
      <w:bookmarkEnd w:id="2598"/>
      <w:bookmarkStart w:id="2599" w:name="_Toc20721"/>
      <w:bookmarkEnd w:id="2599"/>
      <w:bookmarkStart w:id="2600" w:name="_Toc8575"/>
      <w:r>
        <w:rPr>
          <w:rFonts w:hint="eastAsia" w:ascii="宋体" w:hAnsi="宋体" w:eastAsia="宋体" w:cs="宋体"/>
          <w:color w:val="auto"/>
          <w:kern w:val="2"/>
          <w:sz w:val="28"/>
          <w:szCs w:val="28"/>
          <w:highlight w:val="none"/>
          <w:lang w:val="en-US" w:eastAsia="zh-CN" w:bidi="ar"/>
        </w:rPr>
        <w:t>附件一  合同协议书</w:t>
      </w:r>
      <w:bookmarkEnd w:id="2600"/>
    </w:p>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合同协议书</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    （发包人名称）   </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以下简称“发包人”）</w:t>
      </w:r>
      <w:r>
        <w:rPr>
          <w:rFonts w:hint="eastAsia" w:ascii="宋体" w:hAnsi="宋体" w:eastAsia="宋体" w:cs="宋体"/>
          <w:color w:val="auto"/>
          <w:kern w:val="2"/>
          <w:sz w:val="21"/>
          <w:szCs w:val="21"/>
          <w:highlight w:val="none"/>
          <w:lang w:val="en-US" w:eastAsia="zh-CN" w:bidi="ar"/>
        </w:rPr>
        <w:t>为实施</w:t>
      </w:r>
      <w:r>
        <w:rPr>
          <w:rFonts w:hint="eastAsia" w:ascii="宋体" w:hAnsi="宋体" w:eastAsia="宋体" w:cs="宋体"/>
          <w:color w:val="auto"/>
          <w:kern w:val="2"/>
          <w:sz w:val="21"/>
          <w:szCs w:val="21"/>
          <w:highlight w:val="none"/>
          <w:u w:val="single"/>
          <w:lang w:val="en-US" w:eastAsia="zh-CN" w:bidi="ar"/>
        </w:rPr>
        <w:t xml:space="preserve">   （项目名称）  </w:t>
      </w:r>
      <w:r>
        <w:rPr>
          <w:rFonts w:hint="eastAsia" w:ascii="宋体" w:hAnsi="宋体" w:eastAsia="宋体" w:cs="宋体"/>
          <w:color w:val="auto"/>
          <w:kern w:val="2"/>
          <w:sz w:val="21"/>
          <w:szCs w:val="21"/>
          <w:highlight w:val="none"/>
          <w:lang w:val="en-US" w:eastAsia="zh-CN" w:bidi="ar"/>
        </w:rPr>
        <w:t>，已接受</w:t>
      </w:r>
      <w:r>
        <w:rPr>
          <w:rFonts w:hint="eastAsia" w:ascii="宋体" w:hAnsi="宋体" w:eastAsia="宋体" w:cs="宋体"/>
          <w:color w:val="auto"/>
          <w:kern w:val="2"/>
          <w:sz w:val="21"/>
          <w:szCs w:val="21"/>
          <w:highlight w:val="none"/>
          <w:u w:val="single"/>
          <w:lang w:val="en-US" w:eastAsia="zh-CN" w:bidi="ar"/>
        </w:rPr>
        <w:t xml:space="preserve">   （承包人名称）   </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以下简称“承包人”）</w:t>
      </w:r>
      <w:r>
        <w:rPr>
          <w:rFonts w:hint="eastAsia" w:ascii="宋体" w:hAnsi="宋体" w:eastAsia="宋体" w:cs="宋体"/>
          <w:color w:val="auto"/>
          <w:kern w:val="2"/>
          <w:sz w:val="21"/>
          <w:szCs w:val="21"/>
          <w:highlight w:val="none"/>
          <w:lang w:val="en-US" w:eastAsia="zh-CN" w:bidi="ar"/>
        </w:rPr>
        <w:t>对该项目标段养护工程施工的投标。发包人和承包人共同达成如下协议。</w:t>
      </w:r>
    </w:p>
    <w:p>
      <w:pPr>
        <w:pageBreakBefore w:val="0"/>
        <w:widowControl w:val="0"/>
        <w:numPr>
          <w:ilvl w:val="0"/>
          <w:numId w:val="0"/>
        </w:numPr>
        <w:kinsoku/>
        <w:overflowPunct/>
        <w:topLinePunct w:val="0"/>
        <w:autoSpaceDE/>
        <w:autoSpaceDN/>
        <w:bidi w:val="0"/>
        <w:snapToGrid w:val="0"/>
        <w:spacing w:line="360" w:lineRule="exact"/>
        <w:jc w:val="left"/>
        <w:textAlignment w:val="auto"/>
        <w:rPr>
          <w:rFonts w:hint="eastAsia" w:ascii="宋体" w:hAnsi="宋体" w:eastAsia="宋体" w:cs="宋体"/>
          <w:color w:val="auto"/>
          <w:kern w:val="2"/>
          <w:sz w:val="21"/>
          <w:szCs w:val="21"/>
          <w:highlight w:val="none"/>
        </w:rPr>
      </w:pPr>
      <w:bookmarkStart w:id="2601" w:name="_Toc152042548"/>
      <w:bookmarkEnd w:id="2601"/>
      <w:bookmarkStart w:id="2602" w:name="_Toc144974828"/>
      <w:r>
        <w:rPr>
          <w:rFonts w:hint="eastAsia" w:ascii="宋体" w:hAnsi="宋体" w:eastAsia="宋体" w:cs="宋体"/>
          <w:color w:val="auto"/>
          <w:kern w:val="2"/>
          <w:sz w:val="21"/>
          <w:szCs w:val="21"/>
          <w:highlight w:val="none"/>
          <w:lang w:val="en-US" w:eastAsia="zh-CN" w:bidi="ar"/>
        </w:rPr>
        <w:t>本项目</w:t>
      </w:r>
      <w:bookmarkEnd w:id="2602"/>
      <w:r>
        <w:rPr>
          <w:rFonts w:hint="eastAsia"/>
          <w:color w:val="auto"/>
          <w:sz w:val="21"/>
          <w:szCs w:val="21"/>
          <w:highlight w:val="none"/>
          <w:u w:val="none"/>
        </w:rPr>
        <w:t>主要建设内容</w:t>
      </w:r>
      <w:r>
        <w:rPr>
          <w:rFonts w:hint="eastAsia"/>
          <w:color w:val="auto"/>
          <w:sz w:val="21"/>
          <w:szCs w:val="21"/>
          <w:highlight w:val="none"/>
          <w:u w:val="none"/>
          <w:lang w:val="en-US" w:eastAsia="zh-CN"/>
        </w:rPr>
        <w:t>为</w:t>
      </w:r>
      <w:r>
        <w:rPr>
          <w:rFonts w:hint="eastAsia"/>
          <w:color w:val="auto"/>
          <w:sz w:val="21"/>
          <w:szCs w:val="21"/>
          <w:highlight w:val="none"/>
          <w:u w:val="none"/>
        </w:rPr>
        <w:t>：</w:t>
      </w:r>
      <w:r>
        <w:rPr>
          <w:rFonts w:hint="eastAsia" w:ascii="宋体" w:hAnsi="宋体" w:eastAsia="宋体" w:cs="宋体"/>
          <w:color w:val="auto"/>
          <w:kern w:val="2"/>
          <w:sz w:val="21"/>
          <w:szCs w:val="21"/>
          <w:highlight w:val="none"/>
          <w:lang w:val="en-US" w:eastAsia="zh-CN" w:bidi="ar"/>
        </w:rPr>
        <w:t>（1）对路侧排水沟进行改造，排水沟改为 0.4m 双壁波纹管，并对水沟位置采用 C30 砼进行硬化。（2）右幅路侧增设波形护栏，护栏防护等级采用 A 级。（3）右幅进口道标线进行渠化设计。主路左右幅进口道位置施划彩色防滑标线。（4）道路右侧行车道边缘设置机非隔离护栏。（5）对支路口水泥混凝土路面进行修复。（6）对主路沥青路面进行铣刨回铺。（7）对支路位置橡胶减速带位置进行调整.（8）对支路口标线进行恢复。（9）路口增加一套中杆灯，并对路口位置路灯灯头进行更换。（10）对支路口进行改造，支路口中间绿化带 5m 范围进行硬化处理。支路口采用沥青砼进行接坡处理。（11）适当缩小支路口导流岛尺寸，并在导流岛内人行道位置施划彩色防滑标线。清除导流岛内原有绿化（原有红叶石楠移至路侧绿化带内，对路侧绿化带进行补植），并铺设草坪。（12）路口位置增设信号灯（由交警实施）。具体详见采购人提供的工程量清单。</w:t>
      </w:r>
    </w:p>
    <w:p>
      <w:pPr>
        <w:keepNext w:val="0"/>
        <w:keepLines w:val="0"/>
        <w:widowControl w:val="0"/>
        <w:numPr>
          <w:ilvl w:val="0"/>
          <w:numId w:val="10"/>
        </w:numPr>
        <w:suppressLineNumbers w:val="0"/>
        <w:spacing w:before="0" w:beforeAutospacing="0" w:after="0" w:afterAutospacing="0" w:line="420" w:lineRule="exact"/>
        <w:ind w:left="0" w:right="0" w:firstLine="718" w:firstLineChars="34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下列文件应视为构成合同文件的组成部分：</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bookmarkStart w:id="2603" w:name="_Toc144974829"/>
      <w:bookmarkEnd w:id="2603"/>
      <w:bookmarkStart w:id="2604" w:name="_Toc152042549"/>
      <w:bookmarkEnd w:id="2604"/>
      <w:r>
        <w:rPr>
          <w:rFonts w:hint="eastAsia" w:ascii="宋体" w:hAnsi="宋体" w:eastAsia="宋体" w:cs="宋体"/>
          <w:color w:val="auto"/>
          <w:kern w:val="2"/>
          <w:sz w:val="21"/>
          <w:szCs w:val="21"/>
          <w:highlight w:val="none"/>
          <w:lang w:val="en-US" w:eastAsia="zh-CN" w:bidi="ar"/>
        </w:rPr>
        <w:t>（1）本协议书及各种合同附件（含评标期间和合同谈判过程中的澄清文件和补充资料）；</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（2）中标通知书；</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（3）投标函及投标函附录；</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（4）项目专用合同条款；</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（5）通用合同条款；</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（6）技术规范；</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（7）图纸；</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（8）已标价工程量清单；</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（9）承包人有关人员、设备投入的承诺及投标文件中的养护工程作业方案；</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（10）其它合同文件。</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3．上述文件互相补充和解释，如有不明确或不一致之处，以合同约定次序在先者为准。</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4．根据工程量清单所列的预计数量和单价总额价计算的签约合同价：人民币（大写）</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5．承包人项目经理：</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；项目技术负责人：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；安全负责人：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6．本合同养护工程质量符合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标准。</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7．为本合同养护工程实施和完成的报酬，发包人承诺按合同已标价工程量清单子目单价及实际数量，以计价规范作为工程计量支付依据的约定条件向承包人支付工程价款。</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8．承包人承诺按合同约定承担本养护工程的实施、完成及缺陷修复。</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9．承包人按照监理人指示进驻，承包期为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10．本协议书在承包人提供履约担保后，由双方法定代表人或其委托代理人签署并加盖单位章后生效。全部养护工程完工后经交工验收合格、缺陷责任期满发缺陷责任终止证书后失效。</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11．本协议书正本二份、副本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份，合同双方各执正本一份，副本</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份，当正本与副本的内容不一致时，以正本为准。</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12．合同未尽事宜，双方另行签订补充协议。补充协议是合同的组成部分。</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（盖单位章）   承包人：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（盖单位章）</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法定代表人或其委托代理人：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（签字）  法定代表人或其委托代理人：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（签字）</w:t>
      </w:r>
    </w:p>
    <w:p>
      <w:pPr>
        <w:keepNext w:val="0"/>
        <w:keepLines w:val="0"/>
        <w:widowControl w:val="0"/>
        <w:suppressLineNumbers w:val="0"/>
        <w:spacing w:before="0" w:beforeAutospacing="0" w:after="0" w:afterAutospacing="0" w:line="440" w:lineRule="exact"/>
        <w:ind w:left="0" w:right="0" w:firstLine="735" w:firstLineChars="3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月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日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月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pPr>
        <w:keepNext w:val="0"/>
        <w:keepLines w:val="0"/>
        <w:widowControl w:val="0"/>
        <w:suppressLineNumbers w:val="0"/>
        <w:spacing w:before="0" w:beforeAutospacing="0" w:after="0" w:afterAutospacing="0" w:line="440" w:lineRule="exact"/>
        <w:ind w:left="0" w:right="0" w:firstLine="735" w:firstLineChars="3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735" w:firstLineChars="3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735" w:firstLineChars="3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735" w:firstLineChars="3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735" w:firstLineChars="3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20" w:lineRule="exact"/>
        <w:ind w:left="0" w:right="0"/>
        <w:jc w:val="both"/>
        <w:outlineLvl w:val="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br w:type="page"/>
      </w:r>
      <w:bookmarkStart w:id="2605" w:name="_Toc287853492"/>
      <w:bookmarkEnd w:id="2605"/>
      <w:bookmarkStart w:id="2606" w:name="_Toc233435993"/>
      <w:bookmarkEnd w:id="2606"/>
      <w:bookmarkStart w:id="2607" w:name="_Toc30119"/>
      <w:bookmarkEnd w:id="2607"/>
      <w:bookmarkStart w:id="2608" w:name="_Toc5675"/>
      <w:bookmarkEnd w:id="2608"/>
      <w:bookmarkStart w:id="2609" w:name="_Toc179632787"/>
      <w:bookmarkEnd w:id="2609"/>
      <w:bookmarkStart w:id="2610" w:name="_Toc233423337"/>
      <w:bookmarkEnd w:id="2610"/>
      <w:bookmarkStart w:id="2611" w:name="_Toc5715"/>
      <w:bookmarkEnd w:id="2611"/>
      <w:bookmarkStart w:id="2612" w:name="_Toc144974831"/>
      <w:bookmarkEnd w:id="2612"/>
      <w:bookmarkStart w:id="2613" w:name="_Toc514936643"/>
      <w:bookmarkEnd w:id="2613"/>
      <w:bookmarkStart w:id="2614" w:name="_Toc233429854"/>
      <w:bookmarkEnd w:id="2614"/>
      <w:bookmarkStart w:id="2615" w:name="_Toc233290452"/>
      <w:bookmarkEnd w:id="2615"/>
      <w:bookmarkStart w:id="2616" w:name="_Toc118378113"/>
      <w:bookmarkEnd w:id="2616"/>
      <w:bookmarkStart w:id="2617" w:name="_Toc288491668"/>
      <w:bookmarkEnd w:id="2617"/>
      <w:bookmarkStart w:id="2618" w:name="_Toc282779143"/>
      <w:bookmarkEnd w:id="2618"/>
      <w:bookmarkStart w:id="2619" w:name="_Toc29877"/>
      <w:bookmarkEnd w:id="2619"/>
      <w:bookmarkStart w:id="2620" w:name="_Toc282787607"/>
      <w:bookmarkEnd w:id="2620"/>
      <w:bookmarkStart w:id="2621" w:name="_Toc7522"/>
      <w:bookmarkEnd w:id="2621"/>
      <w:bookmarkStart w:id="2622" w:name="_Toc7136"/>
      <w:bookmarkEnd w:id="2622"/>
      <w:bookmarkStart w:id="2623" w:name="_Toc24070"/>
      <w:bookmarkEnd w:id="2623"/>
      <w:bookmarkStart w:id="2624" w:name="_Toc15034"/>
      <w:bookmarkEnd w:id="2624"/>
      <w:bookmarkStart w:id="2625" w:name="_Toc21133"/>
      <w:bookmarkEnd w:id="2625"/>
      <w:bookmarkStart w:id="2626" w:name="_Toc152042551"/>
      <w:bookmarkEnd w:id="2626"/>
      <w:bookmarkStart w:id="2627" w:name="_Toc4951"/>
      <w:bookmarkEnd w:id="2627"/>
      <w:bookmarkStart w:id="2628" w:name="_Toc283794340"/>
      <w:bookmarkEnd w:id="2628"/>
      <w:bookmarkStart w:id="2629" w:name="_Toc21868"/>
      <w:bookmarkEnd w:id="2629"/>
      <w:bookmarkStart w:id="2630" w:name="_Toc112"/>
      <w:bookmarkEnd w:id="2630"/>
      <w:bookmarkStart w:id="2631" w:name="_Toc12623"/>
      <w:bookmarkEnd w:id="2631"/>
      <w:bookmarkStart w:id="2632" w:name="_Toc282779652"/>
      <w:bookmarkEnd w:id="2632"/>
      <w:bookmarkStart w:id="2633" w:name="_Toc233214904"/>
      <w:bookmarkEnd w:id="2633"/>
      <w:bookmarkStart w:id="2634" w:name="_Toc152045769"/>
      <w:r>
        <w:rPr>
          <w:rFonts w:hint="eastAsia" w:ascii="宋体" w:hAnsi="宋体" w:eastAsia="宋体" w:cs="宋体"/>
          <w:color w:val="auto"/>
          <w:kern w:val="2"/>
          <w:sz w:val="28"/>
          <w:szCs w:val="28"/>
          <w:highlight w:val="none"/>
          <w:lang w:val="en-US" w:eastAsia="zh-CN" w:bidi="ar"/>
        </w:rPr>
        <w:t>附件二  廉政合同</w:t>
      </w:r>
      <w:bookmarkEnd w:id="2634"/>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廉 政 合 同</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（项目名称）的项目法人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（项目法人名称，</w:t>
      </w:r>
      <w:r>
        <w:rPr>
          <w:rFonts w:hint="eastAsia" w:ascii="宋体" w:hAnsi="宋体" w:eastAsia="宋体" w:cs="宋体"/>
          <w:color w:val="auto"/>
          <w:kern w:val="0"/>
          <w:sz w:val="21"/>
          <w:szCs w:val="21"/>
          <w:highlight w:val="none"/>
          <w:lang w:val="en-US" w:eastAsia="zh-CN" w:bidi="ar"/>
        </w:rPr>
        <w:t>以下简称“发包人”）</w:t>
      </w:r>
      <w:r>
        <w:rPr>
          <w:rFonts w:hint="eastAsia" w:ascii="宋体" w:hAnsi="宋体" w:eastAsia="宋体" w:cs="宋体"/>
          <w:color w:val="auto"/>
          <w:kern w:val="2"/>
          <w:sz w:val="21"/>
          <w:szCs w:val="21"/>
          <w:highlight w:val="none"/>
          <w:lang w:val="en-US" w:eastAsia="zh-CN" w:bidi="ar"/>
        </w:rPr>
        <w:t>与该项目的公路养护施工单位</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（施工单位名称，</w:t>
      </w:r>
      <w:r>
        <w:rPr>
          <w:rFonts w:hint="eastAsia" w:ascii="宋体" w:hAnsi="宋体" w:eastAsia="宋体" w:cs="宋体"/>
          <w:color w:val="auto"/>
          <w:kern w:val="0"/>
          <w:sz w:val="21"/>
          <w:szCs w:val="21"/>
          <w:highlight w:val="none"/>
          <w:lang w:val="en-US" w:eastAsia="zh-CN" w:bidi="ar"/>
        </w:rPr>
        <w:t>以下简称“承包人”）</w:t>
      </w:r>
      <w:r>
        <w:rPr>
          <w:rFonts w:hint="eastAsia" w:ascii="宋体" w:hAnsi="宋体" w:eastAsia="宋体" w:cs="宋体"/>
          <w:color w:val="auto"/>
          <w:kern w:val="2"/>
          <w:sz w:val="21"/>
          <w:szCs w:val="21"/>
          <w:highlight w:val="none"/>
          <w:lang w:val="en-US" w:eastAsia="zh-CN" w:bidi="ar"/>
        </w:rPr>
        <w:t>，特订立如下合同。</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1．发包人和承包人双方的权利和义务</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（1）严格遵守党的政策规定和国家有关法律及交通运输部和浙江省交通运输厅的有关规定。</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（2）严格执行</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（项目名称）合同文件，自觉按合同办事。</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（3）双方的业务活动坚持公开、公正、诚信、透明的原则（法律认定的商业秘密和合同文件另有规定除外），不得损害国家和集体利益，不得违反工程建设管理规章制度。</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（4）建立健全廉政制度，开展廉政教育，设立廉政告示牌，公布举报电话，监督并认真查处违法违纪行为。</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（5）发现对方在业务活动中有违反廉政规定的行为，有及时提醒对方纠正的权利和义务。</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（6）发现对方严重违反本合同义务条款的行为，有向其上级有关部门举报、建议给予处理并要求告知处理结果的权利。</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2．发包人的义务</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（1）发包人及其工作人员不得索要或接受承包人的礼金，有价证券和贵重物品，不得让承包人报销任何应由发包人或发包人工作人员个人支付的费用等。</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（2）发包人工作人员不得参加承包人安排的超标准宴请和娱乐活动；不得接受承包人提供的通讯工具、交通工具和高档办公用品等。</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（3）发包人及其工作人员不得要求或者接受承包人为其住房装修、婚丧嫁娶活动、配偶子女的工作安排以及出国出境、旅游等提供方便等。</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（4）发包人工作人员及其配偶、子女不得从事与发包人工程有关的材料设备供应、工程分包、劳务等经济活动等。</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（5）发包人及其工作人员不得以任何理由向承包人推荐分包单位或推销材料，不得要求承包人购买合同规定外的材料和设备。</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（6）发包人工作人员要秉公办事，不准营私舞弊，不准利用职权从事各种个人有偿中介活动和安排个人施工队伍。</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3．承包人义务</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（1）承包人不得以任何理由向发包人及其工作人员行贿或馈赠礼金、有价证券、贵重礼品。</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（2）承包人不得以任何名义为发包人及其工作人员报销由发包人单位或个人支付的任何费用。</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（3）承包人不得以任何理由安排发包人工作人员参加超标准宴请及娱乐活动。</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（4）承包人不得为发包人单位和个人购置或提供通讯工具、交通工具和高档办公用品等。</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4．违约责任</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（1）发包人及其工作人员违反本合同第1、2条，按管理权限，依据有关规定给予党纪、政纪或组织处理；涉嫌犯罪的，移交司法机关追究刑事责任；给承包人单位造成经济损失的，应予以赔偿。</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承包人及其工作人员违反本合同第1、3条，按管理权限，依据有关规定，给予党纪、政纪或组织处理；给发包人单位造成经济损失的，应予以赔偿;情节严重的，发包人建议交通工程建设主管部门给予承包人一至三年内不得进入其主管的交通工程建设市场的处罚。</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双方约定：本合同由双方上级单位的纪检监察机关负责监督执行。由发包人或发包人上级单位的纪检监察机关约请承包人或承包人上级单位纪检监察机关对本合同履行情况进行检查；提出在本合同规定范围内的裁定意见。</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6．本合同有效期为发包人和承包人签署之日起至该工程项目竣工验收后止。</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7．本合同作为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（项目名称）施工合同的附件，与工程施工合同具有同等的法律效力，经合同双方签署立即生效。</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8．本合同一式四份，由发包人和承包人各执一份，送交发包人和承包人的监督单位各一份。</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（盖单位章）   承包人：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（盖单位章）</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                             法定代表人</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或其委托代理人：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（签字）            或其委托代理人：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（签字）</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月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日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月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发包人监督单位：</w:t>
      </w:r>
      <w:r>
        <w:rPr>
          <w:rFonts w:hint="eastAsia" w:ascii="宋体" w:hAnsi="宋体" w:eastAsia="宋体" w:cs="宋体"/>
          <w:color w:val="auto"/>
          <w:kern w:val="2"/>
          <w:sz w:val="21"/>
          <w:szCs w:val="21"/>
          <w:highlight w:val="none"/>
          <w:u w:val="single"/>
          <w:lang w:val="en-US" w:eastAsia="zh-CN" w:bidi="ar"/>
        </w:rPr>
        <w:t>（全称）（盖单位章）</w:t>
      </w:r>
      <w:r>
        <w:rPr>
          <w:rFonts w:hint="eastAsia" w:ascii="宋体" w:hAnsi="宋体" w:eastAsia="宋体" w:cs="宋体"/>
          <w:color w:val="auto"/>
          <w:kern w:val="2"/>
          <w:sz w:val="21"/>
          <w:szCs w:val="21"/>
          <w:highlight w:val="none"/>
          <w:lang w:val="en-US" w:eastAsia="zh-CN" w:bidi="ar"/>
        </w:rPr>
        <w:t xml:space="preserve">     承包人监督单位：</w:t>
      </w:r>
      <w:r>
        <w:rPr>
          <w:rFonts w:hint="eastAsia" w:ascii="宋体" w:hAnsi="宋体" w:eastAsia="宋体" w:cs="宋体"/>
          <w:color w:val="auto"/>
          <w:kern w:val="2"/>
          <w:sz w:val="21"/>
          <w:szCs w:val="21"/>
          <w:highlight w:val="none"/>
          <w:u w:val="single"/>
          <w:lang w:val="en-US" w:eastAsia="zh-CN" w:bidi="ar"/>
        </w:rPr>
        <w:t>（全称）（盖单位章）</w:t>
      </w:r>
      <w:bookmarkStart w:id="2635" w:name="_Toc287853493"/>
      <w:bookmarkEnd w:id="2635"/>
      <w:bookmarkStart w:id="2636" w:name="_Toc282787608"/>
      <w:bookmarkEnd w:id="2636"/>
      <w:bookmarkStart w:id="2637" w:name="_Toc282779144"/>
      <w:bookmarkEnd w:id="2637"/>
      <w:bookmarkStart w:id="2638" w:name="_Toc233429855"/>
      <w:bookmarkEnd w:id="2638"/>
      <w:bookmarkStart w:id="2639" w:name="_Toc233290453"/>
      <w:bookmarkEnd w:id="2639"/>
      <w:bookmarkStart w:id="2640" w:name="_Toc288491669"/>
      <w:bookmarkEnd w:id="2640"/>
      <w:bookmarkStart w:id="2641" w:name="_Toc283794341"/>
      <w:bookmarkEnd w:id="2641"/>
      <w:bookmarkStart w:id="2642" w:name="_Toc282779653"/>
      <w:bookmarkEnd w:id="2642"/>
      <w:bookmarkStart w:id="2643" w:name="_Toc233435994"/>
      <w:bookmarkEnd w:id="2643"/>
      <w:bookmarkStart w:id="2644" w:name="_Toc233214905"/>
      <w:bookmarkEnd w:id="2644"/>
      <w:bookmarkStart w:id="2645" w:name="_Toc233423338"/>
      <w:bookmarkEnd w:id="2645"/>
    </w:p>
    <w:p>
      <w:pPr>
        <w:keepNext w:val="0"/>
        <w:keepLines w:val="0"/>
        <w:widowControl w:val="0"/>
        <w:suppressLineNumbers w:val="0"/>
        <w:spacing w:before="0" w:beforeAutospacing="0" w:after="0" w:afterAutospacing="0" w:line="420" w:lineRule="exact"/>
        <w:ind w:left="0" w:right="0"/>
        <w:jc w:val="both"/>
        <w:outlineLvl w:val="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br w:type="page"/>
      </w:r>
      <w:bookmarkStart w:id="2646" w:name="_Toc16299"/>
      <w:bookmarkEnd w:id="2646"/>
      <w:bookmarkStart w:id="2647" w:name="_Toc23867"/>
      <w:bookmarkEnd w:id="2647"/>
      <w:bookmarkStart w:id="2648" w:name="_Toc5618"/>
      <w:bookmarkEnd w:id="2648"/>
      <w:bookmarkStart w:id="2649" w:name="_Toc21158"/>
      <w:bookmarkEnd w:id="2649"/>
      <w:bookmarkStart w:id="2650" w:name="_Toc29236"/>
      <w:bookmarkEnd w:id="2650"/>
      <w:bookmarkStart w:id="2651" w:name="_Toc16114"/>
      <w:bookmarkEnd w:id="2651"/>
      <w:bookmarkStart w:id="2652" w:name="_Toc3138"/>
      <w:bookmarkEnd w:id="2652"/>
      <w:bookmarkStart w:id="2653" w:name="_Toc514936644"/>
      <w:bookmarkEnd w:id="2653"/>
      <w:bookmarkStart w:id="2654" w:name="_Toc118378114"/>
      <w:bookmarkEnd w:id="2654"/>
      <w:bookmarkStart w:id="2655" w:name="_Toc21412"/>
      <w:bookmarkEnd w:id="2655"/>
      <w:bookmarkStart w:id="2656" w:name="_Toc22647"/>
      <w:bookmarkEnd w:id="2656"/>
      <w:bookmarkStart w:id="2657" w:name="_Toc22329"/>
      <w:bookmarkEnd w:id="2657"/>
      <w:bookmarkStart w:id="2658" w:name="_Toc21417"/>
      <w:bookmarkEnd w:id="2658"/>
      <w:bookmarkStart w:id="2659" w:name="_Toc17056"/>
      <w:bookmarkEnd w:id="2659"/>
      <w:bookmarkStart w:id="2660" w:name="_Toc28485"/>
      <w:r>
        <w:rPr>
          <w:rFonts w:hint="eastAsia" w:ascii="宋体" w:hAnsi="宋体" w:eastAsia="宋体" w:cs="宋体"/>
          <w:color w:val="auto"/>
          <w:kern w:val="2"/>
          <w:sz w:val="28"/>
          <w:szCs w:val="28"/>
          <w:highlight w:val="none"/>
          <w:lang w:val="en-US" w:eastAsia="zh-CN" w:bidi="ar"/>
        </w:rPr>
        <w:t>附件三  安全生产合同</w:t>
      </w:r>
      <w:bookmarkEnd w:id="2660"/>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安全生产合同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为在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（项目名称）施工合同的实施过程中创造安全、高效的施工环境，切实搞好本项目的安全</w:t>
      </w:r>
      <w:r>
        <w:rPr>
          <w:rFonts w:hint="eastAsia" w:ascii="宋体" w:hAnsi="宋体" w:eastAsia="宋体" w:cs="宋体"/>
          <w:color w:val="auto"/>
          <w:kern w:val="2"/>
          <w:sz w:val="21"/>
          <w:szCs w:val="21"/>
          <w:highlight w:val="none"/>
          <w:lang w:val="en-US" w:eastAsia="zh-CN" w:bidi="ar"/>
        </w:rPr>
        <w:fldChar w:fldCharType="begin"/>
      </w:r>
      <w:r>
        <w:rPr>
          <w:rFonts w:hint="eastAsia" w:ascii="宋体" w:hAnsi="宋体" w:eastAsia="宋体" w:cs="宋体"/>
          <w:color w:val="auto"/>
          <w:kern w:val="2"/>
          <w:sz w:val="21"/>
          <w:szCs w:val="21"/>
          <w:highlight w:val="none"/>
          <w:lang w:val="en-US" w:eastAsia="zh-CN" w:bidi="ar"/>
        </w:rPr>
        <w:instrText xml:space="preserve"> HYPERLINK "http://lwcool.com/lw/showcls.asp?id=162&amp;parent=0" </w:instrText>
      </w:r>
      <w:r>
        <w:rPr>
          <w:rFonts w:hint="eastAsia" w:ascii="宋体" w:hAnsi="宋体" w:eastAsia="宋体" w:cs="宋体"/>
          <w:color w:val="auto"/>
          <w:kern w:val="2"/>
          <w:sz w:val="21"/>
          <w:szCs w:val="21"/>
          <w:highlight w:val="none"/>
          <w:lang w:val="en-US" w:eastAsia="zh-CN" w:bidi="ar"/>
        </w:rPr>
        <w:fldChar w:fldCharType="separate"/>
      </w:r>
      <w:r>
        <w:rPr>
          <w:rStyle w:val="30"/>
          <w:rFonts w:hint="eastAsia" w:ascii="宋体" w:hAnsi="宋体" w:eastAsia="宋体" w:cs="宋体"/>
          <w:color w:val="auto"/>
          <w:kern w:val="2"/>
          <w:sz w:val="21"/>
          <w:szCs w:val="21"/>
          <w:highlight w:val="none"/>
        </w:rPr>
        <w:t>管理</w:t>
      </w:r>
      <w:r>
        <w:rPr>
          <w:rFonts w:hint="eastAsia" w:ascii="宋体" w:hAnsi="宋体" w:eastAsia="宋体" w:cs="宋体"/>
          <w:color w:val="auto"/>
          <w:kern w:val="2"/>
          <w:sz w:val="21"/>
          <w:szCs w:val="21"/>
          <w:highlight w:val="none"/>
          <w:lang w:val="en-US" w:eastAsia="zh-CN" w:bidi="ar"/>
        </w:rPr>
        <w:fldChar w:fldCharType="end"/>
      </w:r>
      <w:r>
        <w:rPr>
          <w:rFonts w:hint="eastAsia" w:ascii="宋体" w:hAnsi="宋体" w:eastAsia="宋体" w:cs="宋体"/>
          <w:color w:val="auto"/>
          <w:kern w:val="2"/>
          <w:sz w:val="21"/>
          <w:szCs w:val="21"/>
          <w:highlight w:val="none"/>
          <w:lang w:val="en-US" w:eastAsia="zh-CN" w:bidi="ar"/>
        </w:rPr>
        <w:t>工作，本项目发包人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（发包人名称，以下简称“发包人”）与承包人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（承包人名称，以下简称“承包人”）特此签订安全生产合同：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1.发包人职责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（1）严格遵守国家有关安全生产的法律法规，认真执行工程承包合同中的有关安全要求。</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（2）按照“安全第一、预防为主、综合治理”和坚持“管生产必须管安全”的原则进行安全生产管理，做到生产与安全工作同时计划、布置、检查、总结和评比。</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（3）重要的安全设施必须坚持与主体工程“三同时”的原则，即：同时设计、审批，同时施工，同时验收，投入使用。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（4）定期召开安全生产调度会，及时传达中央及地方有关安全生产的精神。</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（5）组织对承包人施工现场安全生产检查，监督承包人及时处理发现的各种安全隐患。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2.承包人职责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（4）承包人在任何时候都应采取各种合理的预防措施，防止其员工发生任何违法、违禁、暴力或妨碍治安的行为。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（7）操作人员上岗，必须按规定穿戴防护用品。施工负责人和安全检查员应随时检查劳动防护用品的穿戴情况，不按规定穿戴防护用品的人员不得上岗。</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（8）所有施工机具设备和高空作业的设备均应定期检查，并有安全员的签字记录，保证其经常处于完好状态；不合格的机具、设备和劳动保护用品严禁使用：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（9）施工中采用新技术、新工艺、新设备、新材料时，必须制定相应的安全技术措施，施工现场必须具有相关的安全标志牌。</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（11）</w:t>
      </w:r>
      <w:r>
        <w:rPr>
          <w:rFonts w:hint="eastAsia" w:ascii="宋体" w:hAnsi="宋体" w:eastAsia="宋体" w:cs="宋体"/>
          <w:color w:val="auto"/>
          <w:kern w:val="2"/>
          <w:sz w:val="21"/>
          <w:szCs w:val="21"/>
          <w:highlight w:val="none"/>
          <w:lang w:val="en-US" w:eastAsia="zh-CN" w:bidi="ar"/>
        </w:rPr>
        <w:t>安全生产费用按照浙交【2021】12号《省交通运输厅关于印发&lt;浙江省交通建设工程安全生产费用管理办法&gt;的通知》的相关规定使用和管理</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3.违约责任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如因发包人或承包人违约造成安全事故，将依法追究责任。</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4.本合同由双方法定代表人或其授权的代理人签署并加盖单位章后生效，全部工程竣工验收后失效。</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5．本合同正本一式二份，副本</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份，合同双方各执正本一份，副本</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份。当正本与副本的内容不一致时，以正本为准。</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（盖单位章）   承包人：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（盖单位章）</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                             法定代表人</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或其委托代理人：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（签字）            或其委托代理人：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（签字）</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日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pPr>
        <w:keepNext w:val="0"/>
        <w:keepLines w:val="0"/>
        <w:widowControl w:val="0"/>
        <w:suppressLineNumbers w:val="0"/>
        <w:spacing w:before="0" w:beforeAutospacing="0" w:after="0" w:afterAutospacing="0" w:line="420" w:lineRule="exact"/>
        <w:ind w:left="0" w:right="0"/>
        <w:jc w:val="both"/>
        <w:outlineLvl w:val="2"/>
        <w:rPr>
          <w:rFonts w:hint="eastAsia" w:ascii="宋体" w:hAnsi="宋体" w:eastAsia="宋体" w:cs="宋体"/>
          <w:color w:val="auto"/>
          <w:kern w:val="2"/>
          <w:sz w:val="21"/>
          <w:szCs w:val="21"/>
          <w:highlight w:val="none"/>
        </w:rPr>
      </w:pPr>
      <w:bookmarkStart w:id="2661" w:name="_Toc233290456"/>
      <w:bookmarkEnd w:id="2661"/>
      <w:bookmarkStart w:id="2662" w:name="_Toc233429858"/>
      <w:bookmarkEnd w:id="2662"/>
      <w:bookmarkStart w:id="2663" w:name="_Toc287853494"/>
      <w:bookmarkEnd w:id="2663"/>
      <w:bookmarkStart w:id="2664" w:name="_Toc233435997"/>
      <w:bookmarkEnd w:id="2664"/>
      <w:bookmarkStart w:id="2665" w:name="_Toc282779654"/>
      <w:bookmarkEnd w:id="2665"/>
      <w:bookmarkStart w:id="2666" w:name="_Toc233214908"/>
      <w:bookmarkEnd w:id="2666"/>
      <w:bookmarkStart w:id="2667" w:name="_Toc233423341"/>
      <w:bookmarkEnd w:id="2667"/>
      <w:bookmarkStart w:id="2668" w:name="_Toc288491670"/>
      <w:bookmarkEnd w:id="2668"/>
      <w:bookmarkStart w:id="2669" w:name="_Toc282787609"/>
      <w:bookmarkEnd w:id="2669"/>
      <w:bookmarkStart w:id="2670" w:name="_Toc283794342"/>
      <w:bookmarkEnd w:id="2670"/>
      <w:bookmarkStart w:id="2671" w:name="_Toc282779145"/>
      <w:r>
        <w:rPr>
          <w:rFonts w:hint="eastAsia" w:ascii="宋体" w:hAnsi="宋体" w:eastAsia="宋体" w:cs="宋体"/>
          <w:color w:val="auto"/>
          <w:kern w:val="2"/>
          <w:sz w:val="21"/>
          <w:szCs w:val="21"/>
          <w:highlight w:val="none"/>
          <w:lang w:val="en-US" w:eastAsia="zh-CN" w:bidi="ar"/>
        </w:rPr>
        <w:br w:type="page"/>
      </w:r>
      <w:bookmarkEnd w:id="2671"/>
      <w:bookmarkStart w:id="2672" w:name="_Toc7361"/>
      <w:bookmarkEnd w:id="2672"/>
      <w:bookmarkStart w:id="2673" w:name="_Toc29135"/>
      <w:bookmarkEnd w:id="2673"/>
      <w:bookmarkStart w:id="2674" w:name="_Toc25575"/>
      <w:bookmarkEnd w:id="2674"/>
      <w:bookmarkStart w:id="2675" w:name="_Toc2691"/>
      <w:bookmarkEnd w:id="2675"/>
      <w:bookmarkStart w:id="2676" w:name="_Toc17180"/>
      <w:bookmarkEnd w:id="2676"/>
      <w:bookmarkStart w:id="2677" w:name="_Toc17522"/>
      <w:bookmarkEnd w:id="2677"/>
      <w:bookmarkStart w:id="2678" w:name="_Toc8166"/>
      <w:bookmarkEnd w:id="2678"/>
      <w:bookmarkStart w:id="2679" w:name="_Toc31473"/>
      <w:bookmarkEnd w:id="2679"/>
      <w:bookmarkStart w:id="2680" w:name="_Toc25955"/>
      <w:bookmarkEnd w:id="2680"/>
      <w:bookmarkStart w:id="2681" w:name="_Toc21198"/>
      <w:bookmarkEnd w:id="2681"/>
      <w:bookmarkStart w:id="2682" w:name="_Toc10658"/>
      <w:bookmarkEnd w:id="2682"/>
      <w:bookmarkStart w:id="2683" w:name="_Toc118378115"/>
      <w:bookmarkEnd w:id="2683"/>
      <w:bookmarkStart w:id="2684" w:name="_Toc4191"/>
      <w:bookmarkEnd w:id="2684"/>
      <w:bookmarkStart w:id="2685" w:name="_Toc514936645"/>
      <w:bookmarkEnd w:id="2685"/>
      <w:bookmarkStart w:id="2686" w:name="_Toc31939"/>
      <w:r>
        <w:rPr>
          <w:rFonts w:hint="eastAsia" w:ascii="宋体" w:hAnsi="宋体" w:eastAsia="宋体" w:cs="宋体"/>
          <w:color w:val="auto"/>
          <w:kern w:val="2"/>
          <w:sz w:val="28"/>
          <w:szCs w:val="28"/>
          <w:highlight w:val="none"/>
          <w:lang w:val="en-US" w:eastAsia="zh-CN" w:bidi="ar"/>
        </w:rPr>
        <w:t>附件四 项目经理委任书</w:t>
      </w:r>
      <w:bookmarkEnd w:id="2686"/>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（承包人全称）</w:t>
      </w:r>
    </w:p>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（合同工程名称）</w:t>
      </w:r>
      <w:r>
        <w:rPr>
          <w:rFonts w:hint="eastAsia" w:ascii="宋体" w:hAnsi="宋体" w:eastAsia="宋体" w:cs="宋体"/>
          <w:color w:val="auto"/>
          <w:kern w:val="2"/>
          <w:sz w:val="21"/>
          <w:szCs w:val="21"/>
          <w:highlight w:val="none"/>
          <w:lang w:val="en-US" w:eastAsia="zh-CN" w:bidi="ar"/>
        </w:rPr>
        <w:t>项目经理委任书</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致：</w:t>
      </w:r>
      <w:r>
        <w:rPr>
          <w:rFonts w:hint="eastAsia" w:ascii="宋体" w:hAnsi="宋体" w:eastAsia="宋体" w:cs="宋体"/>
          <w:color w:val="auto"/>
          <w:kern w:val="2"/>
          <w:sz w:val="21"/>
          <w:szCs w:val="21"/>
          <w:highlight w:val="none"/>
          <w:u w:val="single"/>
          <w:lang w:val="en-US" w:eastAsia="zh-CN" w:bidi="ar"/>
        </w:rPr>
        <w:t>（发包人全称）</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（承包人全称）</w:t>
      </w:r>
      <w:r>
        <w:rPr>
          <w:rFonts w:hint="eastAsia" w:ascii="宋体" w:hAnsi="宋体" w:eastAsia="宋体" w:cs="宋体"/>
          <w:color w:val="auto"/>
          <w:kern w:val="2"/>
          <w:sz w:val="21"/>
          <w:szCs w:val="21"/>
          <w:highlight w:val="none"/>
          <w:lang w:val="en-US" w:eastAsia="zh-CN" w:bidi="ar"/>
        </w:rPr>
        <w:t>法定代表人</w:t>
      </w:r>
      <w:r>
        <w:rPr>
          <w:rFonts w:hint="eastAsia" w:ascii="宋体" w:hAnsi="宋体" w:eastAsia="宋体" w:cs="宋体"/>
          <w:color w:val="auto"/>
          <w:kern w:val="2"/>
          <w:sz w:val="21"/>
          <w:szCs w:val="21"/>
          <w:highlight w:val="none"/>
          <w:u w:val="single"/>
          <w:lang w:val="en-US" w:eastAsia="zh-CN" w:bidi="ar"/>
        </w:rPr>
        <w:t>（职务、姓名）</w:t>
      </w:r>
      <w:r>
        <w:rPr>
          <w:rFonts w:hint="eastAsia" w:ascii="宋体" w:hAnsi="宋体" w:eastAsia="宋体" w:cs="宋体"/>
          <w:color w:val="auto"/>
          <w:kern w:val="2"/>
          <w:sz w:val="21"/>
          <w:szCs w:val="21"/>
          <w:highlight w:val="none"/>
          <w:lang w:val="en-US" w:eastAsia="zh-CN" w:bidi="ar"/>
        </w:rPr>
        <w:t>代表本单位委任</w:t>
      </w:r>
      <w:r>
        <w:rPr>
          <w:rFonts w:hint="eastAsia" w:ascii="宋体" w:hAnsi="宋体" w:eastAsia="宋体" w:cs="宋体"/>
          <w:color w:val="auto"/>
          <w:kern w:val="2"/>
          <w:sz w:val="21"/>
          <w:szCs w:val="21"/>
          <w:highlight w:val="none"/>
          <w:u w:val="single"/>
          <w:lang w:val="en-US" w:eastAsia="zh-CN" w:bidi="ar"/>
        </w:rPr>
        <w:t>（职务、姓名）</w:t>
      </w:r>
      <w:r>
        <w:rPr>
          <w:rFonts w:hint="eastAsia" w:ascii="宋体" w:hAnsi="宋体" w:eastAsia="宋体" w:cs="宋体"/>
          <w:color w:val="auto"/>
          <w:kern w:val="2"/>
          <w:sz w:val="21"/>
          <w:szCs w:val="21"/>
          <w:highlight w:val="none"/>
          <w:lang w:val="en-US" w:eastAsia="zh-CN" w:bidi="ar"/>
        </w:rPr>
        <w:t>为</w:t>
      </w:r>
      <w:r>
        <w:rPr>
          <w:rFonts w:hint="eastAsia" w:ascii="宋体" w:hAnsi="宋体" w:eastAsia="宋体" w:cs="宋体"/>
          <w:color w:val="auto"/>
          <w:kern w:val="2"/>
          <w:sz w:val="21"/>
          <w:szCs w:val="21"/>
          <w:highlight w:val="none"/>
          <w:u w:val="single"/>
          <w:lang w:val="en-US" w:eastAsia="zh-CN" w:bidi="ar"/>
        </w:rPr>
        <w:t>（合同工程名称）</w:t>
      </w:r>
      <w:r>
        <w:rPr>
          <w:rFonts w:hint="eastAsia" w:ascii="宋体" w:hAnsi="宋体" w:eastAsia="宋体" w:cs="宋体"/>
          <w:color w:val="auto"/>
          <w:kern w:val="2"/>
          <w:sz w:val="21"/>
          <w:szCs w:val="21"/>
          <w:highlight w:val="none"/>
          <w:lang w:val="en-US" w:eastAsia="zh-CN" w:bidi="ar"/>
        </w:rPr>
        <w:t>的项目经理。凡本合同执行中的有关技术、工程进度、现场管理、质量检验、结算与支付等方面工作，由</w:t>
      </w:r>
      <w:r>
        <w:rPr>
          <w:rFonts w:hint="eastAsia" w:ascii="宋体" w:hAnsi="宋体" w:eastAsia="宋体" w:cs="宋体"/>
          <w:color w:val="auto"/>
          <w:kern w:val="2"/>
          <w:sz w:val="21"/>
          <w:szCs w:val="21"/>
          <w:highlight w:val="none"/>
          <w:u w:val="single"/>
          <w:lang w:val="en-US" w:eastAsia="zh-CN" w:bidi="ar"/>
        </w:rPr>
        <w:t xml:space="preserve"> （姓名） </w:t>
      </w:r>
      <w:r>
        <w:rPr>
          <w:rFonts w:hint="eastAsia" w:ascii="宋体" w:hAnsi="宋体" w:eastAsia="宋体" w:cs="宋体"/>
          <w:color w:val="auto"/>
          <w:kern w:val="2"/>
          <w:sz w:val="21"/>
          <w:szCs w:val="21"/>
          <w:highlight w:val="none"/>
          <w:lang w:val="en-US" w:eastAsia="zh-CN" w:bidi="ar"/>
        </w:rPr>
        <w:t>代表本单位全面负责。</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20" w:lineRule="exact"/>
        <w:ind w:left="0" w:right="0" w:firstLine="3990" w:firstLineChars="19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（盖单位章）</w:t>
      </w:r>
    </w:p>
    <w:p>
      <w:pPr>
        <w:keepNext w:val="0"/>
        <w:keepLines w:val="0"/>
        <w:widowControl w:val="0"/>
        <w:suppressLineNumbers w:val="0"/>
        <w:spacing w:before="0" w:beforeAutospacing="0" w:after="0" w:afterAutospacing="0" w:line="420" w:lineRule="exact"/>
        <w:ind w:left="0" w:right="0" w:firstLine="4620" w:firstLineChars="2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r>
        <w:rPr>
          <w:rFonts w:hint="eastAsia" w:ascii="宋体" w:hAnsi="宋体" w:eastAsia="宋体" w:cs="宋体"/>
          <w:color w:val="auto"/>
          <w:kern w:val="2"/>
          <w:sz w:val="21"/>
          <w:szCs w:val="21"/>
          <w:highlight w:val="none"/>
          <w:u w:val="single"/>
          <w:lang w:val="en-US" w:eastAsia="zh-CN" w:bidi="ar"/>
        </w:rPr>
        <w:t xml:space="preserve">   （职务）   </w:t>
      </w:r>
    </w:p>
    <w:p>
      <w:pPr>
        <w:keepNext w:val="0"/>
        <w:keepLines w:val="0"/>
        <w:widowControl w:val="0"/>
        <w:suppressLineNumbers w:val="0"/>
        <w:spacing w:before="0" w:beforeAutospacing="0" w:after="0" w:afterAutospacing="0" w:line="420" w:lineRule="exact"/>
        <w:ind w:left="0" w:right="0" w:firstLine="5880" w:firstLineChars="28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 xml:space="preserve">   （姓名）   </w:t>
      </w:r>
    </w:p>
    <w:p>
      <w:pPr>
        <w:keepNext w:val="0"/>
        <w:keepLines w:val="0"/>
        <w:widowControl w:val="0"/>
        <w:suppressLineNumbers w:val="0"/>
        <w:spacing w:before="0" w:beforeAutospacing="0" w:after="0" w:afterAutospacing="0" w:line="420" w:lineRule="exact"/>
        <w:ind w:left="0" w:right="0" w:firstLine="5880" w:firstLineChars="28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 xml:space="preserve">   （签字）   </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20" w:lineRule="exact"/>
        <w:ind w:left="0" w:right="0" w:firstLine="5040" w:firstLineChars="24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抄送：</w:t>
      </w:r>
      <w:r>
        <w:rPr>
          <w:rFonts w:hint="eastAsia" w:ascii="宋体" w:hAnsi="宋体" w:eastAsia="宋体" w:cs="宋体"/>
          <w:color w:val="auto"/>
          <w:kern w:val="2"/>
          <w:sz w:val="21"/>
          <w:szCs w:val="21"/>
          <w:highlight w:val="none"/>
          <w:u w:val="single"/>
          <w:lang w:val="en-US" w:eastAsia="zh-CN" w:bidi="ar"/>
        </w:rPr>
        <w:t xml:space="preserve">  （监理人）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20" w:lineRule="exact"/>
        <w:ind w:left="0" w:right="0"/>
        <w:jc w:val="both"/>
        <w:outlineLvl w:val="2"/>
        <w:rPr>
          <w:rFonts w:hint="eastAsia" w:ascii="宋体" w:hAnsi="宋体" w:eastAsia="宋体" w:cs="宋体"/>
          <w:color w:val="auto"/>
          <w:kern w:val="2"/>
          <w:sz w:val="21"/>
          <w:szCs w:val="21"/>
          <w:highlight w:val="none"/>
        </w:rPr>
      </w:pPr>
      <w:bookmarkStart w:id="2687" w:name="_Toc287853495"/>
      <w:bookmarkEnd w:id="2687"/>
      <w:bookmarkStart w:id="2688" w:name="_Toc282787610"/>
      <w:bookmarkEnd w:id="2688"/>
      <w:bookmarkStart w:id="2689" w:name="_Toc233429859"/>
      <w:bookmarkEnd w:id="2689"/>
      <w:bookmarkStart w:id="2690" w:name="_Toc288491671"/>
      <w:bookmarkEnd w:id="2690"/>
      <w:bookmarkStart w:id="2691" w:name="_Toc233214909"/>
      <w:bookmarkEnd w:id="2691"/>
      <w:bookmarkStart w:id="2692" w:name="_Toc282779146"/>
      <w:bookmarkEnd w:id="2692"/>
      <w:bookmarkStart w:id="2693" w:name="_Toc233290457"/>
      <w:bookmarkEnd w:id="2693"/>
      <w:bookmarkStart w:id="2694" w:name="_Toc282779655"/>
      <w:bookmarkEnd w:id="2694"/>
      <w:bookmarkStart w:id="2695" w:name="_Toc233435998"/>
      <w:bookmarkEnd w:id="2695"/>
      <w:bookmarkStart w:id="2696" w:name="_Toc233423342"/>
      <w:bookmarkEnd w:id="2696"/>
      <w:bookmarkStart w:id="2697" w:name="_Toc283794343"/>
      <w:r>
        <w:rPr>
          <w:rFonts w:hint="eastAsia" w:ascii="宋体" w:hAnsi="宋体" w:eastAsia="宋体" w:cs="宋体"/>
          <w:color w:val="auto"/>
          <w:kern w:val="2"/>
          <w:sz w:val="21"/>
          <w:szCs w:val="21"/>
          <w:highlight w:val="none"/>
          <w:lang w:val="en-US" w:eastAsia="zh-CN" w:bidi="ar"/>
        </w:rPr>
        <w:br w:type="page"/>
      </w:r>
      <w:bookmarkEnd w:id="2697"/>
      <w:bookmarkStart w:id="2698" w:name="_Toc20848"/>
      <w:bookmarkEnd w:id="2698"/>
      <w:bookmarkStart w:id="2699" w:name="_Toc6904"/>
      <w:bookmarkEnd w:id="2699"/>
      <w:bookmarkStart w:id="2700" w:name="_Toc7689"/>
      <w:bookmarkEnd w:id="2700"/>
      <w:bookmarkStart w:id="2701" w:name="_Toc25257"/>
      <w:bookmarkEnd w:id="2701"/>
      <w:bookmarkStart w:id="2702" w:name="_Toc21062"/>
      <w:bookmarkEnd w:id="2702"/>
      <w:bookmarkStart w:id="2703" w:name="_Toc514936646"/>
      <w:bookmarkEnd w:id="2703"/>
      <w:bookmarkStart w:id="2704" w:name="_Toc11809"/>
      <w:bookmarkEnd w:id="2704"/>
      <w:bookmarkStart w:id="2705" w:name="_Toc26848"/>
      <w:bookmarkEnd w:id="2705"/>
      <w:bookmarkStart w:id="2706" w:name="_Toc2270"/>
      <w:bookmarkEnd w:id="2706"/>
      <w:bookmarkStart w:id="2707" w:name="_Toc20639"/>
      <w:bookmarkEnd w:id="2707"/>
      <w:bookmarkStart w:id="2708" w:name="_Toc118378116"/>
      <w:bookmarkEnd w:id="2708"/>
      <w:bookmarkStart w:id="2709" w:name="_Toc8584"/>
      <w:bookmarkEnd w:id="2709"/>
      <w:bookmarkStart w:id="2710" w:name="_Toc1048"/>
      <w:bookmarkEnd w:id="2710"/>
      <w:bookmarkStart w:id="2711" w:name="_Toc20776"/>
      <w:bookmarkEnd w:id="2711"/>
      <w:bookmarkStart w:id="2712" w:name="_Toc11675"/>
      <w:r>
        <w:rPr>
          <w:rFonts w:hint="eastAsia" w:ascii="宋体" w:hAnsi="宋体" w:eastAsia="宋体" w:cs="宋体"/>
          <w:color w:val="auto"/>
          <w:kern w:val="2"/>
          <w:sz w:val="28"/>
          <w:szCs w:val="28"/>
          <w:highlight w:val="none"/>
          <w:lang w:val="en-US" w:eastAsia="zh-CN" w:bidi="ar"/>
        </w:rPr>
        <w:t>附件五  履约担保格式</w:t>
      </w:r>
      <w:bookmarkEnd w:id="2712"/>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履 约 担 保</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（发包人名称）：</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鉴于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（发包人名称，</w:t>
      </w:r>
      <w:r>
        <w:rPr>
          <w:rFonts w:hint="eastAsia" w:ascii="宋体" w:hAnsi="宋体" w:eastAsia="宋体" w:cs="宋体"/>
          <w:color w:val="auto"/>
          <w:kern w:val="0"/>
          <w:sz w:val="21"/>
          <w:szCs w:val="21"/>
          <w:highlight w:val="none"/>
          <w:lang w:val="en-US" w:eastAsia="zh-CN" w:bidi="ar"/>
        </w:rPr>
        <w:t>以下简称“发包人”）</w:t>
      </w:r>
      <w:r>
        <w:rPr>
          <w:rFonts w:hint="eastAsia" w:ascii="宋体" w:hAnsi="宋体" w:eastAsia="宋体" w:cs="宋体"/>
          <w:color w:val="auto"/>
          <w:kern w:val="2"/>
          <w:sz w:val="21"/>
          <w:szCs w:val="21"/>
          <w:highlight w:val="none"/>
          <w:lang w:val="en-US" w:eastAsia="zh-CN" w:bidi="ar"/>
        </w:rPr>
        <w:t xml:space="preserve">接受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（承包人名称）（</w:t>
      </w:r>
      <w:r>
        <w:rPr>
          <w:rFonts w:hint="eastAsia" w:ascii="宋体" w:hAnsi="宋体" w:eastAsia="宋体" w:cs="宋体"/>
          <w:color w:val="auto"/>
          <w:kern w:val="0"/>
          <w:sz w:val="21"/>
          <w:szCs w:val="21"/>
          <w:highlight w:val="none"/>
          <w:lang w:val="en-US" w:eastAsia="zh-CN" w:bidi="ar"/>
        </w:rPr>
        <w:t>以下简称“承包人”）</w:t>
      </w:r>
      <w:r>
        <w:rPr>
          <w:rFonts w:hint="eastAsia" w:ascii="宋体" w:hAnsi="宋体" w:eastAsia="宋体" w:cs="宋体"/>
          <w:color w:val="auto"/>
          <w:kern w:val="2"/>
          <w:sz w:val="21"/>
          <w:szCs w:val="21"/>
          <w:highlight w:val="none"/>
          <w:lang w:val="en-US" w:eastAsia="zh-CN" w:bidi="ar"/>
        </w:rPr>
        <w:t>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日参加</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（项目名称）施工的投标。我方愿意无条件地、不可撤销地就承包人履行与你方订立的合同，向你方提供担保。 </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1．担保金额人民币（大写）</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2．担保有效期自发包人与承包人签订的合同生效之日起至发包人签发工程接收证书之日止。</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3．在本担保有效期内，因承包人违反合同约定的义务给你方造成经济损失时，我方在收到你方以书面形式提出的在担保金额内的赔偿要求后，在7天内无条件支付，无须你方出具证明或陈述理由。</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4．发包人和承包人按合同条款第15条变更合同时，我方承担本担保规定的义务不变。</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20" w:lineRule="exact"/>
        <w:ind w:left="0" w:right="0" w:firstLine="3418" w:firstLineChars="1628"/>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担 保 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（盖单位章）</w:t>
      </w:r>
    </w:p>
    <w:p>
      <w:pPr>
        <w:keepNext w:val="0"/>
        <w:keepLines w:val="0"/>
        <w:widowControl w:val="0"/>
        <w:suppressLineNumbers w:val="0"/>
        <w:spacing w:before="0" w:beforeAutospacing="0" w:after="0" w:afterAutospacing="0" w:line="420" w:lineRule="exact"/>
        <w:ind w:left="0" w:right="0" w:firstLine="3418" w:firstLineChars="1628"/>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法定代表人或其委托代理人：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（签字）</w:t>
      </w:r>
    </w:p>
    <w:p>
      <w:pPr>
        <w:keepNext w:val="0"/>
        <w:keepLines w:val="0"/>
        <w:widowControl w:val="0"/>
        <w:suppressLineNumbers w:val="0"/>
        <w:spacing w:before="0" w:beforeAutospacing="0" w:after="0" w:afterAutospacing="0" w:line="420" w:lineRule="exact"/>
        <w:ind w:left="0" w:right="0" w:firstLine="3418" w:firstLineChars="1628"/>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    址：</w:t>
      </w:r>
      <w:r>
        <w:rPr>
          <w:rFonts w:hint="eastAsia" w:ascii="宋体" w:hAnsi="宋体" w:eastAsia="宋体" w:cs="宋体"/>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420" w:lineRule="exact"/>
        <w:ind w:left="0" w:right="0" w:firstLine="3418" w:firstLineChars="1628"/>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邮政编码：</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420" w:lineRule="exact"/>
        <w:ind w:left="0" w:right="0" w:firstLine="3418" w:firstLineChars="1628"/>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电    话：</w:t>
      </w:r>
      <w:r>
        <w:rPr>
          <w:rFonts w:hint="eastAsia" w:ascii="宋体" w:hAnsi="宋体" w:eastAsia="宋体" w:cs="宋体"/>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420" w:lineRule="exact"/>
        <w:ind w:left="0" w:right="0" w:firstLine="3418" w:firstLineChars="1628"/>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传    真：</w:t>
      </w:r>
      <w:r>
        <w:rPr>
          <w:rFonts w:hint="eastAsia" w:ascii="宋体" w:hAnsi="宋体" w:eastAsia="宋体" w:cs="宋体"/>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20" w:lineRule="exact"/>
        <w:ind w:left="0" w:right="0" w:firstLine="4935" w:firstLineChars="23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wordWrap w:val="0"/>
        <w:spacing w:before="0" w:beforeAutospacing="0" w:after="0" w:afterAutospacing="0" w:line="400" w:lineRule="exact"/>
        <w:ind w:left="0" w:right="0"/>
        <w:jc w:val="both"/>
        <w:outlineLvl w:val="2"/>
        <w:rPr>
          <w:rFonts w:hint="eastAsia" w:ascii="宋体" w:hAnsi="宋体" w:eastAsia="宋体" w:cs="宋体"/>
          <w:color w:val="auto"/>
          <w:kern w:val="2"/>
          <w:sz w:val="21"/>
          <w:szCs w:val="21"/>
          <w:highlight w:val="none"/>
        </w:rPr>
      </w:pPr>
      <w:bookmarkStart w:id="2713" w:name="_Toc508135467"/>
      <w:bookmarkEnd w:id="2713"/>
      <w:r>
        <w:rPr>
          <w:rFonts w:hint="eastAsia" w:ascii="宋体" w:hAnsi="宋体" w:eastAsia="宋体" w:cs="宋体"/>
          <w:color w:val="auto"/>
          <w:kern w:val="2"/>
          <w:sz w:val="21"/>
          <w:szCs w:val="21"/>
          <w:highlight w:val="none"/>
          <w:lang w:val="en-US" w:eastAsia="zh-CN" w:bidi="ar"/>
        </w:rPr>
        <w:br w:type="page"/>
      </w:r>
      <w:bookmarkStart w:id="2714" w:name="_Toc3071"/>
      <w:bookmarkEnd w:id="2714"/>
      <w:bookmarkStart w:id="2715" w:name="_Toc245477463"/>
      <w:bookmarkEnd w:id="2715"/>
      <w:bookmarkStart w:id="2716" w:name="_Toc996"/>
      <w:bookmarkEnd w:id="2716"/>
      <w:bookmarkStart w:id="2717" w:name="_Toc3601"/>
      <w:bookmarkEnd w:id="2717"/>
      <w:bookmarkStart w:id="2718" w:name="_Toc262896019"/>
      <w:bookmarkEnd w:id="2718"/>
      <w:bookmarkStart w:id="2719" w:name="_Toc30332"/>
      <w:bookmarkEnd w:id="2719"/>
      <w:bookmarkStart w:id="2720" w:name="_Toc469484850"/>
      <w:bookmarkEnd w:id="2720"/>
      <w:bookmarkStart w:id="2721" w:name="_Toc644"/>
      <w:bookmarkEnd w:id="2721"/>
      <w:bookmarkStart w:id="2722" w:name="_Toc118378117"/>
      <w:bookmarkEnd w:id="2722"/>
      <w:bookmarkStart w:id="2723" w:name="_Toc25163"/>
      <w:bookmarkEnd w:id="2723"/>
      <w:bookmarkStart w:id="2724" w:name="_Toc24847"/>
      <w:bookmarkEnd w:id="2724"/>
      <w:bookmarkStart w:id="2725" w:name="_Toc1870"/>
      <w:bookmarkEnd w:id="2725"/>
      <w:bookmarkStart w:id="2726" w:name="_Toc31575"/>
      <w:bookmarkEnd w:id="2726"/>
      <w:bookmarkStart w:id="2727" w:name="_Toc15658"/>
      <w:bookmarkEnd w:id="2727"/>
      <w:bookmarkStart w:id="2728" w:name="_Toc15368"/>
      <w:bookmarkEnd w:id="2728"/>
      <w:bookmarkStart w:id="2729" w:name="_Toc17194"/>
      <w:bookmarkEnd w:id="2729"/>
      <w:bookmarkStart w:id="2730" w:name="_Toc514936647"/>
      <w:bookmarkEnd w:id="2730"/>
      <w:bookmarkStart w:id="2731" w:name="_Toc7852"/>
      <w:bookmarkEnd w:id="2731"/>
      <w:bookmarkStart w:id="2732" w:name="_Toc449077600"/>
      <w:bookmarkEnd w:id="2732"/>
      <w:bookmarkStart w:id="2733" w:name="_Toc14218"/>
      <w:bookmarkEnd w:id="2733"/>
      <w:bookmarkStart w:id="2734" w:name="_Toc263889346"/>
      <w:bookmarkEnd w:id="2734"/>
      <w:bookmarkStart w:id="2735" w:name="_Toc29447"/>
      <w:r>
        <w:rPr>
          <w:rFonts w:hint="eastAsia" w:ascii="宋体" w:hAnsi="宋体" w:eastAsia="宋体" w:cs="宋体"/>
          <w:color w:val="auto"/>
          <w:kern w:val="2"/>
          <w:sz w:val="28"/>
          <w:szCs w:val="28"/>
          <w:highlight w:val="none"/>
          <w:lang w:val="en-US" w:eastAsia="zh-CN" w:bidi="ar"/>
        </w:rPr>
        <w:t>附件六  工程质量责任合同</w:t>
      </w:r>
      <w:bookmarkEnd w:id="2735"/>
    </w:p>
    <w:p>
      <w:pPr>
        <w:keepNext w:val="0"/>
        <w:keepLines w:val="0"/>
        <w:widowControl w:val="0"/>
        <w:suppressLineNumbers w:val="0"/>
        <w:wordWrap w:val="0"/>
        <w:spacing w:before="0" w:beforeAutospacing="0" w:after="0" w:afterAutospacing="0" w:line="40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工程质量责任合同</w:t>
      </w:r>
    </w:p>
    <w:p>
      <w:pPr>
        <w:keepNext w:val="0"/>
        <w:keepLines w:val="0"/>
        <w:widowControl w:val="0"/>
        <w:suppressLineNumbers w:val="0"/>
        <w:wordWrap w:val="0"/>
        <w:spacing w:before="0" w:beforeAutospacing="0" w:after="0" w:afterAutospacing="0" w:line="400" w:lineRule="exact"/>
        <w:ind w:left="0" w:right="0" w:firstLine="420" w:firstLineChars="200"/>
        <w:jc w:val="left"/>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根据国务院《建设工程质量管理条例》，为保证在设计使用年限内建设工程质量，</w:t>
      </w:r>
      <w:r>
        <w:rPr>
          <w:rFonts w:hint="eastAsia" w:ascii="宋体" w:hAnsi="宋体" w:eastAsia="宋体" w:cs="宋体"/>
          <w:color w:val="auto"/>
          <w:kern w:val="2"/>
          <w:sz w:val="21"/>
          <w:szCs w:val="21"/>
          <w:highlight w:val="none"/>
          <w:u w:val="single"/>
          <w:lang w:val="en-US" w:eastAsia="zh-CN" w:bidi="ar"/>
        </w:rPr>
        <w:t>（项目名称）</w:t>
      </w:r>
      <w:r>
        <w:rPr>
          <w:rFonts w:hint="eastAsia" w:ascii="宋体" w:hAnsi="宋体" w:eastAsia="宋体" w:cs="宋体"/>
          <w:color w:val="auto"/>
          <w:kern w:val="2"/>
          <w:sz w:val="21"/>
          <w:szCs w:val="21"/>
          <w:highlight w:val="none"/>
          <w:lang w:val="en-US" w:eastAsia="zh-CN" w:bidi="ar"/>
        </w:rPr>
        <w:t>的发包人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（以下称甲方）与承包人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（以下称乙方），特订立如下质量责任合同。</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第一条  本建设工程项目的质量目标为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，承包人对本建设工程的施工质量在设计使用年限内依法终身负责。施工质量责任人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第二条  甲乙双方的权利与义务</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（一）严格遵守国家有关法律法规及交通运输部、浙江省交通运输厅的有关规定。</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（二）严格</w:t>
      </w:r>
      <w:r>
        <w:rPr>
          <w:rFonts w:hint="eastAsia" w:ascii="宋体" w:hAnsi="宋体" w:eastAsia="宋体" w:cs="宋体"/>
          <w:color w:val="auto"/>
          <w:spacing w:val="-2"/>
          <w:kern w:val="2"/>
          <w:sz w:val="21"/>
          <w:szCs w:val="21"/>
          <w:highlight w:val="none"/>
          <w:lang w:val="en-US" w:eastAsia="zh-CN" w:bidi="ar"/>
        </w:rPr>
        <w:t>执行</w:t>
      </w:r>
      <w:r>
        <w:rPr>
          <w:rFonts w:hint="eastAsia" w:ascii="宋体" w:hAnsi="宋体" w:eastAsia="宋体" w:cs="宋体"/>
          <w:color w:val="auto"/>
          <w:spacing w:val="-2"/>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 xml:space="preserve">项目名称） </w:t>
      </w:r>
      <w:r>
        <w:rPr>
          <w:rFonts w:hint="eastAsia" w:ascii="宋体" w:hAnsi="宋体" w:eastAsia="宋体" w:cs="宋体"/>
          <w:color w:val="auto"/>
          <w:kern w:val="2"/>
          <w:sz w:val="21"/>
          <w:szCs w:val="21"/>
          <w:highlight w:val="none"/>
          <w:lang w:val="en-US" w:eastAsia="zh-CN" w:bidi="ar"/>
        </w:rPr>
        <w:t>施工合同文件，自觉按合同办事。</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（三）双方的施工业务活动必须坚持科学、公正、诚信、平等的原则，不得损害国家、集体的利益，不得违反工程建设管理规章制度。</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（四）发现对方在施工业务活动中，有违反有关规定的行为，有及时提醒对方纠正的权利和义务。</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（五）发现对方严重违反施工合同文件的行为，有向其上级有关部门举报，建议给予处理并要求告知处理结果的权利。</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第三条  甲方的义务</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（一）甲方向乙方及时提供有关资料（包括技术规范、工程量清单、施工图等）。</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（二）甲方向乙方及时提供建设用地，及时解决对工程占地范围以内尚未拆迁的建筑物及其他障碍物。</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（三）甲方不得指使乙方不按法律、法规、工程建设强制性标准和施工规范进行工程的施工活动。</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（四）甲方须按施工合同的约定支付工程款，除施工合同的约定外，甲方不得以任何借口克扣工程款或拖延工程款的支付。</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（五）甲方不得明示或暗示向乙方推荐单位或个人承包或分包本工程项目的施工任务。</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（六）甲方不得以任何理由索取回扣或其它好处。</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第四条  乙方的义务</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（一）乙方应具备与本工程项目相应等级的施工资质证书。</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（二）乙方不得允许其它单位或个人以乙方的名义承揽本工程项目的施工任务，不得转包或违法分包所承揽的本工程的项目施工任务。</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（三）乙方必须严格履行施工合同，按投标承诺的施工技术人员及时到位。施工技术人员原则上不得擅自调换，如有特殊原因确需调换的，须经发包人书面同意方能换人。</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乙方必须委托符合相关资质的试验检测单位或建立工地临时试验室，按要求配合相应的试验检测人员和设备，并取得工地临时试验室资质证书。按有关规定做好各类试验，试验资料应真实、完整，统一归档。</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（五）乙方必须按照工程设计图纸和施工技术规范施工，不得擅自修改工程设计，不得偷工减料。</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（六）乙方在施工过程中发现设计文件和图纸有差错的，应当及时提出意见和建议。</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（七）乙方与甲方、承包人或指定分包人之间有关工程质量、进度和费用的一切往来函件、报表均应分类编号归档保存；施工技术资料应真实、完整。</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（八）乙方应加强对甲方按合同规定采购的材料和设备的检验，对检验不合格的产品，乙方应拒绝使用。</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（九）乙方不得暗示材料、设备供应单位提供使用不合格或质量低劣的材料、设备。</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第五条  违约责任</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（一）甲方及其工作人员违反本合同第二、三条，按管理权限，依据国务院《建设工程质量管理条例》有关规定给予相应的处罚；涉嫌犯罪的，依法追究刑事责任；给乙方单位造成经济损失的，应予以赔偿。</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（二）乙方及其工作人员违反本合同第二、四条，按管理权限，依据国务院《建设工程质量管理条例》有关规定给予相应的处罚；涉嫌犯罪的，依法追究刑事责任；给甲方单位造成经济损失的，应予以赔偿。</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4"/>
          <w:kern w:val="2"/>
          <w:sz w:val="21"/>
          <w:szCs w:val="21"/>
          <w:highlight w:val="none"/>
        </w:rPr>
      </w:pPr>
      <w:r>
        <w:rPr>
          <w:rFonts w:hint="eastAsia" w:ascii="宋体" w:hAnsi="宋体" w:eastAsia="宋体" w:cs="宋体"/>
          <w:color w:val="auto"/>
          <w:kern w:val="2"/>
          <w:sz w:val="21"/>
          <w:szCs w:val="21"/>
          <w:highlight w:val="none"/>
          <w:lang w:val="en-US" w:eastAsia="zh-CN" w:bidi="ar"/>
        </w:rPr>
        <w:t>第六条  本</w:t>
      </w:r>
      <w:r>
        <w:rPr>
          <w:rFonts w:hint="eastAsia" w:ascii="宋体" w:hAnsi="宋体" w:eastAsia="宋体" w:cs="宋体"/>
          <w:color w:val="auto"/>
          <w:spacing w:val="-4"/>
          <w:kern w:val="2"/>
          <w:sz w:val="21"/>
          <w:szCs w:val="21"/>
          <w:highlight w:val="none"/>
          <w:lang w:val="en-US" w:eastAsia="zh-CN" w:bidi="ar"/>
        </w:rPr>
        <w:t>合同有效期为甲乙双方自签署之日起至该工程项目设计使用年限之日止。</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第七条  本合同作为</w:t>
      </w:r>
      <w:r>
        <w:rPr>
          <w:rFonts w:hint="eastAsia" w:ascii="宋体" w:hAnsi="宋体" w:eastAsia="宋体" w:cs="宋体"/>
          <w:color w:val="auto"/>
          <w:spacing w:val="-2"/>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项目名称） </w:t>
      </w:r>
      <w:r>
        <w:rPr>
          <w:rFonts w:hint="eastAsia" w:ascii="宋体" w:hAnsi="宋体" w:eastAsia="宋体" w:cs="宋体"/>
          <w:color w:val="auto"/>
          <w:kern w:val="2"/>
          <w:sz w:val="21"/>
          <w:szCs w:val="21"/>
          <w:highlight w:val="none"/>
          <w:lang w:val="en-US" w:eastAsia="zh-CN" w:bidi="ar"/>
        </w:rPr>
        <w:t>施工合同附件，与工程施工合同具有同等的法律效力，经合同双方签署后立即生效。</w:t>
      </w:r>
    </w:p>
    <w:p>
      <w:pPr>
        <w:keepNext w:val="0"/>
        <w:keepLines w:val="0"/>
        <w:widowControl w:val="0"/>
        <w:suppressLineNumbers w:val="0"/>
        <w:wordWrap w:val="0"/>
        <w:spacing w:before="0" w:beforeAutospacing="0" w:after="0" w:afterAutospacing="0" w:line="400" w:lineRule="exact"/>
        <w:ind w:left="0" w:right="0" w:firstLine="48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第八条  本合同正本二份、副本</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份，合同双方各执正本一份，副本</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份，当正本与副本的内容不一致时，以正本为准。</w:t>
      </w:r>
    </w:p>
    <w:p>
      <w:pPr>
        <w:keepNext w:val="0"/>
        <w:keepLines w:val="0"/>
        <w:widowControl w:val="0"/>
        <w:suppressLineNumbers w:val="0"/>
        <w:wordWrap w:val="0"/>
        <w:spacing w:before="0" w:beforeAutospacing="0" w:after="0" w:afterAutospacing="0" w:line="400" w:lineRule="exact"/>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 xml:space="preserve"> </w:t>
      </w:r>
    </w:p>
    <w:p>
      <w:pPr>
        <w:keepNext w:val="0"/>
        <w:keepLines w:val="0"/>
        <w:widowControl w:val="0"/>
        <w:suppressLineNumbers w:val="0"/>
        <w:wordWrap w:val="0"/>
        <w:spacing w:before="0" w:beforeAutospacing="0" w:after="0" w:afterAutospacing="0" w:line="400" w:lineRule="exact"/>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（盖单位章）     承包人：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（盖单位章）</w:t>
      </w:r>
    </w:p>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                                法定代表人</w:t>
      </w:r>
    </w:p>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或其委托代理人：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（签字）     或其委托代理人：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（签字）</w:t>
      </w:r>
    </w:p>
    <w:p>
      <w:pPr>
        <w:keepNext w:val="0"/>
        <w:keepLines w:val="0"/>
        <w:widowControl w:val="0"/>
        <w:suppressLineNumbers w:val="0"/>
        <w:snapToGrid w:val="0"/>
        <w:spacing w:before="0" w:beforeAutospacing="0" w:after="0" w:afterAutospacing="0" w:line="400" w:lineRule="exact"/>
        <w:ind w:left="0" w:right="0" w:firstLine="1260" w:firstLineChars="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日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pPr>
        <w:keepNext w:val="0"/>
        <w:keepLines w:val="0"/>
        <w:widowControl w:val="0"/>
        <w:suppressLineNumbers w:val="0"/>
        <w:spacing w:before="0" w:beforeAutospacing="0" w:after="0" w:afterAutospacing="0" w:line="420" w:lineRule="exact"/>
        <w:ind w:left="0" w:right="0"/>
        <w:jc w:val="both"/>
        <w:outlineLvl w:val="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br w:type="page"/>
      </w:r>
      <w:r>
        <w:rPr>
          <w:rFonts w:hint="eastAsia" w:ascii="宋体" w:hAnsi="宋体" w:eastAsia="宋体" w:cs="宋体"/>
          <w:color w:val="auto"/>
          <w:kern w:val="2"/>
          <w:sz w:val="21"/>
          <w:szCs w:val="21"/>
          <w:highlight w:val="none"/>
          <w:lang w:val="en-US" w:eastAsia="zh-CN" w:bidi="ar"/>
        </w:rPr>
        <w:t>附件七  工程资金监管协议格式</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(发包人与承包人签订合同协议书时应与发包人指定的银行签署工程资金监管协议，工程资金监管协议内容在保证本项目资金有效监管的前提下由三方共同商定)</w:t>
      </w:r>
    </w:p>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工程资金监管协议</w:t>
      </w:r>
    </w:p>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 包 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(以下简称“甲方”)</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 包 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(以下简称“乙方”)</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经办银行：</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(以下简称“丙方”)</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为了促进</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(项目名称)的顺利实施，管好用好建设资金，确保工程资金专款专用，同时为承包人提供便捷有效的银行业务服务，根据</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(项目名称)合同条款有关规定，经甲、乙、丙三方协商，达成协议如下：</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1.资金管理的内容</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(1)乙方为完成</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(项目名称)工程成立的项目经理部在丙方开设基本结算户；</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(2)甲方应按合同规定将工程款(质量保证金除外)汇入乙方在丙方开设的账户；</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(3)乙方应将流动资金及甲方所拨付资金专项用于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(项目名称)；</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(4)丙方应为乙方提供便捷有效的银行业务服务，并接受甲方委托对乙方在丙方开设的基本结算户资金使用情况进行监督。</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2.甲方的权责</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(1)按照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(项目名称)合同有关条款规定的时间和方式，向乙方支付工程款；</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(2)在发现乙方将本项目资金挪用、转移时，甲方有权中止工程支付，直至乙方改正为止；</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(3)不定期审查丙方对乙方的资金使用监督情况，如丙方不能履行其责任，甲方有权随时终止本协议；</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(4)在乙、丙双方发生争议时，甲方应负责协调、解决。</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3.乙方的权责</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(1)项目经理部成立以后，乙方应尽快在丙方开设基本结算户；</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(2)确保本项目资金专款专用，不发生挪用、转移资金的现象；保证不通过权益转让、抵押、担保承担债务等任何其他方式使用基本结算户的资金；</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(3)办理材料、设备等采购业务金额在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万元以上的，应出示购货合同、协议和发票；在办理总额超过</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万元以上的采购业务时，应将合同、协议和发票复印件送丙方备案；购买应急材料、设备时可先办理支付手续，但事后必须补备有关资料；</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(4)用银行转账支票办理支付款项时，必须将转账支票送交丙方，由丙方负责办理支票转付手续；</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(5)向分包单位支付工程进度款时，应附甲方批准分包的文件；</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(6)向上级单位缴纳管理费、机械设备及周转材料租赁摊销费等款项时，应附上级单位出具的转账通知等有关资料，以确保资金专款专用。</w:t>
      </w:r>
    </w:p>
    <w:p>
      <w:pPr>
        <w:keepNext w:val="0"/>
        <w:keepLines w:val="0"/>
        <w:widowControl w:val="0"/>
        <w:suppressLineNumbers w:val="0"/>
        <w:spacing w:before="0" w:beforeAutospacing="0" w:after="0" w:afterAutospacing="0" w:line="420" w:lineRule="exact"/>
        <w:ind w:left="0" w:right="0" w:firstLine="420" w:firstLineChars="200"/>
        <w:jc w:val="both"/>
        <w:outlineLvl w:val="0"/>
        <w:rPr>
          <w:rFonts w:hint="eastAsia" w:ascii="宋体" w:hAnsi="宋体" w:eastAsia="宋体" w:cs="宋体"/>
          <w:color w:val="auto"/>
          <w:kern w:val="2"/>
          <w:sz w:val="21"/>
          <w:szCs w:val="21"/>
          <w:highlight w:val="none"/>
        </w:rPr>
      </w:pPr>
      <w:bookmarkStart w:id="2736" w:name="_Toc8911"/>
      <w:bookmarkEnd w:id="2736"/>
      <w:bookmarkStart w:id="2737" w:name="_Toc28078"/>
      <w:bookmarkEnd w:id="2737"/>
      <w:bookmarkStart w:id="2738" w:name="_Toc3776"/>
      <w:bookmarkEnd w:id="2738"/>
      <w:bookmarkStart w:id="2739" w:name="_Toc4540"/>
      <w:bookmarkEnd w:id="2739"/>
      <w:bookmarkStart w:id="2740" w:name="_Toc29839"/>
      <w:bookmarkEnd w:id="2740"/>
      <w:bookmarkStart w:id="2741" w:name="_Toc22218"/>
      <w:bookmarkEnd w:id="2741"/>
      <w:bookmarkStart w:id="2742" w:name="_Toc1182"/>
      <w:bookmarkEnd w:id="2742"/>
      <w:bookmarkStart w:id="2743" w:name="_Toc29387"/>
      <w:bookmarkEnd w:id="2743"/>
      <w:bookmarkStart w:id="2744" w:name="_Toc15010"/>
      <w:r>
        <w:rPr>
          <w:rFonts w:hint="eastAsia" w:ascii="宋体" w:hAnsi="宋体" w:eastAsia="宋体" w:cs="宋体"/>
          <w:color w:val="auto"/>
          <w:kern w:val="2"/>
          <w:sz w:val="21"/>
          <w:szCs w:val="21"/>
          <w:highlight w:val="none"/>
          <w:lang w:val="en-US" w:eastAsia="zh-CN" w:bidi="ar"/>
        </w:rPr>
        <w:t>4.丙方的权责</w:t>
      </w:r>
      <w:bookmarkEnd w:id="2744"/>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(1)成立</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(项目名称)工程资金管理服务小组，明确业务流程，提高工作效率，杜绝“压票”现象；</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(2)根据乙方提供的购货合同、协议和发票，检查其所购材料、设备是否用于(项目名称)工程建设，对本标段以外的购货款项，有权拒绝办理，并及时报告甲方；</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(3)根据乙方与分包单位签订的合同及支付文件，检查其支付款项是否符合有关条件，向分包单位以外单位的支付有权拒绝办理，并及时报告甲方；</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(4)根据乙方提供的上级单位出具的转账通知等有关资料，办理管理费、机械设备及周转材料租赁摊销费等款项的支付；对超出转账通知等有关资料以外的支付，有权拒绝办理，并及时报告甲方；</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(5)定期将乙方前一个周期的支付情况，整理后书面报送甲方；乙方复印备案的材料一并送甲方。</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5.甲、乙、丙三方都应履行保密责任，不得将其他两方的业务情况透露给三方以外的其他单位或个人。</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6.本协议有效期自乙方在丙方开户起，至工程交工验收甲方向乙方颁发交工验收证书后结束。</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7.本协议未尽事宜，由甲方牵头，三方协商解决。</w:t>
      </w:r>
    </w:p>
    <w:p>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8.本协议正本三份、副本</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份。合同三方各执正本一份、副本</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份，当正本与副本内容不一致时，以正本为准。</w:t>
      </w:r>
    </w:p>
    <w:p>
      <w:pPr>
        <w:keepNext w:val="0"/>
        <w:keepLines w:val="0"/>
        <w:widowControl w:val="0"/>
        <w:suppressLineNumbers w:val="0"/>
        <w:spacing w:before="120" w:beforeLines="5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120" w:beforeLines="50" w:beforeAutospacing="0" w:after="0" w:afterAutospacing="0" w:line="440" w:lineRule="exact"/>
        <w:ind w:left="0" w:right="0"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(盖单位章)</w:t>
      </w:r>
    </w:p>
    <w:p>
      <w:pPr>
        <w:keepNext w:val="0"/>
        <w:keepLines w:val="0"/>
        <w:widowControl w:val="0"/>
        <w:suppressLineNumbers w:val="0"/>
        <w:spacing w:before="0" w:beforeAutospacing="0" w:after="0" w:afterAutospacing="0" w:line="440" w:lineRule="exact"/>
        <w:ind w:left="0" w:right="0"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法定代表人或其委托代理人：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(签字)</w:t>
      </w:r>
    </w:p>
    <w:p>
      <w:pPr>
        <w:keepNext w:val="0"/>
        <w:keepLines w:val="0"/>
        <w:widowControl w:val="0"/>
        <w:suppressLineNumbers w:val="0"/>
        <w:spacing w:before="0" w:beforeAutospacing="0" w:after="0" w:afterAutospacing="0" w:line="440" w:lineRule="exact"/>
        <w:ind w:left="0" w:right="0" w:firstLine="2310" w:firstLineChars="11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pPr>
        <w:keepNext w:val="0"/>
        <w:keepLines w:val="0"/>
        <w:widowControl w:val="0"/>
        <w:suppressLineNumbers w:val="0"/>
        <w:spacing w:before="0" w:beforeAutospacing="0" w:after="0" w:afterAutospacing="0" w:line="420" w:lineRule="exact"/>
        <w:ind w:left="0" w:right="0"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(盖单位章)</w:t>
      </w:r>
    </w:p>
    <w:p>
      <w:pPr>
        <w:keepNext w:val="0"/>
        <w:keepLines w:val="0"/>
        <w:widowControl w:val="0"/>
        <w:suppressLineNumbers w:val="0"/>
        <w:spacing w:before="0" w:beforeAutospacing="0" w:after="0" w:afterAutospacing="0" w:line="420" w:lineRule="exact"/>
        <w:ind w:left="0" w:right="0"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法定代表人或其委托代理人：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(签字)</w:t>
      </w:r>
    </w:p>
    <w:p>
      <w:pPr>
        <w:keepNext w:val="0"/>
        <w:keepLines w:val="0"/>
        <w:widowControl w:val="0"/>
        <w:suppressLineNumbers w:val="0"/>
        <w:spacing w:before="0" w:beforeAutospacing="0" w:after="0" w:afterAutospacing="0" w:line="420" w:lineRule="exact"/>
        <w:ind w:left="0" w:right="0" w:firstLine="2310" w:firstLineChars="11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pPr>
        <w:keepNext w:val="0"/>
        <w:keepLines w:val="0"/>
        <w:widowControl w:val="0"/>
        <w:suppressLineNumbers w:val="0"/>
        <w:spacing w:before="0" w:beforeAutospacing="0" w:after="0" w:afterAutospacing="0" w:line="420" w:lineRule="exact"/>
        <w:ind w:left="0" w:right="0"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经办银行：</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(盖单位章)</w:t>
      </w:r>
    </w:p>
    <w:p>
      <w:pPr>
        <w:keepNext w:val="0"/>
        <w:keepLines w:val="0"/>
        <w:widowControl w:val="0"/>
        <w:suppressLineNumbers w:val="0"/>
        <w:spacing w:before="0" w:beforeAutospacing="0" w:after="0" w:afterAutospacing="0" w:line="420" w:lineRule="exact"/>
        <w:ind w:left="0" w:right="0"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法定代表人或其委托代理人：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(签字)</w:t>
      </w:r>
    </w:p>
    <w:p>
      <w:pPr>
        <w:keepNext w:val="0"/>
        <w:keepLines w:val="0"/>
        <w:widowControl w:val="0"/>
        <w:suppressLineNumbers w:val="0"/>
        <w:spacing w:before="0" w:beforeAutospacing="0" w:after="0" w:afterAutospacing="0" w:line="420" w:lineRule="exact"/>
        <w:ind w:left="0" w:right="0" w:firstLine="2310" w:firstLineChars="11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pPr>
        <w:pStyle w:val="35"/>
        <w:ind w:firstLine="420" w:firstLineChars="200"/>
        <w:rPr>
          <w:rFonts w:hint="eastAsia" w:ascii="宋体" w:hAnsi="宋体" w:eastAsia="宋体" w:cs="宋体"/>
          <w:b/>
          <w:bCs/>
          <w:color w:val="auto"/>
          <w:sz w:val="30"/>
          <w:szCs w:val="30"/>
          <w:highlight w:val="none"/>
        </w:rPr>
      </w:pPr>
      <w:r>
        <w:rPr>
          <w:rFonts w:hint="eastAsia" w:ascii="宋体" w:hAnsi="宋体" w:eastAsia="宋体" w:cs="宋体"/>
          <w:color w:val="auto"/>
          <w:kern w:val="2"/>
          <w:sz w:val="21"/>
          <w:szCs w:val="21"/>
          <w:highlight w:val="none"/>
          <w:lang w:val="en-US" w:eastAsia="zh-CN" w:bidi="ar"/>
        </w:rPr>
        <w:br w:type="page"/>
      </w:r>
      <w:bookmarkStart w:id="2745" w:name="_Toc519182687"/>
      <w:bookmarkEnd w:id="2745"/>
      <w:bookmarkStart w:id="2746" w:name="_Toc23696"/>
      <w:bookmarkEnd w:id="2746"/>
      <w:bookmarkStart w:id="2747" w:name="_Toc518403991"/>
      <w:bookmarkEnd w:id="2747"/>
      <w:bookmarkStart w:id="2748" w:name="_Toc15706"/>
      <w:bookmarkEnd w:id="2748"/>
      <w:bookmarkStart w:id="2749" w:name="_Toc9391"/>
      <w:bookmarkEnd w:id="2749"/>
    </w:p>
    <w:p>
      <w:pPr>
        <w:spacing w:line="400" w:lineRule="exact"/>
        <w:ind w:firstLine="2711" w:firstLineChars="9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30"/>
          <w:szCs w:val="30"/>
          <w:highlight w:val="none"/>
        </w:rPr>
        <w:t>第六</w:t>
      </w:r>
      <w:r>
        <w:rPr>
          <w:rFonts w:hint="eastAsia" w:ascii="宋体" w:hAnsi="宋体" w:eastAsia="宋体" w:cs="宋体"/>
          <w:b/>
          <w:bCs/>
          <w:color w:val="auto"/>
          <w:sz w:val="30"/>
          <w:szCs w:val="30"/>
          <w:highlight w:val="none"/>
          <w:lang w:eastAsia="zh-CN"/>
        </w:rPr>
        <w:t>部分</w:t>
      </w:r>
      <w:r>
        <w:rPr>
          <w:rFonts w:hint="eastAsia" w:ascii="宋体" w:hAnsi="宋体" w:eastAsia="宋体" w:cs="宋体"/>
          <w:b/>
          <w:bCs/>
          <w:color w:val="auto"/>
          <w:sz w:val="30"/>
          <w:szCs w:val="30"/>
          <w:highlight w:val="none"/>
        </w:rPr>
        <w:t>　磋商响应文件格式</w:t>
      </w:r>
      <w:bookmarkEnd w:id="88"/>
      <w:bookmarkEnd w:id="89"/>
      <w:bookmarkStart w:id="2750" w:name="_Toc194223719"/>
      <w:bookmarkStart w:id="2751" w:name="_Toc240724400"/>
      <w:bookmarkStart w:id="2752" w:name="_Toc199314545"/>
      <w:bookmarkStart w:id="2753" w:name="_Toc205087913"/>
      <w:bookmarkStart w:id="2754" w:name="_Toc205087903"/>
      <w:bookmarkStart w:id="2755" w:name="_Toc199314553"/>
      <w:bookmarkStart w:id="2756" w:name="_Toc295986635"/>
    </w:p>
    <w:p>
      <w:pPr>
        <w:pStyle w:val="2"/>
        <w:adjustRightInd w:val="0"/>
        <w:snapToGrid w:val="0"/>
        <w:spacing w:before="120" w:after="120"/>
        <w:rPr>
          <w:rFonts w:hint="eastAsia" w:ascii="宋体" w:hAnsi="宋体" w:eastAsia="宋体" w:cs="宋体"/>
          <w:b/>
          <w:bCs/>
          <w:color w:val="auto"/>
          <w:sz w:val="24"/>
          <w:szCs w:val="24"/>
          <w:highlight w:val="none"/>
        </w:rPr>
      </w:pPr>
    </w:p>
    <w:p>
      <w:pPr>
        <w:pStyle w:val="2"/>
        <w:adjustRightInd w:val="0"/>
        <w:snapToGrid w:val="0"/>
        <w:spacing w:before="120" w:after="120"/>
        <w:rPr>
          <w:rFonts w:hint="eastAsia" w:ascii="宋体" w:hAnsi="宋体" w:eastAsia="宋体" w:cs="宋体"/>
          <w:b/>
          <w:bCs/>
          <w:color w:val="auto"/>
          <w:sz w:val="24"/>
          <w:szCs w:val="24"/>
          <w:highlight w:val="none"/>
        </w:rPr>
      </w:pPr>
    </w:p>
    <w:p>
      <w:pPr>
        <w:pStyle w:val="4"/>
        <w:pageBreakBefore w:val="0"/>
        <w:widowControl w:val="0"/>
        <w:kinsoku/>
        <w:wordWrap/>
        <w:overflowPunct/>
        <w:topLinePunct w:val="0"/>
        <w:autoSpaceDE/>
        <w:autoSpaceDN/>
        <w:bidi w:val="0"/>
        <w:adjustRightInd/>
        <w:snapToGrid/>
        <w:spacing w:before="312" w:beforeLines="100" w:after="0" w:line="360" w:lineRule="auto"/>
        <w:jc w:val="center"/>
        <w:textAlignment w:val="auto"/>
        <w:rPr>
          <w:rFonts w:ascii="宋体" w:hAnsi="宋体" w:eastAsia="宋体"/>
          <w:bCs w:val="0"/>
          <w:color w:val="auto"/>
          <w:highlight w:val="none"/>
          <w:lang w:val="zh-CN"/>
        </w:rPr>
      </w:pPr>
      <w:bookmarkStart w:id="2757" w:name="_Toc528927455"/>
      <w:bookmarkStart w:id="2758" w:name="_Toc528578413"/>
      <w:r>
        <w:rPr>
          <w:rFonts w:hint="eastAsia" w:ascii="宋体" w:hAnsi="宋体" w:eastAsia="宋体"/>
          <w:bCs w:val="0"/>
          <w:color w:val="auto"/>
          <w:highlight w:val="none"/>
          <w:lang w:val="zh-CN"/>
        </w:rPr>
        <w:t>1、资格证明文件格式</w:t>
      </w:r>
      <w:bookmarkEnd w:id="2757"/>
      <w:bookmarkEnd w:id="2758"/>
    </w:p>
    <w:p>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32"/>
          <w:szCs w:val="32"/>
          <w:highlight w:val="none"/>
        </w:rPr>
      </w:pPr>
      <w:r>
        <w:rPr>
          <w:rFonts w:hint="eastAsia" w:ascii="宋体" w:hAnsi="宋体"/>
          <w:b/>
          <w:bCs/>
          <w:color w:val="auto"/>
          <w:sz w:val="32"/>
          <w:szCs w:val="32"/>
          <w:highlight w:val="none"/>
        </w:rPr>
        <w:t>目  录</w:t>
      </w:r>
    </w:p>
    <w:p>
      <w:pPr>
        <w:pStyle w:val="2"/>
        <w:adjustRightInd w:val="0"/>
        <w:snapToGrid w:val="0"/>
        <w:spacing w:before="120" w:after="120"/>
        <w:ind w:firstLine="1200" w:firstLineChars="500"/>
        <w:rPr>
          <w:rFonts w:hint="eastAsia" w:ascii="宋体" w:hAnsi="宋体" w:eastAsia="宋体" w:cs="宋体"/>
          <w:b/>
          <w:bCs/>
          <w:color w:val="auto"/>
          <w:sz w:val="24"/>
          <w:szCs w:val="24"/>
          <w:highlight w:val="none"/>
        </w:rPr>
      </w:pPr>
      <w:r>
        <w:rPr>
          <w:rFonts w:hint="eastAsia" w:ascii="宋体" w:hAnsi="宋体"/>
          <w:color w:val="auto"/>
          <w:sz w:val="24"/>
          <w:highlight w:val="none"/>
        </w:rPr>
        <w:t>（按照“第三</w:t>
      </w:r>
      <w:r>
        <w:rPr>
          <w:rFonts w:hint="eastAsia" w:ascii="宋体" w:hAnsi="宋体"/>
          <w:color w:val="auto"/>
          <w:sz w:val="24"/>
          <w:highlight w:val="none"/>
          <w:lang w:eastAsia="zh-CN"/>
        </w:rPr>
        <w:t>部分</w:t>
      </w:r>
      <w:r>
        <w:rPr>
          <w:rFonts w:hint="eastAsia" w:ascii="宋体" w:hAnsi="宋体"/>
          <w:color w:val="auto"/>
          <w:sz w:val="24"/>
          <w:highlight w:val="none"/>
        </w:rPr>
        <w:t xml:space="preserve"> 磋商须知”有关资格证明文件组成要求编排）</w:t>
      </w:r>
    </w:p>
    <w:p>
      <w:pPr>
        <w:pStyle w:val="2"/>
        <w:adjustRightInd w:val="0"/>
        <w:snapToGrid w:val="0"/>
        <w:spacing w:before="120" w:after="120"/>
        <w:rPr>
          <w:rFonts w:hint="eastAsia" w:ascii="宋体" w:hAnsi="宋体" w:eastAsia="宋体" w:cs="宋体"/>
          <w:b/>
          <w:bCs/>
          <w:color w:val="auto"/>
          <w:sz w:val="24"/>
          <w:szCs w:val="24"/>
          <w:highlight w:val="none"/>
        </w:rPr>
      </w:pPr>
    </w:p>
    <w:p>
      <w:pPr>
        <w:pStyle w:val="2"/>
        <w:adjustRightInd w:val="0"/>
        <w:snapToGrid w:val="0"/>
        <w:spacing w:before="120" w:after="120"/>
        <w:rPr>
          <w:rFonts w:hint="eastAsia" w:ascii="宋体" w:hAnsi="宋体" w:eastAsia="宋体" w:cs="宋体"/>
          <w:b/>
          <w:bCs/>
          <w:color w:val="auto"/>
          <w:sz w:val="24"/>
          <w:szCs w:val="24"/>
          <w:highlight w:val="none"/>
        </w:rPr>
      </w:pPr>
    </w:p>
    <w:p>
      <w:pPr>
        <w:pStyle w:val="11"/>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22"/>
        <w:rPr>
          <w:rFonts w:hint="eastAsia" w:ascii="宋体" w:hAnsi="宋体" w:eastAsia="宋体" w:cs="宋体"/>
          <w:b/>
          <w:bCs/>
          <w:color w:val="auto"/>
          <w:sz w:val="24"/>
          <w:szCs w:val="24"/>
          <w:highlight w:val="none"/>
        </w:rPr>
      </w:pPr>
    </w:p>
    <w:p>
      <w:pPr>
        <w:pStyle w:val="22"/>
        <w:rPr>
          <w:rFonts w:hint="eastAsia" w:ascii="宋体" w:hAnsi="宋体" w:eastAsia="宋体" w:cs="宋体"/>
          <w:b/>
          <w:bCs/>
          <w:color w:val="auto"/>
          <w:sz w:val="24"/>
          <w:szCs w:val="24"/>
          <w:highlight w:val="none"/>
        </w:rPr>
      </w:pPr>
    </w:p>
    <w:p>
      <w:pPr>
        <w:pStyle w:val="22"/>
        <w:rPr>
          <w:rFonts w:hint="eastAsia" w:ascii="宋体" w:hAnsi="宋体" w:eastAsia="宋体" w:cs="宋体"/>
          <w:b/>
          <w:bCs/>
          <w:color w:val="auto"/>
          <w:sz w:val="24"/>
          <w:szCs w:val="24"/>
          <w:highlight w:val="none"/>
        </w:rPr>
      </w:pPr>
    </w:p>
    <w:p>
      <w:pPr>
        <w:pStyle w:val="22"/>
        <w:rPr>
          <w:rFonts w:hint="eastAsia" w:ascii="宋体" w:hAnsi="宋体" w:eastAsia="宋体" w:cs="宋体"/>
          <w:b/>
          <w:bCs/>
          <w:color w:val="auto"/>
          <w:sz w:val="24"/>
          <w:szCs w:val="24"/>
          <w:highlight w:val="none"/>
        </w:rPr>
      </w:pPr>
    </w:p>
    <w:p>
      <w:pPr>
        <w:pStyle w:val="22"/>
        <w:rPr>
          <w:rFonts w:hint="eastAsia" w:ascii="宋体" w:hAnsi="宋体" w:eastAsia="宋体" w:cs="宋体"/>
          <w:b/>
          <w:bCs/>
          <w:color w:val="auto"/>
          <w:sz w:val="24"/>
          <w:szCs w:val="24"/>
          <w:highlight w:val="none"/>
        </w:rPr>
      </w:pPr>
    </w:p>
    <w:p>
      <w:pPr>
        <w:pStyle w:val="22"/>
        <w:rPr>
          <w:rFonts w:hint="eastAsia" w:ascii="宋体" w:hAnsi="宋体" w:eastAsia="宋体" w:cs="宋体"/>
          <w:b/>
          <w:bCs/>
          <w:color w:val="auto"/>
          <w:sz w:val="24"/>
          <w:szCs w:val="24"/>
          <w:highlight w:val="none"/>
        </w:rPr>
      </w:pPr>
    </w:p>
    <w:p>
      <w:pPr>
        <w:pStyle w:val="22"/>
        <w:rPr>
          <w:rFonts w:hint="eastAsia" w:ascii="宋体" w:hAnsi="宋体" w:eastAsia="宋体" w:cs="宋体"/>
          <w:b/>
          <w:bCs/>
          <w:color w:val="auto"/>
          <w:sz w:val="24"/>
          <w:szCs w:val="24"/>
          <w:highlight w:val="none"/>
        </w:rPr>
      </w:pPr>
    </w:p>
    <w:p>
      <w:pPr>
        <w:pStyle w:val="2"/>
        <w:adjustRightInd w:val="0"/>
        <w:snapToGrid w:val="0"/>
        <w:spacing w:before="120" w:after="120"/>
        <w:rPr>
          <w:rFonts w:hint="eastAsia" w:ascii="宋体" w:hAnsi="宋体" w:eastAsia="宋体" w:cs="宋体"/>
          <w:b/>
          <w:bCs/>
          <w:color w:val="auto"/>
          <w:sz w:val="24"/>
          <w:szCs w:val="24"/>
          <w:highlight w:val="none"/>
        </w:rPr>
      </w:pPr>
    </w:p>
    <w:p>
      <w:pPr>
        <w:pStyle w:val="11"/>
        <w:rPr>
          <w:rFonts w:hint="eastAsia"/>
          <w:color w:val="auto"/>
          <w:highlight w:val="none"/>
        </w:rPr>
      </w:pPr>
    </w:p>
    <w:p>
      <w:pPr>
        <w:pStyle w:val="2"/>
        <w:adjustRightInd w:val="0"/>
        <w:snapToGrid w:val="0"/>
        <w:spacing w:before="120" w:after="120"/>
        <w:rPr>
          <w:rFonts w:hint="eastAsia" w:ascii="宋体" w:hAnsi="宋体" w:eastAsia="宋体" w:cs="宋体"/>
          <w:b/>
          <w:bCs/>
          <w:color w:val="auto"/>
          <w:sz w:val="24"/>
          <w:szCs w:val="24"/>
          <w:highlight w:val="none"/>
        </w:rPr>
      </w:pPr>
    </w:p>
    <w:p>
      <w:pPr>
        <w:pStyle w:val="11"/>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21"/>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21"/>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21"/>
        <w:rPr>
          <w:rFonts w:hint="eastAsia" w:ascii="宋体" w:hAnsi="宋体" w:eastAsia="宋体" w:cs="宋体"/>
          <w:b/>
          <w:bCs/>
          <w:color w:val="auto"/>
          <w:sz w:val="24"/>
          <w:szCs w:val="24"/>
          <w:highlight w:val="none"/>
        </w:rPr>
      </w:pPr>
    </w:p>
    <w:p>
      <w:pPr>
        <w:rPr>
          <w:rFonts w:hint="eastAsia"/>
          <w:color w:val="auto"/>
          <w:highlight w:val="none"/>
        </w:rPr>
      </w:pPr>
    </w:p>
    <w:p>
      <w:pPr>
        <w:pStyle w:val="21"/>
        <w:rPr>
          <w:rFonts w:hint="eastAsia" w:ascii="宋体" w:hAnsi="宋体" w:eastAsia="宋体" w:cs="宋体"/>
          <w:b/>
          <w:bCs/>
          <w:color w:val="auto"/>
          <w:sz w:val="24"/>
          <w:szCs w:val="24"/>
          <w:highlight w:val="none"/>
        </w:rPr>
      </w:pPr>
    </w:p>
    <w:p>
      <w:pPr>
        <w:rPr>
          <w:rFonts w:hint="eastAsia"/>
          <w:color w:val="auto"/>
          <w:highlight w:val="none"/>
        </w:rPr>
      </w:pPr>
    </w:p>
    <w:p>
      <w:pPr>
        <w:pStyle w:val="2"/>
        <w:adjustRightInd w:val="0"/>
        <w:snapToGrid w:val="0"/>
        <w:spacing w:before="120" w:after="120"/>
        <w:rPr>
          <w:rFonts w:hint="eastAsia" w:ascii="宋体" w:hAnsi="宋体" w:eastAsia="宋体" w:cs="宋体"/>
          <w:b/>
          <w:bCs/>
          <w:color w:val="auto"/>
          <w:sz w:val="24"/>
          <w:szCs w:val="24"/>
          <w:highlight w:val="none"/>
        </w:rPr>
      </w:pPr>
    </w:p>
    <w:p>
      <w:pPr>
        <w:pStyle w:val="2"/>
        <w:adjustRightInd w:val="0"/>
        <w:snapToGrid w:val="0"/>
        <w:spacing w:before="120" w:after="120"/>
        <w:rPr>
          <w:rFonts w:hint="eastAsia" w:ascii="宋体" w:hAnsi="宋体" w:eastAsia="宋体" w:cs="宋体"/>
          <w:b/>
          <w:bCs/>
          <w:color w:val="auto"/>
          <w:sz w:val="24"/>
          <w:szCs w:val="24"/>
          <w:highlight w:val="none"/>
        </w:rPr>
      </w:pPr>
    </w:p>
    <w:p>
      <w:pPr>
        <w:pStyle w:val="2"/>
        <w:adjustRightInd w:val="0"/>
        <w:snapToGrid w:val="0"/>
        <w:spacing w:before="120" w:after="12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附件一：</w:t>
      </w:r>
      <w:r>
        <w:rPr>
          <w:rFonts w:hint="eastAsia" w:ascii="宋体" w:hAnsi="宋体" w:eastAsia="宋体" w:cs="宋体"/>
          <w:color w:val="auto"/>
          <w:sz w:val="24"/>
          <w:szCs w:val="24"/>
          <w:highlight w:val="none"/>
        </w:rPr>
        <w:t xml:space="preserve">                     </w:t>
      </w:r>
    </w:p>
    <w:p>
      <w:pPr>
        <w:pStyle w:val="2"/>
        <w:adjustRightInd w:val="0"/>
        <w:snapToGrid w:val="0"/>
        <w:spacing w:before="120" w:after="12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磋商声明书</w:t>
      </w:r>
    </w:p>
    <w:p>
      <w:pPr>
        <w:snapToGrid w:val="0"/>
        <w:spacing w:before="156" w:beforeLines="50" w:after="50" w:line="288"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sz w:val="24"/>
          <w:u w:val="single"/>
        </w:rPr>
        <w:t>仙居县交通运输局</w:t>
      </w:r>
      <w:r>
        <w:rPr>
          <w:rFonts w:hint="eastAsia" w:ascii="宋体" w:hAnsi="宋体" w:eastAsia="宋体" w:cs="宋体"/>
          <w:sz w:val="24"/>
          <w:u w:val="single"/>
          <w:lang w:eastAsia="zh-CN"/>
        </w:rPr>
        <w:t>、</w:t>
      </w:r>
      <w:r>
        <w:rPr>
          <w:rFonts w:hint="eastAsia" w:ascii="宋体" w:hAnsi="宋体" w:eastAsia="宋体"/>
          <w:bCs/>
          <w:sz w:val="24"/>
          <w:u w:val="single"/>
          <w:lang w:eastAsia="zh-CN"/>
        </w:rPr>
        <w:t>台州瑞腾工程管理有限公司</w:t>
      </w:r>
      <w:r>
        <w:rPr>
          <w:rFonts w:hint="eastAsia" w:ascii="宋体" w:hAnsi="宋体" w:eastAsia="宋体" w:cs="宋体"/>
          <w:color w:val="auto"/>
          <w:kern w:val="0"/>
          <w:sz w:val="24"/>
          <w:highlight w:val="none"/>
          <w:u w:val="single"/>
        </w:rPr>
        <w:t>：</w:t>
      </w:r>
    </w:p>
    <w:p>
      <w:pPr>
        <w:pStyle w:val="2"/>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__________________________(磋商人全称)授权____________________ (全权代表姓名)____________________(职务、职称)为全权代表，参加贵方组织的______________ (采购编号、采购项目名称) 采购磋商的有关活动，并对此项目进行响应。为此：我方同意在磋商须知前列表规定的</w:t>
      </w:r>
      <w:r>
        <w:rPr>
          <w:rFonts w:hint="eastAsia"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日期起遵守本采购承诺函中的承诺且在</w:t>
      </w:r>
      <w:r>
        <w:rPr>
          <w:rFonts w:hint="eastAsia"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有效期满之前均具有约束力。</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1、我方承诺已经具备《中华人民共和国政府采购法》参加政府采购活动的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应当具备的条件：</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2、提供磋商须知规定的全部磋商响应文件，包括：</w:t>
      </w:r>
    </w:p>
    <w:p>
      <w:pPr>
        <w:pStyle w:val="9"/>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snapToGrid/>
        <w:spacing w:line="400" w:lineRule="exact"/>
        <w:ind w:right="0" w:rightChars="0" w:firstLine="480" w:firstLineChars="200"/>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资格证明文件；</w:t>
      </w:r>
    </w:p>
    <w:p>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商务与技术文件；</w:t>
      </w:r>
    </w:p>
    <w:p>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w:t>
      </w:r>
    </w:p>
    <w:p>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磋商须知前列表要求的磋商人提交的全部文件；</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3、按竞争性磋商文件要求提供的服务报价详见磋商报价一览表。</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4、保证忠实地执行双方所签订的合同，并承担合同规定的责任和义务。</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5、保证遵守竞争性磋商文件中的其他有关条款。</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6、我们完全理解贵方不一定要接受最低报价。</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7、我方愿意向贵方提供真实完整的任何与该项目有关的数据、情况和技术资料。若贵方需要，我方愿意提供我方作出的一切承诺的证明材料。</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8、我方已详细审核全部竞争性磋商文件，包括竞争性磋商的修改文件（如有的话）、参考资料及有关附件，确认无误。</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（一）提供虚假材料谋取中标、成交的；</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（二）采取不正当手段诋毁、排挤其他供应商的；</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（三）与采购人、其他供应商或者采购代理机构恶意串通的；</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（四）向采购人、采购代理机构行贿或者提供其他不正当利益的；</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（五）拒绝有关部门监督检查或者提供虚假情况的。</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供应商有前款第（一）至（五）项情形之一的，中标、成交无效。</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、我方的磋商响应文件</w:t>
      </w:r>
      <w:r>
        <w:rPr>
          <w:rFonts w:hint="eastAsia" w:ascii="Arial" w:hAnsi="Arial" w:cs="Arial"/>
          <w:color w:val="auto"/>
          <w:kern w:val="0"/>
          <w:sz w:val="24"/>
          <w:highlight w:val="none"/>
        </w:rPr>
        <w:t>在</w:t>
      </w:r>
      <w:r>
        <w:rPr>
          <w:rFonts w:hint="eastAsia" w:ascii="宋体" w:hAnsi="宋体"/>
          <w:color w:val="auto"/>
          <w:sz w:val="24"/>
          <w:highlight w:val="none"/>
        </w:rPr>
        <w:t>递交截止日起</w:t>
      </w:r>
      <w:r>
        <w:rPr>
          <w:rFonts w:hint="eastAsia" w:ascii="宋体" w:hAnsi="宋体" w:eastAsia="宋体" w:cs="宋体"/>
          <w:color w:val="auto"/>
          <w:sz w:val="24"/>
          <w:szCs w:val="24"/>
          <w:highlight w:val="none"/>
          <w:u w:val="single"/>
          <w:lang w:val="en-US" w:eastAsia="zh-CN"/>
        </w:rPr>
        <w:t xml:space="preserve">  90  </w:t>
      </w:r>
      <w:r>
        <w:rPr>
          <w:rFonts w:hint="eastAsia" w:ascii="宋体" w:hAnsi="宋体" w:eastAsia="宋体" w:cs="宋体"/>
          <w:color w:val="auto"/>
          <w:sz w:val="24"/>
          <w:szCs w:val="24"/>
          <w:highlight w:val="none"/>
        </w:rPr>
        <w:t>天内有效。</w:t>
      </w:r>
    </w:p>
    <w:p>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与本次采购有关的一切往来通讯请寄：</w:t>
      </w:r>
    </w:p>
    <w:p>
      <w:pPr>
        <w:pStyle w:val="2"/>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地址：__________________     邮编：____________　</w:t>
      </w:r>
    </w:p>
    <w:p>
      <w:pPr>
        <w:snapToGrid w:val="0"/>
        <w:spacing w:before="156" w:beforeLines="50" w:after="50"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电话：__________________</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传真：____________</w:t>
      </w:r>
    </w:p>
    <w:p>
      <w:pPr>
        <w:adjustRightInd w:val="0"/>
        <w:snapToGrid w:val="0"/>
        <w:spacing w:line="360" w:lineRule="auto"/>
        <w:ind w:firstLine="480"/>
        <w:rPr>
          <w:rFonts w:hint="eastAsia" w:ascii="宋体" w:hAnsi="宋体" w:eastAsia="宋体" w:cs="宋体"/>
          <w:color w:val="auto"/>
          <w:kern w:val="0"/>
          <w:sz w:val="24"/>
          <w:highlight w:val="none"/>
        </w:rPr>
      </w:pPr>
    </w:p>
    <w:p>
      <w:pPr>
        <w:adjustRightInd w:val="0"/>
        <w:snapToGrid w:val="0"/>
        <w:spacing w:line="360" w:lineRule="auto"/>
        <w:ind w:firstLine="4680" w:firstLineChars="19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磋商供应商(公章)：</w:t>
      </w:r>
    </w:p>
    <w:p>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法定代表人或授权委托人(签字</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lang w:val="zh-CN"/>
        </w:rPr>
        <w:t>)：</w:t>
      </w:r>
    </w:p>
    <w:p>
      <w:pPr>
        <w:spacing w:line="360" w:lineRule="auto"/>
        <w:ind w:firstLine="600" w:firstLineChars="25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  月   日</w:t>
      </w:r>
    </w:p>
    <w:p>
      <w:pPr>
        <w:tabs>
          <w:tab w:val="left" w:pos="3111"/>
        </w:tabs>
        <w:autoSpaceDE w:val="0"/>
        <w:autoSpaceDN w:val="0"/>
        <w:adjustRightInd w:val="0"/>
        <w:rPr>
          <w:rFonts w:hint="eastAsia" w:ascii="宋体" w:hAnsi="宋体" w:eastAsia="宋体" w:cs="宋体"/>
          <w:color w:val="auto"/>
          <w:kern w:val="0"/>
          <w:sz w:val="24"/>
          <w:szCs w:val="24"/>
          <w:highlight w:val="none"/>
        </w:rPr>
      </w:pPr>
    </w:p>
    <w:p>
      <w:pPr>
        <w:pStyle w:val="2"/>
        <w:adjustRightInd w:val="0"/>
        <w:snapToGrid w:val="0"/>
        <w:spacing w:before="120" w:after="120"/>
        <w:jc w:val="center"/>
        <w:rPr>
          <w:rFonts w:hint="eastAsia" w:ascii="宋体" w:hAnsi="宋体" w:eastAsia="宋体" w:cs="宋体"/>
          <w:b/>
          <w:bCs/>
          <w:color w:val="auto"/>
          <w:sz w:val="24"/>
          <w:szCs w:val="24"/>
          <w:highlight w:val="none"/>
          <w:lang w:val="zh-CN"/>
        </w:rPr>
      </w:pPr>
    </w:p>
    <w:p>
      <w:pPr>
        <w:pStyle w:val="2"/>
        <w:adjustRightInd w:val="0"/>
        <w:snapToGrid w:val="0"/>
        <w:spacing w:before="120" w:after="120"/>
        <w:jc w:val="center"/>
        <w:rPr>
          <w:rFonts w:hint="eastAsia" w:ascii="宋体" w:hAnsi="宋体" w:eastAsia="宋体" w:cs="宋体"/>
          <w:b/>
          <w:bCs/>
          <w:color w:val="auto"/>
          <w:sz w:val="24"/>
          <w:szCs w:val="24"/>
          <w:highlight w:val="none"/>
          <w:lang w:val="zh-CN"/>
        </w:rPr>
      </w:pPr>
    </w:p>
    <w:p>
      <w:pPr>
        <w:pStyle w:val="11"/>
        <w:rPr>
          <w:rFonts w:hint="eastAsia"/>
          <w:color w:val="auto"/>
          <w:highlight w:val="none"/>
          <w:lang w:val="zh-CN"/>
        </w:rPr>
      </w:pPr>
    </w:p>
    <w:p>
      <w:pPr>
        <w:snapToGrid w:val="0"/>
        <w:spacing w:before="120" w:beforeLines="50" w:after="50"/>
        <w:jc w:val="left"/>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adjustRightInd w:val="0"/>
        <w:snapToGrid w:val="0"/>
        <w:spacing w:line="360" w:lineRule="auto"/>
        <w:ind w:right="-94"/>
        <w:rPr>
          <w:rFonts w:hint="eastAsia" w:ascii="宋体" w:hAnsi="宋体" w:eastAsia="宋体" w:cs="宋体"/>
          <w:b/>
          <w:color w:val="auto"/>
          <w:sz w:val="30"/>
          <w:szCs w:val="30"/>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kern w:val="0"/>
          <w:sz w:val="24"/>
          <w:highlight w:val="none"/>
        </w:rPr>
        <w:t>【以下2张表式中，表（1）、（2）为二选一，投标人须根据自身情况提供】</w:t>
      </w:r>
    </w:p>
    <w:p>
      <w:pPr>
        <w:spacing w:line="360" w:lineRule="auto"/>
        <w:ind w:firstLine="241" w:firstLineChars="1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（1）法定代表人资格证明书</w:t>
      </w:r>
    </w:p>
    <w:p>
      <w:pPr>
        <w:ind w:firstLine="3780" w:firstLineChars="1050"/>
        <w:rPr>
          <w:rFonts w:hint="eastAsia" w:ascii="宋体" w:hAnsi="宋体" w:eastAsia="宋体" w:cs="宋体"/>
          <w:snapToGrid w:val="0"/>
          <w:color w:val="auto"/>
          <w:highlight w:val="none"/>
        </w:rPr>
      </w:pPr>
    </w:p>
    <w:p>
      <w:pPr>
        <w:adjustRightInd w:val="0"/>
        <w:spacing w:line="540" w:lineRule="exact"/>
        <w:rPr>
          <w:rFonts w:hint="eastAsia" w:ascii="宋体" w:hAnsi="宋体" w:eastAsia="宋体" w:cs="宋体"/>
          <w:color w:val="auto"/>
          <w:sz w:val="24"/>
          <w:highlight w:val="none"/>
          <w:u w:val="single"/>
        </w:rPr>
      </w:pPr>
      <w:r>
        <w:rPr>
          <w:rFonts w:hint="eastAsia" w:ascii="宋体" w:hAnsi="宋体" w:eastAsia="宋体" w:cs="宋体"/>
          <w:sz w:val="24"/>
          <w:u w:val="single"/>
        </w:rPr>
        <w:t>仙居县交通运输局</w:t>
      </w:r>
      <w:r>
        <w:rPr>
          <w:rFonts w:hint="eastAsia" w:ascii="宋体" w:hAnsi="宋体" w:eastAsia="宋体" w:cs="宋体"/>
          <w:sz w:val="24"/>
          <w:u w:val="single"/>
          <w:lang w:eastAsia="zh-CN"/>
        </w:rPr>
        <w:t>、</w:t>
      </w:r>
      <w:r>
        <w:rPr>
          <w:rFonts w:hint="eastAsia" w:ascii="宋体" w:hAnsi="宋体" w:eastAsia="宋体"/>
          <w:bCs/>
          <w:sz w:val="24"/>
          <w:u w:val="single"/>
          <w:lang w:eastAsia="zh-CN"/>
        </w:rPr>
        <w:t>台州瑞腾工程管理有限公司</w:t>
      </w:r>
      <w:r>
        <w:rPr>
          <w:rFonts w:hint="eastAsia" w:ascii="宋体" w:hAnsi="宋体" w:eastAsia="宋体" w:cs="宋体"/>
          <w:color w:val="auto"/>
          <w:sz w:val="24"/>
          <w:highlight w:val="none"/>
        </w:rPr>
        <w:t>：</w:t>
      </w:r>
    </w:p>
    <w:p>
      <w:pPr>
        <w:spacing w:line="540" w:lineRule="exact"/>
        <w:ind w:firstLine="528" w:firstLineChars="200"/>
        <w:jc w:val="left"/>
        <w:rPr>
          <w:rFonts w:hint="eastAsia" w:ascii="宋体" w:hAnsi="宋体" w:eastAsia="宋体" w:cs="宋体"/>
          <w:snapToGrid w:val="0"/>
          <w:color w:val="auto"/>
          <w:sz w:val="24"/>
          <w:highlight w:val="none"/>
        </w:rPr>
      </w:pPr>
      <w:r>
        <w:rPr>
          <w:rFonts w:hint="eastAsia" w:ascii="宋体" w:hAnsi="宋体" w:eastAsia="宋体" w:cs="宋体"/>
          <w:snapToGrid w:val="0"/>
          <w:color w:val="auto"/>
          <w:spacing w:val="12"/>
          <w:sz w:val="24"/>
          <w:highlight w:val="none"/>
          <w:u w:val="single"/>
        </w:rPr>
        <w:t xml:space="preserve">  （法定代表人或营业执照中单位负责人姓名）  </w:t>
      </w:r>
      <w:r>
        <w:rPr>
          <w:rFonts w:hint="eastAsia" w:ascii="宋体" w:hAnsi="宋体" w:eastAsia="宋体" w:cs="宋体"/>
          <w:snapToGrid w:val="0"/>
          <w:color w:val="auto"/>
          <w:spacing w:val="12"/>
          <w:sz w:val="24"/>
          <w:highlight w:val="none"/>
        </w:rPr>
        <w:t>系</w:t>
      </w:r>
      <w:r>
        <w:rPr>
          <w:rFonts w:hint="eastAsia" w:ascii="宋体" w:hAnsi="宋体" w:eastAsia="宋体" w:cs="宋体"/>
          <w:snapToGrid w:val="0"/>
          <w:color w:val="auto"/>
          <w:spacing w:val="12"/>
          <w:sz w:val="24"/>
          <w:highlight w:val="none"/>
          <w:u w:val="single"/>
        </w:rPr>
        <w:t xml:space="preserve">  （投标人全称）  </w:t>
      </w:r>
      <w:r>
        <w:rPr>
          <w:rFonts w:hint="eastAsia" w:ascii="宋体" w:hAnsi="宋体" w:eastAsia="宋体" w:cs="宋体"/>
          <w:snapToGrid w:val="0"/>
          <w:color w:val="auto"/>
          <w:spacing w:val="12"/>
          <w:sz w:val="24"/>
          <w:highlight w:val="none"/>
        </w:rPr>
        <w:t>的法定代表人（或营业执照中单位负责人），身份证号码为</w:t>
      </w:r>
      <w:r>
        <w:rPr>
          <w:rFonts w:hint="eastAsia" w:ascii="宋体" w:hAnsi="宋体" w:eastAsia="宋体" w:cs="宋体"/>
          <w:snapToGrid w:val="0"/>
          <w:color w:val="auto"/>
          <w:spacing w:val="12"/>
          <w:sz w:val="24"/>
          <w:highlight w:val="none"/>
          <w:u w:val="single"/>
        </w:rPr>
        <w:t xml:space="preserve">                </w:t>
      </w:r>
      <w:r>
        <w:rPr>
          <w:rFonts w:hint="eastAsia" w:ascii="宋体" w:hAnsi="宋体" w:eastAsia="宋体" w:cs="宋体"/>
          <w:snapToGrid w:val="0"/>
          <w:color w:val="auto"/>
          <w:sz w:val="24"/>
          <w:highlight w:val="none"/>
        </w:rPr>
        <w:t>。</w:t>
      </w:r>
    </w:p>
    <w:p>
      <w:pPr>
        <w:spacing w:line="540" w:lineRule="exact"/>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特此证明。</w:t>
      </w:r>
    </w:p>
    <w:p>
      <w:pPr>
        <w:spacing w:line="540" w:lineRule="exact"/>
        <w:rPr>
          <w:rFonts w:hint="eastAsia" w:ascii="宋体" w:hAnsi="宋体" w:eastAsia="宋体" w:cs="宋体"/>
          <w:b/>
          <w:bCs/>
          <w:color w:val="auto"/>
          <w:kern w:val="0"/>
          <w:sz w:val="24"/>
          <w:szCs w:val="20"/>
          <w:highlight w:val="none"/>
        </w:rPr>
      </w:pPr>
    </w:p>
    <w:p>
      <w:pPr>
        <w:spacing w:line="540" w:lineRule="exact"/>
        <w:rPr>
          <w:rFonts w:hint="eastAsia" w:ascii="宋体" w:hAnsi="宋体" w:eastAsia="宋体" w:cs="宋体"/>
          <w:snapToGrid w:val="0"/>
          <w:color w:val="auto"/>
          <w:sz w:val="24"/>
          <w:highlight w:val="none"/>
        </w:rPr>
      </w:pPr>
      <w:r>
        <w:rPr>
          <w:rFonts w:hint="eastAsia" w:ascii="宋体" w:hAnsi="宋体" w:eastAsia="宋体" w:cs="宋体"/>
          <w:color w:val="auto"/>
          <w:kern w:val="0"/>
          <w:sz w:val="24"/>
          <w:szCs w:val="20"/>
          <w:highlight w:val="none"/>
        </w:rPr>
        <w:t>法定代表人或营业执照中单位负责人签字或盖章：</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w:t>
      </w:r>
    </w:p>
    <w:p>
      <w:pPr>
        <w:spacing w:line="540" w:lineRule="exact"/>
        <w:rPr>
          <w:rFonts w:hint="eastAsia" w:ascii="宋体" w:hAnsi="宋体" w:eastAsia="宋体" w:cs="宋体"/>
          <w:snapToGrid w:val="0"/>
          <w:color w:val="auto"/>
          <w:kern w:val="0"/>
          <w:sz w:val="24"/>
          <w:szCs w:val="20"/>
          <w:highlight w:val="none"/>
          <w:u w:val="single"/>
        </w:rPr>
      </w:pPr>
      <w:r>
        <w:rPr>
          <w:rFonts w:hint="eastAsia" w:ascii="宋体" w:hAnsi="宋体" w:eastAsia="宋体" w:cs="宋体"/>
          <w:snapToGrid w:val="0"/>
          <w:color w:val="auto"/>
          <w:kern w:val="0"/>
          <w:sz w:val="24"/>
          <w:szCs w:val="20"/>
          <w:highlight w:val="none"/>
        </w:rPr>
        <w:t>联系方式（手机）：</w:t>
      </w:r>
      <w:r>
        <w:rPr>
          <w:rFonts w:hint="eastAsia" w:ascii="宋体" w:hAnsi="宋体" w:eastAsia="宋体" w:cs="宋体"/>
          <w:snapToGrid w:val="0"/>
          <w:color w:val="auto"/>
          <w:kern w:val="0"/>
          <w:sz w:val="24"/>
          <w:szCs w:val="20"/>
          <w:highlight w:val="none"/>
          <w:u w:val="single"/>
        </w:rPr>
        <w:t xml:space="preserve">                 </w:t>
      </w:r>
      <w:r>
        <w:rPr>
          <w:rFonts w:hint="eastAsia" w:ascii="宋体" w:hAnsi="宋体" w:eastAsia="宋体" w:cs="宋体"/>
          <w:snapToGrid w:val="0"/>
          <w:color w:val="auto"/>
          <w:kern w:val="0"/>
          <w:sz w:val="24"/>
          <w:szCs w:val="20"/>
          <w:highlight w:val="none"/>
        </w:rPr>
        <w:t>；</w:t>
      </w:r>
    </w:p>
    <w:p>
      <w:pPr>
        <w:spacing w:line="54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kern w:val="0"/>
          <w:sz w:val="24"/>
          <w:szCs w:val="20"/>
          <w:highlight w:val="none"/>
        </w:rPr>
        <w:t>职务：</w:t>
      </w:r>
      <w:r>
        <w:rPr>
          <w:rFonts w:hint="eastAsia" w:ascii="宋体" w:hAnsi="宋体" w:eastAsia="宋体" w:cs="宋体"/>
          <w:snapToGrid w:val="0"/>
          <w:color w:val="auto"/>
          <w:kern w:val="0"/>
          <w:sz w:val="24"/>
          <w:szCs w:val="20"/>
          <w:highlight w:val="none"/>
          <w:u w:val="single"/>
        </w:rPr>
        <w:t xml:space="preserve">                     </w:t>
      </w:r>
      <w:r>
        <w:rPr>
          <w:rFonts w:hint="eastAsia" w:ascii="宋体" w:hAnsi="宋体" w:eastAsia="宋体" w:cs="宋体"/>
          <w:snapToGrid w:val="0"/>
          <w:color w:val="auto"/>
          <w:kern w:val="0"/>
          <w:sz w:val="24"/>
          <w:szCs w:val="20"/>
          <w:highlight w:val="none"/>
        </w:rPr>
        <w:t>。</w:t>
      </w:r>
    </w:p>
    <w:p>
      <w:pPr>
        <w:spacing w:line="540" w:lineRule="exact"/>
        <w:jc w:val="righ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投标人全称：</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rPr>
        <w:t>（盖单位公章）</w:t>
      </w:r>
    </w:p>
    <w:p>
      <w:pPr>
        <w:spacing w:line="54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                                          日期：</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rPr>
        <w:t>年</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rPr>
        <w:t>月</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rPr>
        <w:t>日</w:t>
      </w:r>
    </w:p>
    <w:p>
      <w:pPr>
        <w:spacing w:line="500" w:lineRule="exact"/>
        <w:rPr>
          <w:rFonts w:hint="eastAsia" w:ascii="宋体" w:hAnsi="宋体" w:eastAsia="宋体" w:cs="宋体"/>
          <w:snapToGrid w:val="0"/>
          <w:color w:val="auto"/>
          <w:sz w:val="28"/>
          <w:szCs w:val="28"/>
          <w:highlight w:val="none"/>
        </w:rPr>
      </w:pPr>
    </w:p>
    <w:p>
      <w:pPr>
        <w:spacing w:line="500" w:lineRule="exact"/>
        <w:rPr>
          <w:rFonts w:hint="eastAsia" w:ascii="宋体" w:hAnsi="宋体" w:eastAsia="宋体" w:cs="宋体"/>
          <w:b/>
          <w:snapToGrid w:val="0"/>
          <w:color w:val="auto"/>
          <w:sz w:val="24"/>
          <w:highlight w:val="none"/>
        </w:rPr>
      </w:pPr>
      <w:r>
        <w:rPr>
          <w:rFonts w:hint="eastAsia" w:ascii="宋体" w:hAnsi="宋体" w:eastAsia="宋体" w:cs="宋体"/>
          <w:b/>
          <w:snapToGrid w:val="0"/>
          <w:color w:val="auto"/>
          <w:sz w:val="24"/>
          <w:highlight w:val="none"/>
        </w:rPr>
        <w:t>注：此证明用于法定代表人本人参加本项目的采购活动，后附法定代表人（或营业执照中单位负责人）身份证复印件。</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600" w:lineRule="exact"/>
        <w:rPr>
          <w:rFonts w:hint="eastAsia" w:ascii="宋体" w:hAnsi="宋体" w:eastAsia="宋体" w:cs="宋体"/>
          <w:color w:val="auto"/>
          <w:sz w:val="24"/>
          <w:highlight w:val="none"/>
        </w:rPr>
      </w:pPr>
    </w:p>
    <w:tbl>
      <w:tblPr>
        <w:tblStyle w:val="24"/>
        <w:tblpPr w:leftFromText="180" w:rightFromText="180" w:vertAnchor="text" w:horzAnchor="page" w:tblpXSpec="center" w:tblpY="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480" w:type="dxa"/>
            <w:noWrap w:val="0"/>
            <w:vAlign w:val="center"/>
          </w:tcPr>
          <w:p>
            <w:pPr>
              <w:keepNext w:val="0"/>
              <w:keepLines w:val="0"/>
              <w:suppressLineNumbers w:val="0"/>
              <w:spacing w:before="0" w:beforeAutospacing="0" w:after="0" w:afterAutospacing="0" w:line="600" w:lineRule="exact"/>
              <w:ind w:left="0" w:right="0" w:firstLine="374" w:firstLineChars="15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法定代表人（或营业执照中单位负责人）身份证复印件</w:t>
            </w:r>
          </w:p>
        </w:tc>
      </w:tr>
    </w:tbl>
    <w:p>
      <w:pPr>
        <w:spacing w:line="400" w:lineRule="atLeast"/>
        <w:rPr>
          <w:rFonts w:hint="eastAsia" w:ascii="宋体" w:hAnsi="宋体" w:eastAsia="宋体" w:cs="宋体"/>
          <w:b/>
          <w:bCs/>
          <w:color w:val="auto"/>
          <w:sz w:val="24"/>
          <w:highlight w:val="none"/>
        </w:rPr>
      </w:pPr>
    </w:p>
    <w:p>
      <w:pPr>
        <w:spacing w:line="400" w:lineRule="atLeast"/>
        <w:rPr>
          <w:rFonts w:hint="eastAsia" w:ascii="宋体" w:hAnsi="宋体" w:eastAsia="宋体" w:cs="宋体"/>
          <w:color w:val="auto"/>
          <w:sz w:val="24"/>
          <w:highlight w:val="none"/>
        </w:rPr>
      </w:pPr>
    </w:p>
    <w:p>
      <w:pPr>
        <w:spacing w:line="360" w:lineRule="auto"/>
        <w:rPr>
          <w:rFonts w:hint="eastAsia" w:ascii="宋体" w:hAnsi="宋体" w:eastAsia="宋体" w:cs="宋体"/>
          <w:b/>
          <w:color w:val="auto"/>
          <w:sz w:val="30"/>
          <w:szCs w:val="30"/>
          <w:highlight w:val="none"/>
        </w:rPr>
      </w:pPr>
    </w:p>
    <w:p>
      <w:pPr>
        <w:spacing w:line="360" w:lineRule="auto"/>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2"/>
          <w:szCs w:val="32"/>
          <w:highlight w:val="none"/>
        </w:rPr>
      </w:pPr>
    </w:p>
    <w:p>
      <w:pPr>
        <w:snapToGrid w:val="0"/>
        <w:spacing w:before="120" w:beforeLines="50" w:after="50"/>
        <w:jc w:val="left"/>
        <w:rPr>
          <w:rFonts w:hint="eastAsia" w:ascii="宋体" w:hAnsi="宋体" w:eastAsia="宋体" w:cs="宋体"/>
          <w:b/>
          <w:bCs/>
          <w:sz w:val="24"/>
        </w:rPr>
      </w:pPr>
      <w:r>
        <w:rPr>
          <w:rFonts w:hint="eastAsia" w:ascii="宋体" w:hAnsi="宋体" w:eastAsia="宋体" w:cs="宋体"/>
          <w:b/>
          <w:bCs/>
          <w:sz w:val="24"/>
        </w:rPr>
        <w:t xml:space="preserve">  </w:t>
      </w:r>
    </w:p>
    <w:p>
      <w:pPr>
        <w:snapToGrid w:val="0"/>
        <w:spacing w:before="120" w:beforeLines="50" w:after="50"/>
        <w:jc w:val="center"/>
        <w:rPr>
          <w:rFonts w:hint="eastAsia" w:ascii="宋体" w:hAnsi="宋体" w:eastAsia="宋体" w:cs="宋体"/>
          <w:b/>
          <w:sz w:val="24"/>
        </w:rPr>
      </w:pPr>
    </w:p>
    <w:p>
      <w:pPr>
        <w:snapToGrid w:val="0"/>
        <w:spacing w:before="120" w:beforeLines="50" w:after="50"/>
        <w:jc w:val="center"/>
        <w:rPr>
          <w:rFonts w:hint="eastAsia" w:ascii="宋体" w:hAnsi="宋体" w:eastAsia="宋体" w:cs="宋体"/>
          <w:b/>
          <w:sz w:val="24"/>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w:t>
      </w:r>
      <w:r>
        <w:rPr>
          <w:rFonts w:hint="eastAsia" w:ascii="宋体" w:hAnsi="宋体" w:eastAsia="宋体" w:cs="宋体"/>
          <w:b/>
          <w:sz w:val="24"/>
        </w:rPr>
        <w:t>法定代表人授权委托书</w:t>
      </w:r>
    </w:p>
    <w:p>
      <w:pPr>
        <w:snapToGrid w:val="0"/>
        <w:spacing w:before="120" w:beforeLines="50" w:after="50"/>
        <w:rPr>
          <w:rFonts w:hint="eastAsia" w:ascii="宋体" w:hAnsi="宋体" w:eastAsia="宋体" w:cs="宋体"/>
          <w:bCs/>
          <w:sz w:val="24"/>
        </w:rPr>
      </w:pPr>
    </w:p>
    <w:p>
      <w:pPr>
        <w:snapToGrid w:val="0"/>
        <w:spacing w:before="120" w:beforeLines="50" w:after="50"/>
        <w:rPr>
          <w:rFonts w:hint="eastAsia" w:ascii="宋体" w:hAnsi="宋体" w:eastAsia="宋体" w:cs="宋体"/>
          <w:b/>
          <w:bCs/>
          <w:sz w:val="24"/>
        </w:rPr>
      </w:pPr>
      <w:r>
        <w:rPr>
          <w:rFonts w:hint="eastAsia" w:ascii="宋体" w:hAnsi="宋体" w:eastAsia="宋体" w:cs="宋体"/>
          <w:bCs/>
          <w:sz w:val="24"/>
        </w:rPr>
        <w:t>致：</w:t>
      </w:r>
      <w:r>
        <w:rPr>
          <w:rFonts w:hint="eastAsia" w:ascii="宋体" w:hAnsi="宋体" w:eastAsia="宋体" w:cs="宋体"/>
          <w:bCs/>
          <w:sz w:val="24"/>
          <w:u w:val="single"/>
        </w:rPr>
        <w:t xml:space="preserve"> </w:t>
      </w:r>
      <w:r>
        <w:rPr>
          <w:rFonts w:hint="eastAsia" w:ascii="宋体" w:hAnsi="宋体" w:eastAsia="宋体" w:cs="宋体"/>
          <w:sz w:val="24"/>
          <w:u w:val="single"/>
        </w:rPr>
        <w:t>仙居县交通运输局</w:t>
      </w:r>
      <w:r>
        <w:rPr>
          <w:rFonts w:hint="eastAsia" w:ascii="宋体" w:hAnsi="宋体" w:eastAsia="宋体" w:cs="宋体"/>
          <w:sz w:val="24"/>
          <w:u w:val="single"/>
          <w:lang w:eastAsia="zh-CN"/>
        </w:rPr>
        <w:t>、</w:t>
      </w:r>
      <w:r>
        <w:rPr>
          <w:rFonts w:hint="eastAsia" w:ascii="宋体" w:hAnsi="宋体" w:eastAsia="宋体"/>
          <w:bCs/>
          <w:sz w:val="24"/>
          <w:u w:val="single"/>
          <w:lang w:eastAsia="zh-CN"/>
        </w:rPr>
        <w:t>台州瑞腾工程管理有限公司</w:t>
      </w:r>
      <w:r>
        <w:rPr>
          <w:rFonts w:hint="eastAsia" w:ascii="宋体" w:hAnsi="宋体" w:eastAsia="宋体" w:cs="宋体"/>
          <w:bCs/>
          <w:sz w:val="24"/>
          <w:u w:val="single"/>
        </w:rPr>
        <w:t xml:space="preserve">  </w:t>
      </w:r>
      <w:r>
        <w:rPr>
          <w:rFonts w:hint="eastAsia" w:ascii="宋体" w:hAnsi="宋体" w:eastAsia="宋体" w:cs="宋体"/>
          <w:sz w:val="24"/>
        </w:rPr>
        <w:t>：</w:t>
      </w:r>
    </w:p>
    <w:p>
      <w:pPr>
        <w:pStyle w:val="2"/>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u w:val="single"/>
        </w:rPr>
        <w:t>（供应商全称）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ab/>
      </w:r>
      <w:r>
        <w:rPr>
          <w:rFonts w:hint="eastAsia" w:ascii="宋体" w:hAnsi="宋体" w:eastAsia="宋体" w:cs="宋体"/>
          <w:b/>
          <w:color w:val="auto"/>
          <w:sz w:val="24"/>
          <w:highlight w:val="none"/>
          <w:u w:val="singl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授权</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u w:val="single"/>
        </w:rPr>
        <w:t>（全权代表姓名）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为全权代表，参加贵单位组织的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u w:val="single"/>
        </w:rPr>
        <w:t>（采购编号、采购项目名称）</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的采购活动，并代表我方全权办理针对上述项目的磋商、签约等具体事务和签署相关文件。我方对全权代表的签字事项负全部责任。</w:t>
      </w:r>
    </w:p>
    <w:p>
      <w:pPr>
        <w:pStyle w:val="2"/>
        <w:spacing w:line="460" w:lineRule="exact"/>
        <w:ind w:left="238" w:leftChars="66"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在撤销授权的书面通知以前，本授权书一直有效。全权代表在授权委托书有效期内签署的所有文件不因授权的撤销而失效。</w:t>
      </w:r>
    </w:p>
    <w:p>
      <w:pPr>
        <w:pStyle w:val="2"/>
        <w:spacing w:line="460" w:lineRule="exact"/>
        <w:ind w:left="238" w:leftChars="66"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全权代表无转委托权，特此委托。</w:t>
      </w:r>
    </w:p>
    <w:p>
      <w:pPr>
        <w:spacing w:line="360" w:lineRule="auto"/>
        <w:rPr>
          <w:rFonts w:hint="eastAsia" w:ascii="宋体" w:hAnsi="宋体" w:eastAsia="宋体" w:cs="宋体"/>
          <w:color w:val="auto"/>
          <w:sz w:val="24"/>
          <w:highlight w:val="none"/>
        </w:rPr>
      </w:pP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全权代表姓名：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napToGrid w:val="0"/>
        <w:spacing w:line="360" w:lineRule="exact"/>
        <w:rPr>
          <w:rFonts w:hint="eastAsia" w:ascii="宋体" w:hAnsi="宋体" w:eastAsia="宋体" w:cs="宋体"/>
          <w:color w:val="auto"/>
          <w:sz w:val="24"/>
          <w:highlight w:val="none"/>
        </w:rPr>
      </w:pP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全权代表身份证号码：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napToGrid w:val="0"/>
        <w:spacing w:line="360" w:lineRule="exact"/>
        <w:rPr>
          <w:rFonts w:hint="eastAsia" w:ascii="宋体" w:hAnsi="宋体" w:eastAsia="宋体" w:cs="宋体"/>
          <w:b/>
          <w:bCs/>
          <w:color w:val="auto"/>
          <w:sz w:val="24"/>
          <w:highlight w:val="none"/>
        </w:rPr>
      </w:pPr>
    </w:p>
    <w:p>
      <w:pPr>
        <w:pStyle w:val="2"/>
        <w:spacing w:line="360" w:lineRule="exact"/>
        <w:rPr>
          <w:rFonts w:hint="eastAsia" w:ascii="宋体" w:hAnsi="宋体" w:eastAsia="宋体" w:cs="宋体"/>
          <w:b/>
          <w:bCs/>
          <w:color w:val="auto"/>
          <w:sz w:val="24"/>
          <w:highlight w:val="none"/>
        </w:rPr>
      </w:pPr>
    </w:p>
    <w:p>
      <w:pPr>
        <w:pStyle w:val="2"/>
        <w:spacing w:line="3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法定代表人(签字或盖章)或授权委托人(签字)：</w:t>
      </w:r>
    </w:p>
    <w:p>
      <w:pPr>
        <w:pStyle w:val="2"/>
        <w:spacing w:line="360" w:lineRule="exact"/>
        <w:rPr>
          <w:rFonts w:hint="eastAsia" w:ascii="宋体" w:hAnsi="宋体" w:eastAsia="宋体" w:cs="宋体"/>
          <w:b/>
          <w:bCs/>
          <w:color w:val="auto"/>
          <w:sz w:val="24"/>
          <w:highlight w:val="none"/>
        </w:rPr>
      </w:pPr>
    </w:p>
    <w:p>
      <w:pPr>
        <w:pStyle w:val="2"/>
        <w:spacing w:line="360" w:lineRule="exact"/>
        <w:rPr>
          <w:rFonts w:hint="eastAsia" w:ascii="宋体" w:hAnsi="宋体" w:eastAsia="宋体" w:cs="宋体"/>
          <w:b/>
          <w:bCs/>
          <w:color w:val="auto"/>
          <w:sz w:val="24"/>
          <w:highlight w:val="none"/>
        </w:rPr>
      </w:pPr>
    </w:p>
    <w:p>
      <w:pPr>
        <w:pStyle w:val="2"/>
        <w:spacing w:line="360" w:lineRule="exac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磋商供应商名称(公章)：</w:t>
      </w:r>
      <w:r>
        <w:rPr>
          <w:rFonts w:hint="eastAsia" w:ascii="宋体" w:hAnsi="宋体" w:eastAsia="宋体" w:cs="宋体"/>
          <w:b/>
          <w:color w:val="auto"/>
          <w:sz w:val="24"/>
          <w:highlight w:val="none"/>
        </w:rPr>
        <w:t xml:space="preserve">                   </w:t>
      </w:r>
      <w:r>
        <w:rPr>
          <w:rFonts w:hint="eastAsia" w:ascii="宋体" w:hAnsi="宋体" w:eastAsia="宋体" w:cs="宋体"/>
          <w:b/>
          <w:bCs/>
          <w:color w:val="auto"/>
          <w:sz w:val="24"/>
          <w:highlight w:val="none"/>
        </w:rPr>
        <w:t>日 期：     年   月   日</w:t>
      </w:r>
    </w:p>
    <w:p>
      <w:pPr>
        <w:spacing w:line="440" w:lineRule="exac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zh-CN"/>
        </w:rPr>
        <w:t>后附：</w:t>
      </w:r>
      <w:r>
        <w:rPr>
          <w:rFonts w:hint="eastAsia" w:ascii="宋体" w:hAnsi="宋体" w:eastAsia="宋体" w:cs="宋体"/>
          <w:color w:val="auto"/>
          <w:sz w:val="24"/>
          <w:highlight w:val="none"/>
        </w:rPr>
        <w:t>法定代表人（或营业执照中单位负责人）</w:t>
      </w:r>
      <w:r>
        <w:rPr>
          <w:rFonts w:hint="eastAsia" w:ascii="宋体" w:hAnsi="宋体" w:eastAsia="宋体" w:cs="宋体"/>
          <w:color w:val="auto"/>
          <w:sz w:val="24"/>
          <w:szCs w:val="20"/>
          <w:highlight w:val="none"/>
        </w:rPr>
        <w:t>身份证复印件</w:t>
      </w:r>
    </w:p>
    <w:tbl>
      <w:tblPr>
        <w:tblStyle w:val="24"/>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5" w:hRule="atLeast"/>
        </w:trPr>
        <w:tc>
          <w:tcPr>
            <w:tcW w:w="4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法定代表人（或营业执照中单位负责人）</w:t>
            </w:r>
            <w:r>
              <w:rPr>
                <w:rFonts w:hint="eastAsia" w:ascii="宋体" w:hAnsi="宋体" w:eastAsia="宋体" w:cs="宋体"/>
                <w:b/>
                <w:color w:val="auto"/>
                <w:sz w:val="24"/>
                <w:highlight w:val="none"/>
              </w:rPr>
              <w:t>身份证复印件</w:t>
            </w:r>
          </w:p>
        </w:tc>
      </w:tr>
    </w:tbl>
    <w:p>
      <w:pPr>
        <w:spacing w:before="60" w:after="60" w:line="360" w:lineRule="auto"/>
        <w:rPr>
          <w:rFonts w:hint="eastAsia" w:ascii="宋体" w:hAnsi="宋体" w:eastAsia="宋体" w:cs="宋体"/>
          <w:color w:val="auto"/>
          <w:sz w:val="24"/>
          <w:szCs w:val="20"/>
          <w:highlight w:val="none"/>
          <w:lang w:val="zh-CN"/>
        </w:rPr>
      </w:pPr>
    </w:p>
    <w:p>
      <w:pPr>
        <w:spacing w:before="60" w:after="60" w:line="360" w:lineRule="auto"/>
        <w:rPr>
          <w:rFonts w:hint="eastAsia" w:ascii="宋体" w:hAnsi="宋体" w:eastAsia="宋体" w:cs="宋体"/>
          <w:color w:val="auto"/>
          <w:sz w:val="24"/>
          <w:szCs w:val="20"/>
          <w:highlight w:val="none"/>
          <w:lang w:val="zh-CN"/>
        </w:rPr>
      </w:pPr>
    </w:p>
    <w:p>
      <w:pPr>
        <w:spacing w:before="60" w:after="60" w:line="360" w:lineRule="auto"/>
        <w:rPr>
          <w:rFonts w:hint="eastAsia" w:ascii="宋体" w:hAnsi="宋体" w:eastAsia="宋体" w:cs="宋体"/>
          <w:color w:val="auto"/>
          <w:sz w:val="24"/>
          <w:szCs w:val="20"/>
          <w:highlight w:val="none"/>
          <w:lang w:val="zh-CN"/>
        </w:rPr>
      </w:pPr>
    </w:p>
    <w:p>
      <w:pPr>
        <w:spacing w:line="440" w:lineRule="exact"/>
        <w:rPr>
          <w:rFonts w:hint="eastAsia" w:ascii="宋体" w:hAnsi="宋体" w:eastAsia="宋体" w:cs="宋体"/>
          <w:color w:val="auto"/>
          <w:sz w:val="24"/>
          <w:szCs w:val="20"/>
          <w:highlight w:val="none"/>
          <w:lang w:val="zh-CN"/>
        </w:rPr>
      </w:pPr>
    </w:p>
    <w:p>
      <w:pPr>
        <w:spacing w:line="440" w:lineRule="exac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zh-CN"/>
        </w:rPr>
        <w:t>后附：</w:t>
      </w:r>
      <w:r>
        <w:rPr>
          <w:rFonts w:hint="eastAsia" w:ascii="宋体" w:hAnsi="宋体" w:eastAsia="宋体" w:cs="宋体"/>
          <w:color w:val="auto"/>
          <w:sz w:val="24"/>
          <w:szCs w:val="20"/>
          <w:highlight w:val="none"/>
        </w:rPr>
        <w:t>全权代表身份证复印件</w:t>
      </w:r>
    </w:p>
    <w:tbl>
      <w:tblPr>
        <w:tblStyle w:val="24"/>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全权代表身份证复印件</w:t>
            </w:r>
          </w:p>
        </w:tc>
      </w:tr>
    </w:tbl>
    <w:p>
      <w:pPr>
        <w:spacing w:before="60" w:after="60" w:line="360" w:lineRule="auto"/>
        <w:rPr>
          <w:rFonts w:hint="eastAsia" w:ascii="宋体" w:hAnsi="宋体" w:eastAsia="宋体" w:cs="宋体"/>
          <w:color w:val="auto"/>
          <w:sz w:val="24"/>
          <w:szCs w:val="20"/>
          <w:highlight w:val="none"/>
          <w:lang w:val="zh-CN"/>
        </w:rPr>
      </w:pPr>
    </w:p>
    <w:p>
      <w:pPr>
        <w:spacing w:before="60" w:after="60" w:line="360" w:lineRule="auto"/>
        <w:rPr>
          <w:rFonts w:hint="eastAsia" w:ascii="宋体" w:hAnsi="宋体" w:eastAsia="宋体" w:cs="宋体"/>
          <w:color w:val="auto"/>
          <w:sz w:val="24"/>
          <w:szCs w:val="20"/>
          <w:highlight w:val="none"/>
          <w:lang w:val="zh-CN"/>
        </w:rPr>
      </w:pPr>
    </w:p>
    <w:p>
      <w:pPr>
        <w:pStyle w:val="2"/>
        <w:adjustRightInd w:val="0"/>
        <w:snapToGrid w:val="0"/>
        <w:spacing w:before="156" w:after="156"/>
        <w:rPr>
          <w:rFonts w:hint="eastAsia" w:hAnsi="宋体" w:eastAsia="宋体" w:cs="宋体"/>
          <w:b/>
          <w:bCs/>
          <w:szCs w:val="21"/>
        </w:rPr>
      </w:pPr>
    </w:p>
    <w:p>
      <w:pPr>
        <w:snapToGrid w:val="0"/>
        <w:spacing w:before="120" w:beforeLines="50" w:after="50"/>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p>
    <w:p>
      <w:pPr>
        <w:pStyle w:val="2"/>
        <w:adjustRightInd w:val="0"/>
        <w:snapToGrid w:val="0"/>
        <w:spacing w:before="156" w:after="156"/>
        <w:rPr>
          <w:rFonts w:hint="eastAsia" w:ascii="宋体" w:hAnsi="宋体" w:eastAsia="宋体" w:cs="宋体"/>
          <w:b/>
          <w:bCs/>
          <w:color w:val="auto"/>
          <w:sz w:val="21"/>
          <w:szCs w:val="21"/>
          <w:highlight w:val="none"/>
        </w:rPr>
      </w:pPr>
    </w:p>
    <w:p>
      <w:pPr>
        <w:pStyle w:val="6"/>
        <w:spacing w:line="360" w:lineRule="auto"/>
        <w:ind w:firstLine="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p>
    <w:p>
      <w:pPr>
        <w:pStyle w:val="6"/>
        <w:spacing w:line="360" w:lineRule="auto"/>
        <w:ind w:firstLine="0"/>
        <w:jc w:val="center"/>
        <w:rPr>
          <w:rFonts w:hint="eastAsia" w:ascii="仿宋_GB2312" w:hAnsi="宋体" w:eastAsia="仿宋_GB2312"/>
          <w:b/>
          <w:color w:val="auto"/>
          <w:sz w:val="32"/>
          <w:szCs w:val="32"/>
          <w:highlight w:val="none"/>
        </w:rPr>
      </w:pPr>
      <w:r>
        <w:rPr>
          <w:rFonts w:hint="eastAsia" w:ascii="宋体" w:hAnsi="宋体" w:cs="宋体"/>
          <w:b/>
          <w:color w:val="auto"/>
          <w:kern w:val="2"/>
          <w:sz w:val="24"/>
          <w:szCs w:val="24"/>
          <w:highlight w:val="none"/>
          <w:lang w:val="en-US" w:eastAsia="zh-CN" w:bidi="ar-SA"/>
        </w:rPr>
        <w:t>依法缴纳税收及社会保障资金的承诺函</w:t>
      </w:r>
    </w:p>
    <w:p>
      <w:pPr>
        <w:pStyle w:val="2"/>
        <w:spacing w:before="60" w:after="60" w:line="500" w:lineRule="exact"/>
        <w:rPr>
          <w:rFonts w:hint="eastAsia" w:hAnsi="宋体" w:cs="宋体"/>
          <w:b/>
          <w:bCs/>
          <w:color w:val="auto"/>
          <w:sz w:val="24"/>
          <w:highlight w:val="none"/>
          <w:u w:val="single"/>
        </w:rPr>
      </w:pPr>
      <w:r>
        <w:rPr>
          <w:rFonts w:hint="eastAsia" w:ascii="宋体" w:hAnsi="宋体" w:eastAsia="宋体" w:cs="宋体"/>
          <w:sz w:val="24"/>
          <w:u w:val="single"/>
        </w:rPr>
        <w:t>仙居县交通运输局</w:t>
      </w:r>
      <w:r>
        <w:rPr>
          <w:rFonts w:hint="eastAsia" w:ascii="宋体" w:hAnsi="宋体" w:eastAsia="宋体" w:cs="宋体"/>
          <w:sz w:val="24"/>
          <w:u w:val="single"/>
          <w:lang w:eastAsia="zh-CN"/>
        </w:rPr>
        <w:t>、</w:t>
      </w:r>
      <w:r>
        <w:rPr>
          <w:rFonts w:hint="eastAsia" w:ascii="宋体" w:hAnsi="宋体" w:eastAsia="宋体"/>
          <w:bCs/>
          <w:sz w:val="24"/>
          <w:u w:val="single"/>
          <w:lang w:eastAsia="zh-CN"/>
        </w:rPr>
        <w:t>台州瑞腾工程管理有限公司</w:t>
      </w:r>
      <w:r>
        <w:rPr>
          <w:rFonts w:hint="eastAsia" w:hAnsi="宋体" w:cs="宋体"/>
          <w:b/>
          <w:bCs/>
          <w:color w:val="auto"/>
          <w:sz w:val="24"/>
          <w:highlight w:val="none"/>
          <w:u w:val="single"/>
        </w:rPr>
        <w:t>：</w:t>
      </w:r>
    </w:p>
    <w:p>
      <w:pPr>
        <w:pStyle w:val="2"/>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我方参与的</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 xml:space="preserve">2024年省级挂牌治理道路交通事故多发点段（S322临石线K71+600永安路口）整治工程 </w:t>
      </w:r>
      <w:r>
        <w:rPr>
          <w:rFonts w:hint="eastAsia" w:hAnsi="宋体" w:cs="宋体"/>
          <w:color w:val="auto"/>
          <w:sz w:val="24"/>
          <w:highlight w:val="none"/>
          <w:u w:val="single"/>
          <w:lang w:val="en-US" w:eastAsia="zh-CN"/>
        </w:rPr>
        <w:t xml:space="preserve"> </w:t>
      </w:r>
      <w:r>
        <w:rPr>
          <w:rFonts w:hint="eastAsia" w:hAnsi="宋体" w:eastAsia="宋体" w:cs="宋体"/>
          <w:color w:val="auto"/>
          <w:sz w:val="24"/>
          <w:highlight w:val="none"/>
          <w:u w:val="single"/>
          <w:lang w:eastAsia="zh-CN"/>
        </w:rPr>
        <w:t>TZRT(采购）-24009</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 xml:space="preserve"> 的</w:t>
      </w:r>
      <w:r>
        <w:rPr>
          <w:rFonts w:hint="eastAsia" w:hAnsi="宋体" w:cs="宋体"/>
          <w:color w:val="auto"/>
          <w:sz w:val="24"/>
          <w:highlight w:val="none"/>
          <w:lang w:eastAsia="zh-CN"/>
        </w:rPr>
        <w:t>投标</w:t>
      </w:r>
      <w:r>
        <w:rPr>
          <w:rFonts w:hint="eastAsia" w:hAnsi="宋体" w:cs="宋体"/>
          <w:color w:val="auto"/>
          <w:sz w:val="24"/>
          <w:highlight w:val="none"/>
        </w:rPr>
        <w:t>活动，现郑重承诺：</w:t>
      </w:r>
    </w:p>
    <w:p>
      <w:pPr>
        <w:pStyle w:val="2"/>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我公司已依法缴纳税收及社会保障资金，符合参与政府采购活动的资格条件，不存在税收缴纳、社会保障等方面的失信记录。</w:t>
      </w:r>
    </w:p>
    <w:p>
      <w:pPr>
        <w:pStyle w:val="6"/>
        <w:spacing w:line="360" w:lineRule="auto"/>
        <w:ind w:firstLine="480" w:firstLineChars="200"/>
        <w:jc w:val="both"/>
        <w:rPr>
          <w:rFonts w:hint="eastAsia" w:hAnsi="宋体" w:eastAsia="宋体" w:cs="宋体"/>
          <w:color w:val="auto"/>
          <w:sz w:val="24"/>
          <w:highlight w:val="none"/>
          <w:lang w:eastAsia="zh-CN"/>
        </w:rPr>
      </w:pPr>
      <w:r>
        <w:rPr>
          <w:rFonts w:hint="eastAsia" w:hAnsi="宋体" w:cs="宋体"/>
          <w:color w:val="auto"/>
          <w:sz w:val="24"/>
          <w:highlight w:val="none"/>
        </w:rPr>
        <w:t>如本公司对以上条款提供虚假承诺，愿承担一切法律责任</w:t>
      </w:r>
      <w:r>
        <w:rPr>
          <w:rFonts w:hint="eastAsia" w:hAnsi="宋体" w:cs="宋体"/>
          <w:color w:val="auto"/>
          <w:sz w:val="24"/>
          <w:highlight w:val="none"/>
          <w:lang w:eastAsia="zh-CN"/>
        </w:rPr>
        <w:t>。</w:t>
      </w:r>
    </w:p>
    <w:p>
      <w:pPr>
        <w:pStyle w:val="6"/>
        <w:spacing w:line="360" w:lineRule="auto"/>
        <w:ind w:firstLine="0"/>
        <w:jc w:val="center"/>
        <w:rPr>
          <w:rFonts w:hint="eastAsia" w:hAnsi="宋体" w:cs="宋体"/>
          <w:color w:val="auto"/>
          <w:sz w:val="24"/>
          <w:highlight w:val="none"/>
        </w:rPr>
      </w:pPr>
    </w:p>
    <w:p>
      <w:pPr>
        <w:spacing w:line="380" w:lineRule="exact"/>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lang w:eastAsia="zh-CN"/>
        </w:rPr>
        <w:t>磋商</w:t>
      </w:r>
      <w:r>
        <w:rPr>
          <w:rFonts w:hint="eastAsia" w:ascii="宋体"/>
          <w:color w:val="auto"/>
          <w:sz w:val="24"/>
          <w:highlight w:val="none"/>
        </w:rPr>
        <w:t>供应商</w:t>
      </w:r>
      <w:r>
        <w:rPr>
          <w:rFonts w:hint="eastAsia" w:ascii="宋体" w:hAnsi="宋体" w:cs="宋体"/>
          <w:color w:val="auto"/>
          <w:sz w:val="24"/>
          <w:highlight w:val="none"/>
        </w:rPr>
        <w:t xml:space="preserve"> (盖单位章)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spacing w:line="380" w:lineRule="exact"/>
        <w:ind w:firstLine="2640" w:firstLineChars="1100"/>
        <w:jc w:val="left"/>
        <w:rPr>
          <w:rFonts w:hint="eastAsia" w:ascii="宋体" w:hAnsi="宋体" w:cs="宋体"/>
          <w:color w:val="auto"/>
          <w:sz w:val="24"/>
          <w:highlight w:val="none"/>
        </w:rPr>
      </w:pPr>
    </w:p>
    <w:p>
      <w:pPr>
        <w:spacing w:line="380" w:lineRule="exact"/>
        <w:jc w:val="left"/>
        <w:rPr>
          <w:rFonts w:hint="eastAsia" w:ascii="宋体" w:hAnsi="宋体" w:cs="宋体"/>
          <w:color w:val="auto"/>
          <w:highlight w:val="none"/>
        </w:rPr>
      </w:pPr>
      <w:r>
        <w:rPr>
          <w:rFonts w:hint="eastAsia" w:ascii="宋体" w:hAnsi="宋体" w:cs="宋体"/>
          <w:color w:val="auto"/>
          <w:highlight w:val="none"/>
        </w:rPr>
        <w:t xml:space="preserve">                          </w:t>
      </w:r>
    </w:p>
    <w:p>
      <w:pPr>
        <w:pStyle w:val="6"/>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pStyle w:val="6"/>
        <w:spacing w:line="360" w:lineRule="auto"/>
        <w:ind w:firstLine="0"/>
        <w:jc w:val="center"/>
        <w:rPr>
          <w:rFonts w:hint="eastAsia" w:ascii="宋体" w:hAnsi="宋体" w:eastAsia="宋体" w:cs="宋体"/>
          <w:color w:val="auto"/>
          <w:sz w:val="24"/>
          <w:szCs w:val="24"/>
          <w:highlight w:val="none"/>
        </w:rPr>
      </w:pPr>
    </w:p>
    <w:p>
      <w:pPr>
        <w:pStyle w:val="6"/>
        <w:spacing w:line="360" w:lineRule="auto"/>
        <w:ind w:firstLine="0"/>
        <w:jc w:val="center"/>
        <w:rPr>
          <w:rFonts w:hint="eastAsia" w:ascii="宋体" w:hAnsi="宋体" w:eastAsia="宋体" w:cs="宋体"/>
          <w:color w:val="auto"/>
          <w:sz w:val="24"/>
          <w:szCs w:val="24"/>
          <w:highlight w:val="none"/>
        </w:rPr>
      </w:pPr>
    </w:p>
    <w:p>
      <w:pPr>
        <w:pStyle w:val="6"/>
        <w:spacing w:line="360" w:lineRule="auto"/>
        <w:ind w:firstLine="0"/>
        <w:jc w:val="center"/>
        <w:rPr>
          <w:rFonts w:hint="eastAsia" w:ascii="宋体" w:hAnsi="宋体" w:eastAsia="宋体" w:cs="宋体"/>
          <w:color w:val="auto"/>
          <w:sz w:val="24"/>
          <w:szCs w:val="24"/>
          <w:highlight w:val="none"/>
        </w:rPr>
      </w:pPr>
    </w:p>
    <w:p>
      <w:pPr>
        <w:pStyle w:val="6"/>
        <w:spacing w:line="360" w:lineRule="auto"/>
        <w:ind w:firstLine="0"/>
        <w:jc w:val="center"/>
        <w:rPr>
          <w:rFonts w:hint="eastAsia" w:ascii="宋体" w:hAnsi="宋体" w:eastAsia="宋体" w:cs="宋体"/>
          <w:color w:val="auto"/>
          <w:sz w:val="24"/>
          <w:szCs w:val="24"/>
          <w:highlight w:val="none"/>
        </w:rPr>
      </w:pPr>
    </w:p>
    <w:p>
      <w:pPr>
        <w:pStyle w:val="6"/>
        <w:spacing w:line="360" w:lineRule="auto"/>
        <w:ind w:firstLine="0"/>
        <w:jc w:val="center"/>
        <w:rPr>
          <w:rFonts w:hint="eastAsia" w:ascii="宋体" w:hAnsi="宋体" w:eastAsia="宋体" w:cs="宋体"/>
          <w:color w:val="auto"/>
          <w:sz w:val="24"/>
          <w:szCs w:val="24"/>
          <w:highlight w:val="none"/>
        </w:rPr>
      </w:pPr>
    </w:p>
    <w:p>
      <w:pPr>
        <w:pStyle w:val="6"/>
        <w:spacing w:line="360" w:lineRule="auto"/>
        <w:ind w:firstLine="0"/>
        <w:jc w:val="center"/>
        <w:rPr>
          <w:rFonts w:hint="eastAsia" w:ascii="宋体" w:hAnsi="宋体" w:eastAsia="宋体" w:cs="宋体"/>
          <w:color w:val="auto"/>
          <w:sz w:val="24"/>
          <w:szCs w:val="24"/>
          <w:highlight w:val="none"/>
        </w:rPr>
      </w:pPr>
    </w:p>
    <w:p>
      <w:pPr>
        <w:pStyle w:val="6"/>
        <w:spacing w:line="360" w:lineRule="auto"/>
        <w:ind w:firstLine="0"/>
        <w:jc w:val="center"/>
        <w:rPr>
          <w:rFonts w:hint="eastAsia" w:ascii="宋体" w:hAnsi="宋体" w:eastAsia="宋体" w:cs="宋体"/>
          <w:color w:val="auto"/>
          <w:sz w:val="24"/>
          <w:szCs w:val="24"/>
          <w:highlight w:val="none"/>
        </w:rPr>
      </w:pPr>
    </w:p>
    <w:p>
      <w:pPr>
        <w:pStyle w:val="6"/>
        <w:spacing w:line="360" w:lineRule="auto"/>
        <w:ind w:firstLine="0"/>
        <w:jc w:val="center"/>
        <w:rPr>
          <w:rFonts w:hint="eastAsia" w:ascii="宋体" w:hAnsi="宋体" w:eastAsia="宋体" w:cs="宋体"/>
          <w:color w:val="auto"/>
          <w:sz w:val="24"/>
          <w:szCs w:val="24"/>
          <w:highlight w:val="none"/>
        </w:rPr>
      </w:pPr>
    </w:p>
    <w:p>
      <w:pPr>
        <w:pStyle w:val="6"/>
        <w:spacing w:line="360" w:lineRule="auto"/>
        <w:ind w:firstLine="0"/>
        <w:jc w:val="center"/>
        <w:rPr>
          <w:rFonts w:hint="eastAsia" w:ascii="宋体" w:hAnsi="宋体" w:eastAsia="宋体" w:cs="宋体"/>
          <w:color w:val="auto"/>
          <w:sz w:val="24"/>
          <w:szCs w:val="24"/>
          <w:highlight w:val="none"/>
        </w:rPr>
      </w:pPr>
    </w:p>
    <w:p>
      <w:pPr>
        <w:pStyle w:val="6"/>
        <w:spacing w:line="360" w:lineRule="auto"/>
        <w:ind w:firstLine="0"/>
        <w:jc w:val="center"/>
        <w:rPr>
          <w:rFonts w:hint="eastAsia" w:ascii="宋体" w:hAnsi="宋体" w:eastAsia="宋体" w:cs="宋体"/>
          <w:color w:val="auto"/>
          <w:sz w:val="24"/>
          <w:szCs w:val="24"/>
          <w:highlight w:val="none"/>
        </w:rPr>
      </w:pPr>
    </w:p>
    <w:p>
      <w:pPr>
        <w:pStyle w:val="6"/>
        <w:spacing w:line="360" w:lineRule="auto"/>
        <w:ind w:firstLine="0"/>
        <w:jc w:val="center"/>
        <w:rPr>
          <w:rFonts w:hint="eastAsia" w:ascii="宋体" w:hAnsi="宋体" w:eastAsia="宋体" w:cs="宋体"/>
          <w:color w:val="auto"/>
          <w:sz w:val="24"/>
          <w:szCs w:val="24"/>
          <w:highlight w:val="none"/>
        </w:rPr>
      </w:pPr>
    </w:p>
    <w:p>
      <w:pPr>
        <w:pStyle w:val="6"/>
        <w:spacing w:line="360" w:lineRule="auto"/>
        <w:ind w:firstLine="0"/>
        <w:jc w:val="center"/>
        <w:rPr>
          <w:rFonts w:hint="eastAsia" w:ascii="宋体" w:hAnsi="宋体" w:eastAsia="宋体" w:cs="宋体"/>
          <w:color w:val="auto"/>
          <w:sz w:val="24"/>
          <w:szCs w:val="24"/>
          <w:highlight w:val="none"/>
        </w:rPr>
      </w:pPr>
    </w:p>
    <w:p>
      <w:pPr>
        <w:pStyle w:val="6"/>
        <w:spacing w:line="360" w:lineRule="auto"/>
        <w:ind w:firstLine="0"/>
        <w:jc w:val="center"/>
        <w:rPr>
          <w:rFonts w:hint="eastAsia" w:ascii="宋体" w:hAnsi="宋体" w:eastAsia="宋体" w:cs="宋体"/>
          <w:color w:val="auto"/>
          <w:sz w:val="24"/>
          <w:szCs w:val="24"/>
          <w:highlight w:val="none"/>
        </w:rPr>
      </w:pPr>
    </w:p>
    <w:p>
      <w:pPr>
        <w:pStyle w:val="6"/>
        <w:spacing w:line="360" w:lineRule="auto"/>
        <w:ind w:firstLine="0"/>
        <w:jc w:val="center"/>
        <w:rPr>
          <w:rFonts w:hint="eastAsia" w:ascii="宋体" w:hAnsi="宋体" w:eastAsia="宋体" w:cs="宋体"/>
          <w:color w:val="auto"/>
          <w:sz w:val="24"/>
          <w:szCs w:val="24"/>
          <w:highlight w:val="none"/>
        </w:rPr>
      </w:pPr>
    </w:p>
    <w:p>
      <w:pPr>
        <w:pStyle w:val="6"/>
        <w:spacing w:line="360" w:lineRule="auto"/>
        <w:ind w:firstLine="0"/>
        <w:jc w:val="center"/>
        <w:rPr>
          <w:rFonts w:hint="eastAsia" w:ascii="宋体" w:hAnsi="宋体" w:eastAsia="宋体" w:cs="宋体"/>
          <w:color w:val="auto"/>
          <w:sz w:val="24"/>
          <w:szCs w:val="24"/>
          <w:highlight w:val="none"/>
        </w:rPr>
      </w:pPr>
    </w:p>
    <w:p>
      <w:pPr>
        <w:pStyle w:val="6"/>
        <w:spacing w:line="360" w:lineRule="auto"/>
        <w:ind w:firstLine="0"/>
        <w:jc w:val="both"/>
        <w:rPr>
          <w:rFonts w:hint="eastAsia" w:ascii="宋体" w:hAnsi="宋体" w:eastAsia="宋体" w:cs="宋体"/>
          <w:color w:val="auto"/>
          <w:sz w:val="24"/>
          <w:szCs w:val="24"/>
          <w:highlight w:val="none"/>
        </w:rPr>
      </w:pPr>
    </w:p>
    <w:p>
      <w:pPr>
        <w:pStyle w:val="6"/>
        <w:spacing w:line="360" w:lineRule="auto"/>
        <w:ind w:firstLine="0"/>
        <w:jc w:val="left"/>
        <w:rPr>
          <w:rFonts w:hint="eastAsia" w:ascii="宋体" w:hAnsi="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 xml:space="preserve">附件四：          </w:t>
      </w:r>
    </w:p>
    <w:p>
      <w:pPr>
        <w:pStyle w:val="6"/>
        <w:spacing w:line="360" w:lineRule="auto"/>
        <w:ind w:firstLine="0"/>
        <w:jc w:val="center"/>
        <w:rPr>
          <w:rFonts w:hint="eastAsia" w:ascii="仿宋_GB2312" w:hAnsi="宋体" w:eastAsia="仿宋_GB2312"/>
          <w:b/>
          <w:color w:val="auto"/>
          <w:sz w:val="32"/>
          <w:szCs w:val="32"/>
          <w:highlight w:val="none"/>
        </w:rPr>
      </w:pPr>
      <w:r>
        <w:rPr>
          <w:rFonts w:hint="eastAsia" w:ascii="宋体" w:hAnsi="宋体" w:cs="宋体"/>
          <w:b/>
          <w:color w:val="auto"/>
          <w:kern w:val="2"/>
          <w:sz w:val="24"/>
          <w:szCs w:val="24"/>
          <w:highlight w:val="none"/>
          <w:lang w:val="en-US" w:eastAsia="zh-CN" w:bidi="ar-SA"/>
        </w:rPr>
        <w:t>具有良好的商业信誉和健全的财务会计制度的承诺函</w:t>
      </w:r>
    </w:p>
    <w:p>
      <w:pPr>
        <w:pStyle w:val="2"/>
        <w:spacing w:before="60" w:after="60" w:line="500" w:lineRule="exact"/>
        <w:rPr>
          <w:rFonts w:hint="eastAsia" w:hAnsi="宋体" w:cs="宋体"/>
          <w:b/>
          <w:bCs/>
          <w:color w:val="auto"/>
          <w:sz w:val="24"/>
          <w:highlight w:val="none"/>
          <w:u w:val="single"/>
        </w:rPr>
      </w:pPr>
      <w:r>
        <w:rPr>
          <w:rFonts w:hint="eastAsia" w:ascii="宋体" w:hAnsi="宋体" w:eastAsia="宋体" w:cs="宋体"/>
          <w:sz w:val="24"/>
          <w:u w:val="single"/>
        </w:rPr>
        <w:t>仙居县交通运输局</w:t>
      </w:r>
      <w:r>
        <w:rPr>
          <w:rFonts w:hint="eastAsia" w:ascii="宋体" w:hAnsi="宋体" w:eastAsia="宋体" w:cs="宋体"/>
          <w:sz w:val="24"/>
          <w:u w:val="single"/>
          <w:lang w:eastAsia="zh-CN"/>
        </w:rPr>
        <w:t>、</w:t>
      </w:r>
      <w:r>
        <w:rPr>
          <w:rFonts w:hint="eastAsia" w:ascii="宋体" w:hAnsi="宋体" w:eastAsia="宋体"/>
          <w:bCs/>
          <w:sz w:val="24"/>
          <w:u w:val="single"/>
          <w:lang w:eastAsia="zh-CN"/>
        </w:rPr>
        <w:t>台州瑞腾工程管理有限公司</w:t>
      </w:r>
      <w:r>
        <w:rPr>
          <w:rFonts w:hint="eastAsia" w:hAnsi="宋体" w:cs="宋体"/>
          <w:b/>
          <w:bCs/>
          <w:color w:val="auto"/>
          <w:sz w:val="24"/>
          <w:highlight w:val="none"/>
          <w:u w:val="single"/>
        </w:rPr>
        <w:t>：</w:t>
      </w:r>
    </w:p>
    <w:p>
      <w:pPr>
        <w:pStyle w:val="2"/>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我方参与的</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 xml:space="preserve">2024年省级挂牌治理道路交通事故多发点段（S322临石线K71+600永安路口）整治工程 </w:t>
      </w:r>
      <w:r>
        <w:rPr>
          <w:rFonts w:hint="eastAsia" w:hAnsi="宋体" w:cs="宋体"/>
          <w:color w:val="auto"/>
          <w:sz w:val="24"/>
          <w:highlight w:val="none"/>
          <w:u w:val="single"/>
          <w:lang w:val="en-US" w:eastAsia="zh-CN"/>
        </w:rPr>
        <w:t xml:space="preserve"> </w:t>
      </w:r>
      <w:r>
        <w:rPr>
          <w:rFonts w:hint="eastAsia" w:hAnsi="宋体" w:eastAsia="宋体" w:cs="宋体"/>
          <w:color w:val="auto"/>
          <w:sz w:val="24"/>
          <w:highlight w:val="none"/>
          <w:u w:val="single"/>
          <w:lang w:eastAsia="zh-CN"/>
        </w:rPr>
        <w:t>TZRT(采购）-24009</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 xml:space="preserve"> 的</w:t>
      </w:r>
      <w:r>
        <w:rPr>
          <w:rFonts w:hint="eastAsia" w:hAnsi="宋体" w:cs="宋体"/>
          <w:color w:val="auto"/>
          <w:sz w:val="24"/>
          <w:highlight w:val="none"/>
          <w:lang w:eastAsia="zh-CN"/>
        </w:rPr>
        <w:t>投标</w:t>
      </w:r>
      <w:r>
        <w:rPr>
          <w:rFonts w:hint="eastAsia" w:hAnsi="宋体" w:cs="宋体"/>
          <w:color w:val="auto"/>
          <w:sz w:val="24"/>
          <w:highlight w:val="none"/>
        </w:rPr>
        <w:t>活动，现承诺我公司在参加本项目政府采购活动前，没有处于被责令停产、财产被接管、冻结或破产状态，具有足够的流动资金，有能力履行合同；我公司具有良好的商业信誉和健全的财务会计制度。</w:t>
      </w:r>
    </w:p>
    <w:p>
      <w:pPr>
        <w:pStyle w:val="2"/>
        <w:spacing w:before="60" w:after="60" w:line="500" w:lineRule="exact"/>
        <w:ind w:firstLine="480" w:firstLineChars="200"/>
        <w:rPr>
          <w:rFonts w:hint="eastAsia" w:hAnsi="宋体" w:cs="宋体"/>
          <w:color w:val="auto"/>
          <w:sz w:val="24"/>
          <w:highlight w:val="none"/>
        </w:rPr>
      </w:pPr>
    </w:p>
    <w:p>
      <w:pPr>
        <w:pStyle w:val="2"/>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如本公司对以上条款提供虚假承诺，愿承担一切法律责任。</w:t>
      </w:r>
    </w:p>
    <w:p>
      <w:pPr>
        <w:pStyle w:val="2"/>
        <w:spacing w:before="60" w:after="60" w:line="500" w:lineRule="exact"/>
        <w:ind w:firstLine="480" w:firstLineChars="200"/>
        <w:rPr>
          <w:rFonts w:hint="eastAsia" w:hAnsi="宋体" w:cs="宋体"/>
          <w:color w:val="auto"/>
          <w:sz w:val="24"/>
          <w:highlight w:val="none"/>
        </w:rPr>
      </w:pPr>
    </w:p>
    <w:p>
      <w:pPr>
        <w:pStyle w:val="11"/>
        <w:rPr>
          <w:rFonts w:hint="eastAsia" w:hAnsi="宋体" w:cs="宋体"/>
          <w:color w:val="auto"/>
          <w:sz w:val="24"/>
          <w:highlight w:val="none"/>
        </w:rPr>
      </w:pPr>
    </w:p>
    <w:p>
      <w:pPr>
        <w:rPr>
          <w:rFonts w:hint="eastAsia"/>
          <w:color w:val="auto"/>
          <w:highlight w:val="none"/>
        </w:rPr>
      </w:pPr>
    </w:p>
    <w:p>
      <w:pPr>
        <w:pStyle w:val="2"/>
        <w:adjustRightInd w:val="0"/>
        <w:snapToGrid w:val="0"/>
        <w:spacing w:before="120" w:after="120"/>
        <w:jc w:val="center"/>
        <w:rPr>
          <w:rFonts w:hint="eastAsia" w:ascii="宋体" w:hAnsi="宋体" w:cs="宋体"/>
          <w:color w:val="auto"/>
          <w:sz w:val="23"/>
          <w:szCs w:val="23"/>
          <w:highlight w:val="none"/>
          <w:lang w:val="en-US" w:eastAsia="zh-CN"/>
        </w:rPr>
      </w:pPr>
      <w:r>
        <w:rPr>
          <w:rFonts w:hint="eastAsia" w:ascii="宋体" w:hAnsi="宋体" w:cs="宋体"/>
          <w:color w:val="auto"/>
          <w:sz w:val="23"/>
          <w:szCs w:val="23"/>
          <w:highlight w:val="none"/>
        </w:rPr>
        <w:t xml:space="preserve"> </w:t>
      </w:r>
      <w:r>
        <w:rPr>
          <w:rFonts w:hint="eastAsia" w:ascii="宋体" w:hAnsi="宋体" w:cs="宋体"/>
          <w:color w:val="auto"/>
          <w:sz w:val="23"/>
          <w:szCs w:val="23"/>
          <w:highlight w:val="none"/>
          <w:lang w:val="en-US" w:eastAsia="zh-CN"/>
        </w:rPr>
        <w:t xml:space="preserve">                                   磋商供应商（盖单位章）：</w:t>
      </w:r>
    </w:p>
    <w:p>
      <w:pPr>
        <w:pStyle w:val="6"/>
        <w:spacing w:line="360" w:lineRule="auto"/>
        <w:ind w:firstLine="0"/>
        <w:jc w:val="center"/>
        <w:rPr>
          <w:rFonts w:hint="eastAsia" w:ascii="宋体" w:hAnsi="宋体" w:cs="宋体"/>
          <w:color w:val="auto"/>
          <w:sz w:val="23"/>
          <w:szCs w:val="23"/>
          <w:highlight w:val="none"/>
          <w:lang w:val="en-US" w:eastAsia="zh-CN"/>
        </w:rPr>
      </w:pPr>
      <w:r>
        <w:rPr>
          <w:rFonts w:hint="eastAsia" w:ascii="宋体" w:hAnsi="宋体" w:cs="宋体"/>
          <w:color w:val="auto"/>
          <w:sz w:val="23"/>
          <w:szCs w:val="23"/>
          <w:highlight w:val="none"/>
          <w:lang w:val="en-US" w:eastAsia="zh-CN"/>
        </w:rPr>
        <w:t xml:space="preserve">                                              日  期：        年    月    日</w:t>
      </w:r>
    </w:p>
    <w:p>
      <w:pPr>
        <w:pStyle w:val="6"/>
        <w:spacing w:line="360" w:lineRule="auto"/>
        <w:ind w:firstLine="0"/>
        <w:jc w:val="center"/>
        <w:rPr>
          <w:rFonts w:hint="eastAsia" w:ascii="宋体" w:hAnsi="宋体" w:cs="宋体"/>
          <w:color w:val="auto"/>
          <w:sz w:val="23"/>
          <w:szCs w:val="23"/>
          <w:highlight w:val="none"/>
          <w:lang w:val="en-US" w:eastAsia="zh-CN"/>
        </w:rPr>
      </w:pPr>
    </w:p>
    <w:p>
      <w:pPr>
        <w:pStyle w:val="6"/>
        <w:spacing w:line="360" w:lineRule="auto"/>
        <w:ind w:firstLine="0"/>
        <w:jc w:val="center"/>
        <w:rPr>
          <w:rFonts w:hint="eastAsia" w:ascii="宋体" w:hAnsi="宋体" w:cs="宋体"/>
          <w:color w:val="auto"/>
          <w:sz w:val="23"/>
          <w:szCs w:val="23"/>
          <w:highlight w:val="none"/>
          <w:lang w:val="en-US" w:eastAsia="zh-CN"/>
        </w:rPr>
      </w:pPr>
    </w:p>
    <w:p>
      <w:pPr>
        <w:pStyle w:val="6"/>
        <w:spacing w:line="360" w:lineRule="auto"/>
        <w:ind w:firstLine="0"/>
        <w:jc w:val="center"/>
        <w:rPr>
          <w:rFonts w:hint="eastAsia" w:ascii="宋体" w:hAnsi="宋体" w:cs="宋体"/>
          <w:color w:val="auto"/>
          <w:sz w:val="23"/>
          <w:szCs w:val="23"/>
          <w:highlight w:val="none"/>
          <w:lang w:val="en-US" w:eastAsia="zh-CN"/>
        </w:rPr>
      </w:pPr>
    </w:p>
    <w:p>
      <w:pPr>
        <w:pStyle w:val="6"/>
        <w:spacing w:line="360" w:lineRule="auto"/>
        <w:ind w:firstLine="0"/>
        <w:jc w:val="center"/>
        <w:rPr>
          <w:rFonts w:hint="eastAsia" w:ascii="宋体" w:hAnsi="宋体" w:cs="宋体"/>
          <w:color w:val="auto"/>
          <w:sz w:val="23"/>
          <w:szCs w:val="23"/>
          <w:highlight w:val="none"/>
          <w:lang w:val="en-US" w:eastAsia="zh-CN"/>
        </w:rPr>
      </w:pPr>
    </w:p>
    <w:p>
      <w:pPr>
        <w:pStyle w:val="6"/>
        <w:spacing w:line="360" w:lineRule="auto"/>
        <w:ind w:firstLine="0"/>
        <w:jc w:val="center"/>
        <w:rPr>
          <w:rFonts w:hint="eastAsia" w:ascii="宋体" w:hAnsi="宋体" w:cs="宋体"/>
          <w:color w:val="auto"/>
          <w:sz w:val="23"/>
          <w:szCs w:val="23"/>
          <w:highlight w:val="none"/>
          <w:lang w:val="en-US" w:eastAsia="zh-CN"/>
        </w:rPr>
      </w:pPr>
    </w:p>
    <w:p>
      <w:pPr>
        <w:pStyle w:val="6"/>
        <w:spacing w:line="360" w:lineRule="auto"/>
        <w:ind w:firstLine="0"/>
        <w:jc w:val="center"/>
        <w:rPr>
          <w:rFonts w:hint="eastAsia" w:ascii="宋体" w:hAnsi="宋体" w:cs="宋体"/>
          <w:color w:val="auto"/>
          <w:sz w:val="23"/>
          <w:szCs w:val="23"/>
          <w:highlight w:val="none"/>
          <w:lang w:val="en-US" w:eastAsia="zh-CN"/>
        </w:rPr>
      </w:pPr>
    </w:p>
    <w:p>
      <w:pPr>
        <w:pStyle w:val="6"/>
        <w:spacing w:line="360" w:lineRule="auto"/>
        <w:ind w:firstLine="0"/>
        <w:jc w:val="center"/>
        <w:rPr>
          <w:rFonts w:hint="eastAsia" w:ascii="宋体" w:hAnsi="宋体" w:cs="宋体"/>
          <w:color w:val="auto"/>
          <w:sz w:val="23"/>
          <w:szCs w:val="23"/>
          <w:highlight w:val="none"/>
          <w:lang w:val="en-US" w:eastAsia="zh-CN"/>
        </w:rPr>
      </w:pPr>
    </w:p>
    <w:p>
      <w:pPr>
        <w:pStyle w:val="6"/>
        <w:spacing w:line="360" w:lineRule="auto"/>
        <w:ind w:firstLine="0"/>
        <w:jc w:val="center"/>
        <w:rPr>
          <w:rFonts w:hint="eastAsia" w:ascii="宋体" w:hAnsi="宋体" w:cs="宋体"/>
          <w:color w:val="auto"/>
          <w:sz w:val="23"/>
          <w:szCs w:val="23"/>
          <w:highlight w:val="none"/>
          <w:lang w:val="en-US" w:eastAsia="zh-CN"/>
        </w:rPr>
      </w:pPr>
    </w:p>
    <w:p>
      <w:pPr>
        <w:pStyle w:val="6"/>
        <w:spacing w:line="360" w:lineRule="auto"/>
        <w:ind w:firstLine="0"/>
        <w:jc w:val="center"/>
        <w:rPr>
          <w:rFonts w:hint="eastAsia" w:ascii="宋体" w:hAnsi="宋体" w:cs="宋体"/>
          <w:color w:val="auto"/>
          <w:sz w:val="23"/>
          <w:szCs w:val="23"/>
          <w:highlight w:val="none"/>
          <w:lang w:val="en-US" w:eastAsia="zh-CN"/>
        </w:rPr>
      </w:pPr>
    </w:p>
    <w:p>
      <w:pPr>
        <w:pStyle w:val="6"/>
        <w:spacing w:line="360" w:lineRule="auto"/>
        <w:ind w:firstLine="0"/>
        <w:jc w:val="center"/>
        <w:rPr>
          <w:rFonts w:hint="eastAsia" w:ascii="宋体" w:hAnsi="宋体" w:cs="宋体"/>
          <w:color w:val="auto"/>
          <w:sz w:val="23"/>
          <w:szCs w:val="23"/>
          <w:highlight w:val="none"/>
          <w:lang w:val="en-US" w:eastAsia="zh-CN"/>
        </w:rPr>
      </w:pPr>
    </w:p>
    <w:p>
      <w:pPr>
        <w:pStyle w:val="6"/>
        <w:spacing w:line="360" w:lineRule="auto"/>
        <w:ind w:firstLine="0"/>
        <w:jc w:val="center"/>
        <w:rPr>
          <w:rFonts w:hint="eastAsia" w:ascii="宋体" w:hAnsi="宋体" w:cs="宋体"/>
          <w:color w:val="auto"/>
          <w:sz w:val="23"/>
          <w:szCs w:val="23"/>
          <w:highlight w:val="none"/>
          <w:lang w:val="en-US" w:eastAsia="zh-CN"/>
        </w:rPr>
      </w:pPr>
    </w:p>
    <w:p>
      <w:pPr>
        <w:pStyle w:val="6"/>
        <w:spacing w:line="360" w:lineRule="auto"/>
        <w:ind w:firstLine="0"/>
        <w:jc w:val="center"/>
        <w:rPr>
          <w:rFonts w:hint="eastAsia" w:ascii="宋体" w:hAnsi="宋体" w:cs="宋体"/>
          <w:color w:val="auto"/>
          <w:sz w:val="23"/>
          <w:szCs w:val="23"/>
          <w:highlight w:val="none"/>
          <w:lang w:val="en-US" w:eastAsia="zh-CN"/>
        </w:rPr>
      </w:pPr>
    </w:p>
    <w:p>
      <w:pPr>
        <w:pStyle w:val="6"/>
        <w:spacing w:line="360" w:lineRule="auto"/>
        <w:ind w:firstLine="0"/>
        <w:jc w:val="center"/>
        <w:rPr>
          <w:rFonts w:hint="eastAsia" w:ascii="宋体" w:hAnsi="宋体" w:cs="宋体"/>
          <w:color w:val="auto"/>
          <w:sz w:val="23"/>
          <w:szCs w:val="23"/>
          <w:highlight w:val="none"/>
          <w:lang w:val="en-US" w:eastAsia="zh-CN"/>
        </w:rPr>
      </w:pPr>
    </w:p>
    <w:p>
      <w:pPr>
        <w:pStyle w:val="6"/>
        <w:spacing w:line="360" w:lineRule="auto"/>
        <w:ind w:firstLine="0"/>
        <w:jc w:val="center"/>
        <w:rPr>
          <w:rFonts w:hint="eastAsia" w:ascii="宋体" w:hAnsi="宋体" w:cs="宋体"/>
          <w:color w:val="auto"/>
          <w:sz w:val="23"/>
          <w:szCs w:val="23"/>
          <w:highlight w:val="none"/>
          <w:lang w:val="en-US" w:eastAsia="zh-CN"/>
        </w:rPr>
      </w:pPr>
    </w:p>
    <w:p>
      <w:pPr>
        <w:pStyle w:val="6"/>
        <w:spacing w:line="360" w:lineRule="auto"/>
        <w:ind w:firstLine="0"/>
        <w:jc w:val="center"/>
        <w:rPr>
          <w:rFonts w:hint="eastAsia" w:ascii="宋体" w:hAnsi="宋体" w:cs="宋体"/>
          <w:color w:val="auto"/>
          <w:sz w:val="23"/>
          <w:szCs w:val="23"/>
          <w:highlight w:val="none"/>
          <w:lang w:val="en-US" w:eastAsia="zh-CN"/>
        </w:rPr>
      </w:pPr>
    </w:p>
    <w:p>
      <w:pPr>
        <w:pStyle w:val="6"/>
        <w:spacing w:line="360" w:lineRule="auto"/>
        <w:ind w:firstLine="0"/>
        <w:jc w:val="left"/>
        <w:rPr>
          <w:rFonts w:hint="eastAsia" w:ascii="宋体" w:hAnsi="宋体" w:cs="宋体"/>
          <w:color w:val="auto"/>
          <w:sz w:val="23"/>
          <w:szCs w:val="23"/>
          <w:highlight w:val="none"/>
          <w:lang w:val="en-US" w:eastAsia="zh-CN"/>
        </w:rPr>
      </w:pPr>
      <w:r>
        <w:rPr>
          <w:rFonts w:hint="eastAsia" w:ascii="宋体" w:hAnsi="宋体" w:cs="宋体"/>
          <w:b/>
          <w:color w:val="auto"/>
          <w:kern w:val="2"/>
          <w:sz w:val="24"/>
          <w:szCs w:val="24"/>
          <w:highlight w:val="none"/>
          <w:lang w:val="en-US" w:eastAsia="zh-CN" w:bidi="ar-SA"/>
        </w:rPr>
        <w:t>附件五：</w:t>
      </w:r>
    </w:p>
    <w:p>
      <w:pPr>
        <w:pStyle w:val="6"/>
        <w:spacing w:line="360" w:lineRule="auto"/>
        <w:ind w:firstLine="0"/>
        <w:jc w:val="center"/>
        <w:rPr>
          <w:rFonts w:hint="eastAsia" w:ascii="宋体" w:hAnsi="宋体" w:cs="宋体"/>
          <w:color w:val="auto"/>
          <w:sz w:val="23"/>
          <w:szCs w:val="23"/>
          <w:highlight w:val="none"/>
          <w:lang w:val="en-US" w:eastAsia="zh-CN"/>
        </w:rPr>
      </w:pPr>
    </w:p>
    <w:p>
      <w:pPr>
        <w:pStyle w:val="6"/>
        <w:spacing w:line="360" w:lineRule="auto"/>
        <w:ind w:firstLine="0"/>
        <w:jc w:val="center"/>
        <w:rPr>
          <w:rFonts w:hint="eastAsia" w:ascii="仿宋_GB2312" w:hAnsi="宋体" w:eastAsia="仿宋_GB2312"/>
          <w:b/>
          <w:color w:val="auto"/>
          <w:sz w:val="32"/>
          <w:szCs w:val="32"/>
          <w:highlight w:val="none"/>
        </w:rPr>
      </w:pPr>
      <w:r>
        <w:rPr>
          <w:rFonts w:hint="eastAsia" w:ascii="宋体" w:hAnsi="宋体" w:cs="宋体"/>
          <w:b/>
          <w:color w:val="auto"/>
          <w:kern w:val="2"/>
          <w:sz w:val="24"/>
          <w:szCs w:val="24"/>
          <w:highlight w:val="none"/>
          <w:lang w:val="en-US" w:eastAsia="zh-CN" w:bidi="ar-SA"/>
        </w:rPr>
        <w:t>具有履行合同所必需设备和专业技术能力的承诺函</w:t>
      </w:r>
    </w:p>
    <w:p>
      <w:pPr>
        <w:pStyle w:val="2"/>
        <w:spacing w:before="60" w:after="60" w:line="500" w:lineRule="exact"/>
        <w:rPr>
          <w:rFonts w:hint="eastAsia" w:hAnsi="宋体" w:cs="宋体"/>
          <w:b/>
          <w:bCs/>
          <w:color w:val="auto"/>
          <w:sz w:val="24"/>
          <w:highlight w:val="none"/>
          <w:u w:val="single"/>
        </w:rPr>
      </w:pPr>
      <w:r>
        <w:rPr>
          <w:rFonts w:hint="eastAsia" w:ascii="宋体" w:hAnsi="宋体" w:eastAsia="宋体" w:cs="宋体"/>
          <w:sz w:val="24"/>
          <w:u w:val="single"/>
        </w:rPr>
        <w:t>仙居县交通运输局</w:t>
      </w:r>
      <w:r>
        <w:rPr>
          <w:rFonts w:hint="eastAsia" w:ascii="宋体" w:hAnsi="宋体" w:eastAsia="宋体" w:cs="宋体"/>
          <w:sz w:val="24"/>
          <w:u w:val="single"/>
          <w:lang w:eastAsia="zh-CN"/>
        </w:rPr>
        <w:t>、</w:t>
      </w:r>
      <w:r>
        <w:rPr>
          <w:rFonts w:hint="eastAsia" w:ascii="宋体" w:hAnsi="宋体" w:eastAsia="宋体"/>
          <w:bCs/>
          <w:sz w:val="24"/>
          <w:u w:val="single"/>
          <w:lang w:eastAsia="zh-CN"/>
        </w:rPr>
        <w:t>台州瑞腾工程管理有限公司</w:t>
      </w:r>
      <w:r>
        <w:rPr>
          <w:rFonts w:hint="eastAsia" w:hAnsi="宋体" w:cs="宋体"/>
          <w:b/>
          <w:bCs/>
          <w:color w:val="auto"/>
          <w:sz w:val="24"/>
          <w:highlight w:val="none"/>
          <w:u w:val="single"/>
        </w:rPr>
        <w:t>：</w:t>
      </w:r>
    </w:p>
    <w:p>
      <w:pPr>
        <w:pStyle w:val="2"/>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我方参与的</w:t>
      </w:r>
      <w:r>
        <w:rPr>
          <w:rFonts w:hint="eastAsia" w:hAnsi="宋体" w:eastAsia="宋体" w:cs="宋体"/>
          <w:color w:val="auto"/>
          <w:sz w:val="24"/>
          <w:highlight w:val="none"/>
          <w:u w:val="single"/>
          <w:lang w:val="en-US" w:eastAsia="zh-CN"/>
        </w:rPr>
        <w:t xml:space="preserve"> </w:t>
      </w:r>
      <w:r>
        <w:rPr>
          <w:rFonts w:hint="eastAsia" w:hAnsi="宋体" w:cs="宋体"/>
          <w:color w:val="auto"/>
          <w:sz w:val="24"/>
          <w:highlight w:val="none"/>
          <w:u w:val="single"/>
          <w:lang w:eastAsia="zh-CN"/>
        </w:rPr>
        <w:t xml:space="preserve">2024年省级挂牌治理道路交通事故多发点段（S322临石线K71+600永安路口）整治工程 </w:t>
      </w:r>
      <w:r>
        <w:rPr>
          <w:rFonts w:hint="eastAsia" w:hAnsi="宋体" w:cs="宋体"/>
          <w:color w:val="auto"/>
          <w:sz w:val="24"/>
          <w:highlight w:val="none"/>
          <w:u w:val="single"/>
          <w:lang w:val="en-US" w:eastAsia="zh-CN"/>
        </w:rPr>
        <w:t xml:space="preserve"> </w:t>
      </w:r>
      <w:r>
        <w:rPr>
          <w:rFonts w:hint="eastAsia" w:hAnsi="宋体" w:eastAsia="宋体" w:cs="宋体"/>
          <w:color w:val="auto"/>
          <w:sz w:val="24"/>
          <w:highlight w:val="none"/>
          <w:u w:val="single"/>
          <w:lang w:eastAsia="zh-CN"/>
        </w:rPr>
        <w:t>TZRT(采购）-24009</w:t>
      </w:r>
      <w:r>
        <w:rPr>
          <w:rFonts w:hint="eastAsia" w:hAnsi="宋体" w:cs="宋体"/>
          <w:color w:val="auto"/>
          <w:sz w:val="24"/>
          <w:highlight w:val="none"/>
        </w:rPr>
        <w:t xml:space="preserve"> 的</w:t>
      </w:r>
      <w:r>
        <w:rPr>
          <w:rFonts w:hint="eastAsia" w:hAnsi="宋体" w:cs="宋体"/>
          <w:color w:val="auto"/>
          <w:sz w:val="24"/>
          <w:highlight w:val="none"/>
          <w:lang w:eastAsia="zh-CN"/>
        </w:rPr>
        <w:t>磋商</w:t>
      </w:r>
      <w:r>
        <w:rPr>
          <w:rFonts w:hint="eastAsia" w:hAnsi="宋体" w:cs="宋体"/>
          <w:color w:val="auto"/>
          <w:sz w:val="24"/>
          <w:highlight w:val="none"/>
        </w:rPr>
        <w:t>活动，我方郑重承诺，我方承诺具有履行合同所必需设备和专业技术能力。如有虚假，</w:t>
      </w:r>
      <w:r>
        <w:rPr>
          <w:rFonts w:hint="eastAsia" w:hAnsi="宋体" w:cs="宋体"/>
          <w:color w:val="auto"/>
          <w:sz w:val="24"/>
          <w:highlight w:val="none"/>
          <w:lang w:val="en-US" w:eastAsia="zh-CN"/>
        </w:rPr>
        <w:t>采购组织机构</w:t>
      </w:r>
      <w:r>
        <w:rPr>
          <w:rFonts w:hint="eastAsia" w:hAnsi="宋体" w:cs="宋体"/>
          <w:color w:val="auto"/>
          <w:sz w:val="24"/>
          <w:highlight w:val="none"/>
        </w:rPr>
        <w:t>可取消我方任何资格（</w:t>
      </w:r>
      <w:r>
        <w:rPr>
          <w:rFonts w:hint="eastAsia" w:hAnsi="宋体" w:cs="宋体"/>
          <w:color w:val="auto"/>
          <w:sz w:val="24"/>
          <w:highlight w:val="none"/>
          <w:lang w:eastAsia="zh-CN"/>
        </w:rPr>
        <w:t>磋商</w:t>
      </w:r>
      <w:r>
        <w:rPr>
          <w:rFonts w:hint="eastAsia" w:hAnsi="宋体" w:cs="宋体"/>
          <w:color w:val="auto"/>
          <w:sz w:val="24"/>
          <w:highlight w:val="none"/>
        </w:rPr>
        <w:t>/中标/签订合同），我方对此无任何异议。</w:t>
      </w:r>
    </w:p>
    <w:p>
      <w:pPr>
        <w:pStyle w:val="2"/>
        <w:spacing w:before="60" w:after="60" w:line="500" w:lineRule="exact"/>
        <w:ind w:firstLine="480" w:firstLineChars="200"/>
        <w:rPr>
          <w:rFonts w:hint="eastAsia" w:hAnsi="宋体" w:cs="宋体"/>
          <w:color w:val="auto"/>
          <w:sz w:val="24"/>
          <w:highlight w:val="none"/>
        </w:rPr>
      </w:pPr>
    </w:p>
    <w:p>
      <w:pPr>
        <w:pStyle w:val="2"/>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特此承诺！</w:t>
      </w:r>
    </w:p>
    <w:p>
      <w:pPr>
        <w:pStyle w:val="2"/>
        <w:spacing w:before="60" w:after="60" w:line="500" w:lineRule="exact"/>
        <w:ind w:firstLine="480" w:firstLineChars="200"/>
        <w:rPr>
          <w:rFonts w:hint="eastAsia" w:hAnsi="宋体" w:cs="宋体"/>
          <w:color w:val="auto"/>
          <w:sz w:val="24"/>
          <w:highlight w:val="none"/>
        </w:rPr>
      </w:pPr>
    </w:p>
    <w:p>
      <w:pPr>
        <w:keepNext w:val="0"/>
        <w:keepLines w:val="0"/>
        <w:pageBreakBefore w:val="0"/>
        <w:widowControl w:val="0"/>
        <w:kinsoku/>
        <w:wordWrap/>
        <w:overflowPunct/>
        <w:topLinePunct w:val="0"/>
        <w:autoSpaceDE/>
        <w:autoSpaceDN/>
        <w:bidi w:val="0"/>
        <w:spacing w:line="360" w:lineRule="auto"/>
        <w:ind w:firstLine="230" w:firstLineChars="100"/>
        <w:jc w:val="left"/>
        <w:textAlignment w:val="auto"/>
        <w:rPr>
          <w:rFonts w:hint="eastAsia" w:ascii="宋体" w:hAnsi="宋体" w:cs="宋体"/>
          <w:color w:val="auto"/>
          <w:sz w:val="24"/>
          <w:highlight w:val="none"/>
        </w:rPr>
      </w:pPr>
      <w:r>
        <w:rPr>
          <w:rFonts w:hint="eastAsia" w:ascii="宋体" w:hAnsi="宋体" w:cs="宋体"/>
          <w:color w:val="auto"/>
          <w:sz w:val="23"/>
          <w:szCs w:val="23"/>
          <w:highlight w:val="none"/>
        </w:rPr>
        <w:t xml:space="preserve"> </w:t>
      </w:r>
      <w:r>
        <w:rPr>
          <w:rFonts w:hint="eastAsia" w:ascii="宋体" w:hAnsi="宋体" w:cs="宋体"/>
          <w:color w:val="auto"/>
          <w:sz w:val="23"/>
          <w:szCs w:val="23"/>
          <w:highlight w:val="none"/>
          <w:lang w:val="en-US" w:eastAsia="zh-CN"/>
        </w:rPr>
        <w:t xml:space="preserve">                                     </w:t>
      </w:r>
      <w:r>
        <w:rPr>
          <w:rFonts w:hint="eastAsia" w:ascii="宋体" w:hAnsi="宋体" w:cs="宋体"/>
          <w:color w:val="auto"/>
          <w:sz w:val="24"/>
          <w:highlight w:val="none"/>
          <w:lang w:eastAsia="zh-CN"/>
        </w:rPr>
        <w:t>磋商供应商</w:t>
      </w:r>
      <w:r>
        <w:rPr>
          <w:rFonts w:hint="eastAsia" w:ascii="宋体" w:hAnsi="宋体" w:cs="宋体"/>
          <w:color w:val="auto"/>
          <w:sz w:val="24"/>
          <w:highlight w:val="none"/>
        </w:rPr>
        <w:t xml:space="preserve"> (盖单位章)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pStyle w:val="2"/>
        <w:adjustRightInd w:val="0"/>
        <w:snapToGrid w:val="0"/>
        <w:spacing w:before="120" w:after="120"/>
        <w:jc w:val="center"/>
        <w:rPr>
          <w:rFonts w:hint="eastAsia" w:ascii="宋体" w:hAnsi="宋体" w:cs="宋体"/>
          <w:color w:val="auto"/>
          <w:sz w:val="24"/>
          <w:highlight w:val="none"/>
        </w:rPr>
      </w:pPr>
      <w:r>
        <w:rPr>
          <w:rFonts w:hint="eastAsia" w:hAnsi="宋体" w:cs="宋体"/>
          <w:color w:val="auto"/>
          <w:sz w:val="24"/>
          <w:highlight w:val="none"/>
          <w:lang w:val="en-US" w:eastAsia="zh-CN"/>
        </w:rPr>
        <w:t xml:space="preserve">                               </w:t>
      </w:r>
      <w:r>
        <w:rPr>
          <w:rFonts w:hint="eastAsia" w:ascii="宋体" w:hAnsi="宋体" w:cs="宋体"/>
          <w:color w:val="auto"/>
          <w:sz w:val="24"/>
          <w:highlight w:val="none"/>
        </w:rPr>
        <w:t>日　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pStyle w:val="2"/>
        <w:spacing w:line="360" w:lineRule="auto"/>
        <w:outlineLvl w:val="1"/>
        <w:rPr>
          <w:rFonts w:hint="eastAsia" w:ascii="宋体" w:hAnsi="宋体" w:eastAsia="宋体" w:cs="宋体"/>
          <w:b/>
          <w:color w:val="auto"/>
          <w:sz w:val="21"/>
          <w:szCs w:val="21"/>
          <w:highlight w:val="none"/>
        </w:rPr>
      </w:pPr>
    </w:p>
    <w:p>
      <w:pPr>
        <w:pStyle w:val="2"/>
        <w:spacing w:line="360" w:lineRule="auto"/>
        <w:outlineLvl w:val="1"/>
        <w:rPr>
          <w:rFonts w:hint="eastAsia" w:ascii="宋体" w:hAnsi="宋体" w:eastAsia="宋体" w:cs="宋体"/>
          <w:b/>
          <w:color w:val="auto"/>
          <w:sz w:val="21"/>
          <w:szCs w:val="21"/>
          <w:highlight w:val="none"/>
        </w:rPr>
      </w:pPr>
    </w:p>
    <w:p>
      <w:pPr>
        <w:pStyle w:val="2"/>
        <w:spacing w:line="360" w:lineRule="auto"/>
        <w:outlineLvl w:val="1"/>
        <w:rPr>
          <w:rFonts w:hint="eastAsia" w:ascii="宋体" w:hAnsi="宋体" w:eastAsia="宋体" w:cs="宋体"/>
          <w:b/>
          <w:color w:val="auto"/>
          <w:sz w:val="21"/>
          <w:szCs w:val="21"/>
          <w:highlight w:val="none"/>
        </w:rPr>
      </w:pPr>
    </w:p>
    <w:p>
      <w:pPr>
        <w:pStyle w:val="2"/>
        <w:spacing w:line="360" w:lineRule="auto"/>
        <w:outlineLvl w:val="1"/>
        <w:rPr>
          <w:rFonts w:hint="eastAsia" w:ascii="宋体" w:hAnsi="宋体" w:eastAsia="宋体" w:cs="宋体"/>
          <w:b/>
          <w:color w:val="auto"/>
          <w:sz w:val="21"/>
          <w:szCs w:val="21"/>
          <w:highlight w:val="none"/>
        </w:rPr>
      </w:pPr>
    </w:p>
    <w:p>
      <w:pPr>
        <w:pStyle w:val="2"/>
        <w:spacing w:line="360" w:lineRule="auto"/>
        <w:outlineLvl w:val="1"/>
        <w:rPr>
          <w:rFonts w:hint="eastAsia" w:ascii="宋体" w:hAnsi="宋体" w:eastAsia="宋体" w:cs="宋体"/>
          <w:b/>
          <w:color w:val="auto"/>
          <w:sz w:val="21"/>
          <w:szCs w:val="21"/>
          <w:highlight w:val="none"/>
        </w:rPr>
      </w:pPr>
    </w:p>
    <w:p>
      <w:pPr>
        <w:pStyle w:val="2"/>
        <w:spacing w:line="360" w:lineRule="auto"/>
        <w:outlineLvl w:val="1"/>
        <w:rPr>
          <w:rFonts w:hint="eastAsia" w:ascii="宋体" w:hAnsi="宋体" w:eastAsia="宋体" w:cs="宋体"/>
          <w:b/>
          <w:color w:val="auto"/>
          <w:sz w:val="21"/>
          <w:szCs w:val="21"/>
          <w:highlight w:val="none"/>
        </w:rPr>
      </w:pPr>
    </w:p>
    <w:p>
      <w:pPr>
        <w:pStyle w:val="2"/>
        <w:spacing w:line="360" w:lineRule="auto"/>
        <w:outlineLvl w:val="1"/>
        <w:rPr>
          <w:rFonts w:hint="eastAsia" w:ascii="宋体" w:hAnsi="宋体" w:eastAsia="宋体" w:cs="宋体"/>
          <w:b/>
          <w:color w:val="auto"/>
          <w:sz w:val="21"/>
          <w:szCs w:val="21"/>
          <w:highlight w:val="none"/>
        </w:rPr>
      </w:pPr>
    </w:p>
    <w:p>
      <w:pPr>
        <w:pStyle w:val="2"/>
        <w:spacing w:line="360" w:lineRule="auto"/>
        <w:outlineLvl w:val="1"/>
        <w:rPr>
          <w:rFonts w:hint="eastAsia" w:ascii="宋体" w:hAnsi="宋体" w:eastAsia="宋体" w:cs="宋体"/>
          <w:b/>
          <w:color w:val="auto"/>
          <w:sz w:val="21"/>
          <w:szCs w:val="21"/>
          <w:highlight w:val="none"/>
        </w:rPr>
      </w:pPr>
    </w:p>
    <w:p>
      <w:pPr>
        <w:pStyle w:val="2"/>
        <w:spacing w:line="360" w:lineRule="auto"/>
        <w:outlineLvl w:val="1"/>
        <w:rPr>
          <w:rFonts w:hint="eastAsia" w:ascii="宋体" w:hAnsi="宋体" w:eastAsia="宋体" w:cs="宋体"/>
          <w:b/>
          <w:color w:val="auto"/>
          <w:sz w:val="21"/>
          <w:szCs w:val="21"/>
          <w:highlight w:val="none"/>
        </w:rPr>
      </w:pPr>
    </w:p>
    <w:p>
      <w:pPr>
        <w:pStyle w:val="2"/>
        <w:spacing w:line="360" w:lineRule="auto"/>
        <w:outlineLvl w:val="1"/>
        <w:rPr>
          <w:rFonts w:hint="eastAsia" w:ascii="宋体" w:hAnsi="宋体" w:eastAsia="宋体" w:cs="宋体"/>
          <w:b/>
          <w:color w:val="auto"/>
          <w:sz w:val="21"/>
          <w:szCs w:val="21"/>
          <w:highlight w:val="none"/>
        </w:rPr>
      </w:pPr>
    </w:p>
    <w:p>
      <w:pPr>
        <w:pStyle w:val="2"/>
        <w:spacing w:line="360" w:lineRule="auto"/>
        <w:outlineLvl w:val="1"/>
        <w:rPr>
          <w:rFonts w:hint="eastAsia" w:ascii="宋体" w:hAnsi="宋体" w:eastAsia="宋体" w:cs="宋体"/>
          <w:b/>
          <w:color w:val="auto"/>
          <w:sz w:val="21"/>
          <w:szCs w:val="21"/>
          <w:highlight w:val="none"/>
        </w:rPr>
      </w:pPr>
    </w:p>
    <w:p>
      <w:pPr>
        <w:pStyle w:val="2"/>
        <w:spacing w:line="360" w:lineRule="auto"/>
        <w:outlineLvl w:val="1"/>
        <w:rPr>
          <w:rFonts w:hint="eastAsia" w:ascii="宋体" w:hAnsi="宋体" w:eastAsia="宋体" w:cs="宋体"/>
          <w:b/>
          <w:color w:val="auto"/>
          <w:sz w:val="21"/>
          <w:szCs w:val="21"/>
          <w:highlight w:val="none"/>
        </w:rPr>
      </w:pPr>
    </w:p>
    <w:p>
      <w:pPr>
        <w:pStyle w:val="2"/>
        <w:spacing w:line="360" w:lineRule="auto"/>
        <w:outlineLvl w:val="1"/>
        <w:rPr>
          <w:rFonts w:hint="eastAsia" w:ascii="宋体" w:hAnsi="宋体" w:eastAsia="宋体" w:cs="宋体"/>
          <w:b/>
          <w:color w:val="auto"/>
          <w:sz w:val="21"/>
          <w:szCs w:val="21"/>
          <w:highlight w:val="none"/>
        </w:rPr>
      </w:pPr>
    </w:p>
    <w:p>
      <w:pPr>
        <w:pStyle w:val="2"/>
        <w:adjustRightInd w:val="0"/>
        <w:snapToGrid w:val="0"/>
        <w:spacing w:before="120" w:after="120"/>
        <w:rPr>
          <w:rFonts w:hint="eastAsia" w:ascii="宋体" w:hAnsi="宋体" w:eastAsia="宋体" w:cs="宋体"/>
          <w:b/>
          <w:bCs/>
          <w:color w:val="auto"/>
          <w:sz w:val="21"/>
          <w:szCs w:val="21"/>
          <w:highlight w:val="none"/>
          <w:lang w:eastAsia="zh-CN"/>
        </w:rPr>
      </w:pPr>
    </w:p>
    <w:p>
      <w:pPr>
        <w:pStyle w:val="2"/>
        <w:adjustRightInd w:val="0"/>
        <w:snapToGrid w:val="0"/>
        <w:spacing w:before="120" w:after="120"/>
        <w:rPr>
          <w:rFonts w:hint="eastAsia" w:ascii="宋体" w:hAnsi="宋体" w:eastAsia="宋体" w:cs="宋体"/>
          <w:b/>
          <w:bCs/>
          <w:color w:val="auto"/>
          <w:sz w:val="21"/>
          <w:szCs w:val="21"/>
          <w:highlight w:val="none"/>
          <w:lang w:eastAsia="zh-CN"/>
        </w:rPr>
      </w:pPr>
    </w:p>
    <w:p>
      <w:pPr>
        <w:pStyle w:val="2"/>
        <w:adjustRightInd w:val="0"/>
        <w:snapToGrid w:val="0"/>
        <w:spacing w:before="120" w:after="120"/>
        <w:rPr>
          <w:rFonts w:hint="eastAsia" w:ascii="宋体" w:hAnsi="宋体" w:eastAsia="宋体" w:cs="宋体"/>
          <w:b/>
          <w:bCs/>
          <w:color w:val="auto"/>
          <w:sz w:val="21"/>
          <w:szCs w:val="21"/>
          <w:highlight w:val="none"/>
          <w:lang w:eastAsia="zh-CN"/>
        </w:rPr>
      </w:pPr>
    </w:p>
    <w:p>
      <w:pPr>
        <w:pStyle w:val="11"/>
        <w:rPr>
          <w:rFonts w:hint="eastAsia"/>
          <w:color w:val="auto"/>
          <w:highlight w:val="none"/>
          <w:lang w:eastAsia="zh-CN"/>
        </w:rPr>
      </w:pPr>
    </w:p>
    <w:p>
      <w:pPr>
        <w:pStyle w:val="6"/>
        <w:spacing w:line="360" w:lineRule="auto"/>
        <w:ind w:firstLine="0"/>
        <w:jc w:val="left"/>
        <w:rPr>
          <w:rFonts w:hint="eastAsia" w:ascii="宋体" w:hAnsi="宋体" w:eastAsia="宋体" w:cs="宋体"/>
          <w:b/>
          <w:bCs/>
          <w:color w:val="auto"/>
          <w:sz w:val="24"/>
          <w:szCs w:val="24"/>
          <w:highlight w:val="none"/>
          <w:lang w:eastAsia="zh-CN"/>
        </w:rPr>
      </w:pPr>
    </w:p>
    <w:p>
      <w:pPr>
        <w:widowControl/>
        <w:spacing w:beforeLines="0" w:afterLines="0" w:line="360" w:lineRule="auto"/>
        <w:jc w:val="left"/>
        <w:rPr>
          <w:rFonts w:hint="default" w:ascii="宋体" w:hAnsi="宋体" w:eastAsia="宋体"/>
          <w:color w:val="auto"/>
          <w:sz w:val="30"/>
          <w:highlight w:val="none"/>
        </w:rPr>
      </w:pPr>
      <w:r>
        <w:rPr>
          <w:rFonts w:hint="eastAsia" w:ascii="宋体" w:hAnsi="宋体" w:cs="宋体"/>
          <w:b/>
          <w:color w:val="auto"/>
          <w:kern w:val="2"/>
          <w:sz w:val="24"/>
          <w:szCs w:val="24"/>
          <w:highlight w:val="none"/>
          <w:lang w:val="en-US" w:eastAsia="zh-CN" w:bidi="ar-SA"/>
        </w:rPr>
        <w:t xml:space="preserve">附件六：                   </w:t>
      </w:r>
      <w:r>
        <w:rPr>
          <w:rFonts w:hint="default" w:ascii="宋体" w:hAnsi="宋体" w:eastAsia="宋体"/>
          <w:b/>
          <w:color w:val="auto"/>
          <w:kern w:val="0"/>
          <w:sz w:val="30"/>
          <w:highlight w:val="none"/>
        </w:rPr>
        <w:t>中小企业声明函</w:t>
      </w:r>
    </w:p>
    <w:p>
      <w:pPr>
        <w:widowControl/>
        <w:spacing w:beforeLines="0" w:afterLines="0" w:line="500" w:lineRule="exact"/>
        <w:ind w:firstLine="480" w:firstLineChars="200"/>
        <w:jc w:val="left"/>
        <w:rPr>
          <w:rFonts w:hint="default" w:ascii="宋体" w:hAnsi="宋体" w:eastAsia="宋体"/>
          <w:color w:val="auto"/>
          <w:sz w:val="24"/>
          <w:highlight w:val="none"/>
        </w:rPr>
      </w:pPr>
      <w:r>
        <w:rPr>
          <w:rFonts w:hint="default" w:ascii="宋体" w:hAnsi="宋体" w:eastAsia="宋体"/>
          <w:color w:val="auto"/>
          <w:kern w:val="0"/>
          <w:sz w:val="24"/>
          <w:highlight w:val="none"/>
        </w:rPr>
        <w:t>本公司（联合体）郑重声明，根据《政府采购促进中小企业发展管理办法》（财库﹝2020﹞46号）的规定，本公司（联合体）参加</w:t>
      </w:r>
      <w:r>
        <w:rPr>
          <w:rFonts w:hint="default" w:ascii="宋体" w:hAnsi="宋体" w:eastAsia="宋体"/>
          <w:i/>
          <w:color w:val="auto"/>
          <w:kern w:val="0"/>
          <w:sz w:val="24"/>
          <w:highlight w:val="none"/>
          <w:u w:val="single"/>
        </w:rPr>
        <w:t xml:space="preserve">    </w:t>
      </w:r>
      <w:r>
        <w:rPr>
          <w:rFonts w:hint="eastAsia" w:ascii="宋体" w:hAnsi="宋体" w:eastAsia="宋体" w:cs="宋体"/>
          <w:sz w:val="24"/>
          <w:u w:val="single"/>
        </w:rPr>
        <w:t>仙居县交通运输局</w:t>
      </w:r>
      <w:r>
        <w:rPr>
          <w:rFonts w:hint="eastAsia" w:ascii="宋体" w:hAnsi="宋体" w:eastAsia="宋体" w:cs="宋体"/>
          <w:sz w:val="24"/>
          <w:u w:val="single"/>
          <w:lang w:eastAsia="zh-CN"/>
        </w:rPr>
        <w:t>、</w:t>
      </w:r>
      <w:r>
        <w:rPr>
          <w:rFonts w:hint="eastAsia" w:ascii="宋体" w:hAnsi="宋体" w:eastAsia="宋体"/>
          <w:bCs/>
          <w:sz w:val="24"/>
          <w:u w:val="single"/>
          <w:lang w:eastAsia="zh-CN"/>
        </w:rPr>
        <w:t>台州瑞腾工程管理有限公司</w:t>
      </w:r>
      <w:r>
        <w:rPr>
          <w:rFonts w:hint="default" w:ascii="宋体" w:hAnsi="宋体" w:eastAsia="宋体"/>
          <w:i/>
          <w:color w:val="auto"/>
          <w:kern w:val="0"/>
          <w:sz w:val="24"/>
          <w:highlight w:val="none"/>
          <w:u w:val="single"/>
        </w:rPr>
        <w:t xml:space="preserve">    </w:t>
      </w:r>
      <w:r>
        <w:rPr>
          <w:rFonts w:hint="default" w:ascii="宋体" w:hAnsi="宋体" w:eastAsia="宋体"/>
          <w:color w:val="auto"/>
          <w:kern w:val="0"/>
          <w:sz w:val="24"/>
          <w:highlight w:val="none"/>
        </w:rPr>
        <w:t>的</w:t>
      </w:r>
      <w:r>
        <w:rPr>
          <w:rFonts w:hint="default" w:ascii="宋体" w:hAnsi="宋体" w:eastAsia="宋体"/>
          <w:color w:val="auto"/>
          <w:kern w:val="0"/>
          <w:sz w:val="24"/>
          <w:highlight w:val="none"/>
          <w:u w:val="single"/>
        </w:rPr>
        <w:t xml:space="preserve">  </w:t>
      </w:r>
      <w:r>
        <w:rPr>
          <w:rFonts w:hint="default" w:ascii="宋体" w:hAnsi="宋体" w:eastAsia="宋体"/>
          <w:i/>
          <w:color w:val="auto"/>
          <w:kern w:val="0"/>
          <w:sz w:val="24"/>
          <w:highlight w:val="none"/>
          <w:u w:val="single"/>
        </w:rPr>
        <w:t xml:space="preserve">（项目名称）   </w:t>
      </w:r>
      <w:r>
        <w:rPr>
          <w:rFonts w:hint="default" w:ascii="宋体" w:hAnsi="宋体" w:eastAsia="宋体"/>
          <w:color w:val="auto"/>
          <w:kern w:val="0"/>
          <w:sz w:val="24"/>
          <w:highlight w:val="none"/>
        </w:rPr>
        <w:t>采购活动，工程的施工单位全部为符合政策要求的中小企业。相关企业（含联合体中的中小企业、签订分包意向协议的中小企业）的具体情况如下：</w:t>
      </w:r>
    </w:p>
    <w:p>
      <w:pPr>
        <w:widowControl/>
        <w:spacing w:beforeLines="0" w:afterLines="0" w:line="500" w:lineRule="exact"/>
        <w:ind w:firstLine="480" w:firstLineChars="200"/>
        <w:jc w:val="left"/>
        <w:rPr>
          <w:rFonts w:hint="default" w:ascii="宋体" w:hAnsi="宋体" w:eastAsia="宋体"/>
          <w:color w:val="auto"/>
          <w:sz w:val="24"/>
          <w:highlight w:val="none"/>
        </w:rPr>
      </w:pPr>
      <w:r>
        <w:rPr>
          <w:rFonts w:hint="default" w:ascii="宋体" w:hAnsi="宋体" w:eastAsia="宋体"/>
          <w:color w:val="auto"/>
          <w:kern w:val="0"/>
          <w:sz w:val="24"/>
          <w:highlight w:val="none"/>
        </w:rPr>
        <w:t>1.</w:t>
      </w:r>
      <w:r>
        <w:rPr>
          <w:rFonts w:hint="default" w:ascii="宋体" w:hAnsi="宋体" w:eastAsia="宋体"/>
          <w:color w:val="auto"/>
          <w:kern w:val="0"/>
          <w:sz w:val="24"/>
          <w:highlight w:val="none"/>
          <w:u w:val="single"/>
        </w:rPr>
        <w:t xml:space="preserve"> </w:t>
      </w:r>
      <w:r>
        <w:rPr>
          <w:rFonts w:hint="default" w:ascii="宋体" w:hAnsi="宋体" w:eastAsia="宋体"/>
          <w:i/>
          <w:color w:val="auto"/>
          <w:kern w:val="0"/>
          <w:sz w:val="24"/>
          <w:highlight w:val="none"/>
          <w:u w:val="single"/>
        </w:rPr>
        <w:t xml:space="preserve">（标的名称） </w:t>
      </w:r>
      <w:r>
        <w:rPr>
          <w:rFonts w:hint="default" w:ascii="宋体" w:hAnsi="宋体" w:eastAsia="宋体"/>
          <w:color w:val="auto"/>
          <w:kern w:val="0"/>
          <w:sz w:val="24"/>
          <w:highlight w:val="none"/>
        </w:rPr>
        <w:t>，属于</w:t>
      </w:r>
      <w:r>
        <w:rPr>
          <w:rFonts w:hint="default" w:ascii="宋体" w:hAnsi="宋体" w:eastAsia="宋体"/>
          <w:color w:val="auto"/>
          <w:kern w:val="0"/>
          <w:sz w:val="24"/>
          <w:highlight w:val="none"/>
          <w:u w:val="single"/>
        </w:rPr>
        <w:t>建筑业</w:t>
      </w:r>
      <w:r>
        <w:rPr>
          <w:rFonts w:hint="default" w:ascii="宋体" w:hAnsi="宋体" w:eastAsia="宋体"/>
          <w:color w:val="auto"/>
          <w:kern w:val="0"/>
          <w:sz w:val="24"/>
          <w:highlight w:val="none"/>
        </w:rPr>
        <w:t>；承建企业为</w:t>
      </w:r>
      <w:r>
        <w:rPr>
          <w:rFonts w:hint="default" w:ascii="宋体" w:hAnsi="宋体" w:eastAsia="宋体"/>
          <w:i/>
          <w:color w:val="auto"/>
          <w:kern w:val="0"/>
          <w:sz w:val="24"/>
          <w:highlight w:val="none"/>
          <w:u w:val="single"/>
        </w:rPr>
        <w:t>（企业名称）</w:t>
      </w:r>
      <w:r>
        <w:rPr>
          <w:rFonts w:hint="default" w:ascii="宋体" w:hAnsi="宋体" w:eastAsia="宋体"/>
          <w:color w:val="auto"/>
          <w:kern w:val="0"/>
          <w:sz w:val="24"/>
          <w:highlight w:val="none"/>
        </w:rPr>
        <w:t>，从业人员</w:t>
      </w:r>
      <w:r>
        <w:rPr>
          <w:rFonts w:hint="default" w:ascii="宋体" w:hAnsi="宋体" w:eastAsia="宋体"/>
          <w:color w:val="auto"/>
          <w:kern w:val="0"/>
          <w:sz w:val="24"/>
          <w:highlight w:val="none"/>
          <w:u w:val="single"/>
        </w:rPr>
        <w:t xml:space="preserve">    </w:t>
      </w:r>
      <w:r>
        <w:rPr>
          <w:rFonts w:hint="default" w:ascii="宋体" w:hAnsi="宋体" w:eastAsia="宋体"/>
          <w:color w:val="auto"/>
          <w:kern w:val="0"/>
          <w:sz w:val="24"/>
          <w:highlight w:val="none"/>
        </w:rPr>
        <w:t>人，营业收入为</w:t>
      </w:r>
      <w:r>
        <w:rPr>
          <w:rFonts w:hint="default" w:ascii="宋体" w:hAnsi="宋体" w:eastAsia="宋体"/>
          <w:color w:val="auto"/>
          <w:kern w:val="0"/>
          <w:sz w:val="24"/>
          <w:highlight w:val="none"/>
          <w:u w:val="single"/>
        </w:rPr>
        <w:t xml:space="preserve">    </w:t>
      </w:r>
      <w:r>
        <w:rPr>
          <w:rFonts w:hint="default" w:ascii="宋体" w:hAnsi="宋体" w:eastAsia="宋体"/>
          <w:color w:val="auto"/>
          <w:kern w:val="0"/>
          <w:sz w:val="24"/>
          <w:highlight w:val="none"/>
        </w:rPr>
        <w:t>万元，资产总额为</w:t>
      </w:r>
      <w:r>
        <w:rPr>
          <w:rFonts w:hint="default" w:ascii="宋体" w:hAnsi="宋体" w:eastAsia="宋体"/>
          <w:color w:val="auto"/>
          <w:kern w:val="0"/>
          <w:sz w:val="24"/>
          <w:highlight w:val="none"/>
          <w:u w:val="single"/>
        </w:rPr>
        <w:t xml:space="preserve">    </w:t>
      </w:r>
      <w:r>
        <w:rPr>
          <w:rFonts w:hint="default" w:ascii="宋体" w:hAnsi="宋体" w:eastAsia="宋体"/>
          <w:color w:val="auto"/>
          <w:kern w:val="0"/>
          <w:sz w:val="24"/>
          <w:highlight w:val="none"/>
        </w:rPr>
        <w:t>万元</w:t>
      </w:r>
      <w:r>
        <w:rPr>
          <w:rFonts w:hint="default" w:ascii="宋体" w:hAnsi="宋体" w:eastAsia="宋体"/>
          <w:color w:val="auto"/>
          <w:kern w:val="0"/>
          <w:sz w:val="24"/>
          <w:highlight w:val="none"/>
          <w:vertAlign w:val="superscript"/>
        </w:rPr>
        <w:t>1</w:t>
      </w:r>
      <w:r>
        <w:rPr>
          <w:rFonts w:hint="default" w:ascii="宋体" w:hAnsi="宋体" w:eastAsia="宋体"/>
          <w:color w:val="auto"/>
          <w:kern w:val="0"/>
          <w:sz w:val="24"/>
          <w:highlight w:val="none"/>
        </w:rPr>
        <w:t>，属于</w:t>
      </w:r>
      <w:r>
        <w:rPr>
          <w:rFonts w:hint="default" w:ascii="宋体" w:hAnsi="宋体" w:eastAsia="宋体"/>
          <w:i/>
          <w:color w:val="auto"/>
          <w:kern w:val="0"/>
          <w:sz w:val="24"/>
          <w:highlight w:val="none"/>
        </w:rPr>
        <w:t>（</w:t>
      </w:r>
      <w:r>
        <w:rPr>
          <w:rFonts w:hint="default" w:ascii="宋体" w:hAnsi="宋体" w:eastAsia="宋体"/>
          <w:i/>
          <w:color w:val="auto"/>
          <w:kern w:val="0"/>
          <w:sz w:val="24"/>
          <w:highlight w:val="none"/>
          <w:u w:val="single"/>
        </w:rPr>
        <w:t>中型企业、小型企业、微型企业）</w:t>
      </w:r>
      <w:r>
        <w:rPr>
          <w:rFonts w:hint="default" w:ascii="宋体" w:hAnsi="宋体" w:eastAsia="宋体"/>
          <w:color w:val="auto"/>
          <w:kern w:val="0"/>
          <w:sz w:val="24"/>
          <w:highlight w:val="none"/>
        </w:rPr>
        <w:t xml:space="preserve">； </w:t>
      </w:r>
    </w:p>
    <w:p>
      <w:pPr>
        <w:widowControl/>
        <w:spacing w:beforeLines="0" w:afterLines="0" w:line="500" w:lineRule="exact"/>
        <w:ind w:firstLine="480" w:firstLineChars="200"/>
        <w:jc w:val="left"/>
        <w:rPr>
          <w:rFonts w:hint="default" w:ascii="宋体" w:hAnsi="宋体" w:eastAsia="宋体"/>
          <w:color w:val="auto"/>
          <w:sz w:val="24"/>
          <w:highlight w:val="none"/>
        </w:rPr>
      </w:pPr>
      <w:r>
        <w:rPr>
          <w:rFonts w:hint="default" w:ascii="宋体" w:hAnsi="宋体" w:eastAsia="宋体"/>
          <w:color w:val="auto"/>
          <w:kern w:val="0"/>
          <w:sz w:val="24"/>
          <w:highlight w:val="none"/>
        </w:rPr>
        <w:t xml:space="preserve">2. </w:t>
      </w:r>
      <w:r>
        <w:rPr>
          <w:rFonts w:hint="default" w:ascii="宋体" w:hAnsi="宋体" w:eastAsia="宋体"/>
          <w:color w:val="auto"/>
          <w:kern w:val="0"/>
          <w:sz w:val="24"/>
          <w:highlight w:val="none"/>
          <w:u w:val="single"/>
        </w:rPr>
        <w:t xml:space="preserve"> </w:t>
      </w:r>
      <w:r>
        <w:rPr>
          <w:rFonts w:hint="default" w:ascii="宋体" w:hAnsi="宋体" w:eastAsia="宋体"/>
          <w:i/>
          <w:color w:val="auto"/>
          <w:kern w:val="0"/>
          <w:sz w:val="24"/>
          <w:highlight w:val="none"/>
          <w:u w:val="single"/>
        </w:rPr>
        <w:t xml:space="preserve">（标的名称） </w:t>
      </w:r>
      <w:r>
        <w:rPr>
          <w:rFonts w:hint="default" w:ascii="宋体" w:hAnsi="宋体" w:eastAsia="宋体"/>
          <w:color w:val="auto"/>
          <w:kern w:val="0"/>
          <w:sz w:val="24"/>
          <w:highlight w:val="none"/>
        </w:rPr>
        <w:t>，属于</w:t>
      </w:r>
      <w:r>
        <w:rPr>
          <w:rFonts w:hint="default" w:ascii="宋体" w:hAnsi="宋体" w:eastAsia="宋体"/>
          <w:color w:val="auto"/>
          <w:kern w:val="0"/>
          <w:sz w:val="24"/>
          <w:highlight w:val="none"/>
          <w:u w:val="single"/>
        </w:rPr>
        <w:t>建筑业</w:t>
      </w:r>
      <w:r>
        <w:rPr>
          <w:rFonts w:hint="default" w:ascii="宋体" w:hAnsi="宋体" w:eastAsia="宋体"/>
          <w:color w:val="auto"/>
          <w:kern w:val="0"/>
          <w:sz w:val="24"/>
          <w:highlight w:val="none"/>
        </w:rPr>
        <w:t>；承建企业为</w:t>
      </w:r>
      <w:r>
        <w:rPr>
          <w:rFonts w:hint="default" w:ascii="宋体" w:hAnsi="宋体" w:eastAsia="宋体"/>
          <w:i/>
          <w:color w:val="auto"/>
          <w:kern w:val="0"/>
          <w:sz w:val="24"/>
          <w:highlight w:val="none"/>
          <w:u w:val="single"/>
        </w:rPr>
        <w:t xml:space="preserve">（企业名称） </w:t>
      </w:r>
      <w:r>
        <w:rPr>
          <w:rFonts w:hint="default" w:ascii="宋体" w:hAnsi="宋体" w:eastAsia="宋体"/>
          <w:color w:val="auto"/>
          <w:kern w:val="0"/>
          <w:sz w:val="24"/>
          <w:highlight w:val="none"/>
        </w:rPr>
        <w:t>，从业人员</w:t>
      </w:r>
      <w:r>
        <w:rPr>
          <w:rFonts w:hint="default" w:ascii="宋体" w:hAnsi="宋体" w:eastAsia="宋体"/>
          <w:color w:val="auto"/>
          <w:kern w:val="0"/>
          <w:sz w:val="24"/>
          <w:highlight w:val="none"/>
          <w:u w:val="single"/>
        </w:rPr>
        <w:t xml:space="preserve">    </w:t>
      </w:r>
      <w:r>
        <w:rPr>
          <w:rFonts w:hint="default" w:ascii="宋体" w:hAnsi="宋体" w:eastAsia="宋体"/>
          <w:color w:val="auto"/>
          <w:kern w:val="0"/>
          <w:sz w:val="24"/>
          <w:highlight w:val="none"/>
        </w:rPr>
        <w:t>人，营业收入为</w:t>
      </w:r>
      <w:r>
        <w:rPr>
          <w:rFonts w:hint="default" w:ascii="宋体" w:hAnsi="宋体" w:eastAsia="宋体"/>
          <w:color w:val="auto"/>
          <w:kern w:val="0"/>
          <w:sz w:val="24"/>
          <w:highlight w:val="none"/>
          <w:u w:val="single"/>
        </w:rPr>
        <w:t xml:space="preserve">    </w:t>
      </w:r>
      <w:r>
        <w:rPr>
          <w:rFonts w:hint="default" w:ascii="宋体" w:hAnsi="宋体" w:eastAsia="宋体"/>
          <w:color w:val="auto"/>
          <w:kern w:val="0"/>
          <w:sz w:val="24"/>
          <w:highlight w:val="none"/>
        </w:rPr>
        <w:t>万元，资产总额为</w:t>
      </w:r>
      <w:r>
        <w:rPr>
          <w:rFonts w:hint="default" w:ascii="宋体" w:hAnsi="宋体" w:eastAsia="宋体"/>
          <w:color w:val="auto"/>
          <w:kern w:val="0"/>
          <w:sz w:val="24"/>
          <w:highlight w:val="none"/>
          <w:u w:val="single"/>
        </w:rPr>
        <w:t xml:space="preserve">    </w:t>
      </w:r>
      <w:r>
        <w:rPr>
          <w:rFonts w:hint="default" w:ascii="宋体" w:hAnsi="宋体" w:eastAsia="宋体"/>
          <w:color w:val="auto"/>
          <w:kern w:val="0"/>
          <w:sz w:val="24"/>
          <w:highlight w:val="none"/>
        </w:rPr>
        <w:t>万元，属于</w:t>
      </w:r>
      <w:r>
        <w:rPr>
          <w:rFonts w:hint="default" w:ascii="宋体" w:hAnsi="宋体" w:eastAsia="宋体"/>
          <w:i/>
          <w:color w:val="auto"/>
          <w:kern w:val="0"/>
          <w:sz w:val="24"/>
          <w:highlight w:val="none"/>
        </w:rPr>
        <w:t>（</w:t>
      </w:r>
      <w:r>
        <w:rPr>
          <w:rFonts w:hint="default" w:ascii="宋体" w:hAnsi="宋体" w:eastAsia="宋体"/>
          <w:i/>
          <w:color w:val="auto"/>
          <w:kern w:val="0"/>
          <w:sz w:val="24"/>
          <w:highlight w:val="none"/>
          <w:u w:val="single"/>
        </w:rPr>
        <w:t>中型企业、小型企业、微型企业）</w:t>
      </w:r>
      <w:r>
        <w:rPr>
          <w:rFonts w:hint="default" w:ascii="宋体" w:hAnsi="宋体" w:eastAsia="宋体"/>
          <w:color w:val="auto"/>
          <w:kern w:val="0"/>
          <w:sz w:val="24"/>
          <w:highlight w:val="none"/>
        </w:rPr>
        <w:t xml:space="preserve">； </w:t>
      </w:r>
    </w:p>
    <w:p>
      <w:pPr>
        <w:widowControl/>
        <w:spacing w:beforeLines="0" w:afterLines="0" w:line="500" w:lineRule="exact"/>
        <w:ind w:firstLine="480" w:firstLineChars="200"/>
        <w:jc w:val="left"/>
        <w:rPr>
          <w:rFonts w:hint="default" w:ascii="宋体" w:hAnsi="宋体" w:eastAsia="宋体"/>
          <w:color w:val="auto"/>
          <w:sz w:val="24"/>
          <w:highlight w:val="none"/>
        </w:rPr>
      </w:pPr>
      <w:r>
        <w:rPr>
          <w:rFonts w:hint="default" w:ascii="宋体" w:hAnsi="宋体" w:eastAsia="宋体"/>
          <w:color w:val="auto"/>
          <w:kern w:val="0"/>
          <w:sz w:val="24"/>
          <w:highlight w:val="none"/>
        </w:rPr>
        <w:t>……</w:t>
      </w:r>
    </w:p>
    <w:p>
      <w:pPr>
        <w:widowControl/>
        <w:spacing w:beforeLines="0" w:afterLines="0" w:line="500" w:lineRule="exact"/>
        <w:ind w:firstLine="480" w:firstLineChars="200"/>
        <w:jc w:val="left"/>
        <w:rPr>
          <w:rFonts w:hint="default" w:ascii="宋体" w:hAnsi="宋体" w:eastAsia="宋体"/>
          <w:color w:val="auto"/>
          <w:sz w:val="24"/>
          <w:highlight w:val="none"/>
        </w:rPr>
      </w:pPr>
      <w:r>
        <w:rPr>
          <w:rFonts w:hint="default" w:ascii="宋体" w:hAnsi="宋体" w:eastAsia="宋体"/>
          <w:color w:val="auto"/>
          <w:kern w:val="0"/>
          <w:sz w:val="24"/>
          <w:highlight w:val="none"/>
        </w:rPr>
        <w:t>以上企业，不属于大企业的分支机构，不存在控股股东为大企业的情形，也不存在与大企业的负责人为同一人的情形。</w:t>
      </w:r>
    </w:p>
    <w:p>
      <w:pPr>
        <w:widowControl/>
        <w:spacing w:beforeLines="0" w:afterLines="0" w:line="500" w:lineRule="exact"/>
        <w:ind w:firstLine="480" w:firstLineChars="200"/>
        <w:jc w:val="left"/>
        <w:rPr>
          <w:rFonts w:hint="default" w:ascii="宋体" w:hAnsi="宋体" w:eastAsia="宋体"/>
          <w:color w:val="auto"/>
          <w:sz w:val="24"/>
          <w:highlight w:val="none"/>
        </w:rPr>
      </w:pPr>
      <w:r>
        <w:rPr>
          <w:rFonts w:hint="default" w:ascii="宋体" w:hAnsi="宋体" w:eastAsia="宋体"/>
          <w:color w:val="auto"/>
          <w:kern w:val="0"/>
          <w:sz w:val="24"/>
          <w:highlight w:val="none"/>
        </w:rPr>
        <w:t xml:space="preserve">本企业对上述声明内容的真实性负责。如有虚假，将依法承担相应责任。 </w:t>
      </w:r>
    </w:p>
    <w:p>
      <w:pPr>
        <w:widowControl/>
        <w:spacing w:beforeLines="0" w:afterLines="0" w:line="500" w:lineRule="exact"/>
        <w:jc w:val="center"/>
        <w:rPr>
          <w:rFonts w:hint="default" w:ascii="宋体" w:hAnsi="宋体" w:eastAsia="宋体"/>
          <w:color w:val="auto"/>
          <w:kern w:val="0"/>
          <w:sz w:val="24"/>
          <w:highlight w:val="none"/>
        </w:rPr>
      </w:pPr>
    </w:p>
    <w:p>
      <w:pPr>
        <w:widowControl/>
        <w:spacing w:beforeLines="0" w:afterLines="0" w:line="500" w:lineRule="exact"/>
        <w:jc w:val="center"/>
        <w:rPr>
          <w:rFonts w:hint="default" w:ascii="宋体" w:hAnsi="宋体" w:eastAsia="宋体"/>
          <w:color w:val="auto"/>
          <w:sz w:val="24"/>
          <w:highlight w:val="none"/>
        </w:rPr>
      </w:pPr>
      <w:r>
        <w:rPr>
          <w:rFonts w:hint="default" w:ascii="宋体" w:hAnsi="宋体" w:eastAsia="宋体"/>
          <w:color w:val="auto"/>
          <w:kern w:val="0"/>
          <w:sz w:val="24"/>
          <w:highlight w:val="none"/>
        </w:rPr>
        <w:t>企业名称（盖章）：</w:t>
      </w:r>
    </w:p>
    <w:p>
      <w:pPr>
        <w:widowControl/>
        <w:spacing w:beforeLines="0" w:afterLines="0" w:line="500" w:lineRule="exact"/>
        <w:jc w:val="center"/>
        <w:rPr>
          <w:rFonts w:hint="default" w:ascii="宋体" w:hAnsi="宋体" w:eastAsia="宋体"/>
          <w:color w:val="auto"/>
          <w:sz w:val="24"/>
          <w:highlight w:val="none"/>
        </w:rPr>
      </w:pPr>
      <w:r>
        <w:rPr>
          <w:rFonts w:hint="default" w:ascii="宋体" w:hAnsi="宋体" w:eastAsia="宋体"/>
          <w:color w:val="auto"/>
          <w:kern w:val="0"/>
          <w:sz w:val="24"/>
          <w:highlight w:val="none"/>
        </w:rPr>
        <w:t xml:space="preserve">          日 期：</w:t>
      </w:r>
    </w:p>
    <w:p>
      <w:pPr>
        <w:pStyle w:val="42"/>
        <w:spacing w:beforeLines="0" w:afterLines="0" w:line="360" w:lineRule="auto"/>
        <w:jc w:val="left"/>
        <w:rPr>
          <w:rFonts w:hint="default" w:ascii="宋体" w:hAnsi="宋体"/>
          <w:b/>
          <w:color w:val="auto"/>
          <w:sz w:val="21"/>
          <w:highlight w:val="none"/>
        </w:rPr>
      </w:pPr>
    </w:p>
    <w:p>
      <w:pPr>
        <w:widowControl/>
        <w:spacing w:beforeLines="0" w:afterLines="0"/>
        <w:jc w:val="left"/>
        <w:rPr>
          <w:rFonts w:hint="default" w:ascii="宋体" w:hAnsi="宋体" w:eastAsia="宋体"/>
          <w:color w:val="auto"/>
          <w:kern w:val="0"/>
          <w:sz w:val="21"/>
          <w:highlight w:val="none"/>
        </w:rPr>
      </w:pPr>
    </w:p>
    <w:p>
      <w:pPr>
        <w:widowControl/>
        <w:spacing w:beforeLines="0" w:afterLines="0"/>
        <w:jc w:val="left"/>
        <w:rPr>
          <w:rFonts w:hint="default" w:ascii="宋体" w:hAnsi="宋体" w:eastAsia="宋体"/>
          <w:color w:val="auto"/>
          <w:kern w:val="0"/>
          <w:sz w:val="21"/>
          <w:highlight w:val="none"/>
        </w:rPr>
      </w:pPr>
    </w:p>
    <w:p>
      <w:pPr>
        <w:widowControl/>
        <w:spacing w:beforeLines="0" w:afterLines="0" w:line="240" w:lineRule="auto"/>
        <w:jc w:val="left"/>
        <w:rPr>
          <w:rFonts w:hint="default" w:ascii="宋体" w:hAnsi="宋体" w:eastAsia="宋体"/>
          <w:color w:val="auto"/>
          <w:kern w:val="0"/>
          <w:sz w:val="21"/>
          <w:highlight w:val="none"/>
        </w:rPr>
      </w:pPr>
      <w:r>
        <w:rPr>
          <w:rFonts w:hint="default" w:ascii="宋体" w:hAnsi="宋体" w:eastAsia="宋体"/>
          <w:color w:val="auto"/>
          <w:kern w:val="0"/>
          <w:sz w:val="21"/>
          <w:highlight w:val="none"/>
        </w:rPr>
        <w:t>注：</w:t>
      </w:r>
      <w:r>
        <w:rPr>
          <w:rFonts w:hint="eastAsia" w:ascii="宋体" w:hAnsi="宋体"/>
          <w:color w:val="auto"/>
          <w:kern w:val="0"/>
          <w:sz w:val="21"/>
          <w:highlight w:val="none"/>
          <w:lang w:val="en-US" w:eastAsia="zh-CN"/>
        </w:rPr>
        <w:t>1</w:t>
      </w:r>
      <w:r>
        <w:rPr>
          <w:rFonts w:hint="default" w:ascii="宋体" w:hAnsi="宋体" w:eastAsia="宋体"/>
          <w:color w:val="auto"/>
          <w:kern w:val="0"/>
          <w:sz w:val="21"/>
          <w:highlight w:val="none"/>
        </w:rPr>
        <w:t>.从业人员、营业收入、资产总额填报上一年度数据，无上一年度数据的新成立企业可不填报。</w:t>
      </w:r>
    </w:p>
    <w:p>
      <w:pPr>
        <w:widowControl/>
        <w:spacing w:beforeLines="0" w:afterLines="0" w:line="240" w:lineRule="auto"/>
        <w:ind w:firstLine="420" w:firstLineChars="200"/>
        <w:jc w:val="left"/>
        <w:rPr>
          <w:rFonts w:hint="default" w:ascii="宋体" w:hAnsi="宋体" w:eastAsia="宋体"/>
          <w:color w:val="auto"/>
          <w:kern w:val="0"/>
          <w:sz w:val="21"/>
          <w:highlight w:val="none"/>
        </w:rPr>
      </w:pPr>
      <w:r>
        <w:rPr>
          <w:rFonts w:hint="default" w:ascii="宋体" w:hAnsi="宋体" w:eastAsia="宋体"/>
          <w:color w:val="auto"/>
          <w:kern w:val="0"/>
          <w:sz w:val="21"/>
          <w:highlight w:val="none"/>
        </w:rPr>
        <w:t>2.标的物、所属行业</w:t>
      </w:r>
      <w:r>
        <w:rPr>
          <w:rFonts w:hint="eastAsia" w:ascii="宋体" w:hAnsi="宋体" w:eastAsia="宋体"/>
          <w:color w:val="auto"/>
          <w:kern w:val="0"/>
          <w:sz w:val="21"/>
          <w:highlight w:val="none"/>
          <w:lang w:val="en-US" w:eastAsia="zh-CN"/>
        </w:rPr>
        <w:t>为建筑业</w:t>
      </w:r>
      <w:r>
        <w:rPr>
          <w:rFonts w:hint="default" w:ascii="宋体" w:hAnsi="宋体" w:eastAsia="宋体"/>
          <w:color w:val="auto"/>
          <w:kern w:val="0"/>
          <w:sz w:val="21"/>
          <w:highlight w:val="none"/>
        </w:rPr>
        <w:t>，可扩行。</w:t>
      </w:r>
    </w:p>
    <w:p>
      <w:pPr>
        <w:widowControl/>
        <w:spacing w:beforeLines="0" w:afterLines="0" w:line="240" w:lineRule="auto"/>
        <w:ind w:firstLine="420" w:firstLineChars="200"/>
        <w:jc w:val="left"/>
        <w:rPr>
          <w:rFonts w:hint="default"/>
          <w:color w:val="auto"/>
          <w:sz w:val="32"/>
          <w:szCs w:val="32"/>
          <w:highlight w:val="none"/>
        </w:rPr>
      </w:pPr>
      <w:r>
        <w:rPr>
          <w:rFonts w:hint="default" w:ascii="宋体" w:hAnsi="宋体" w:eastAsia="宋体"/>
          <w:color w:val="auto"/>
          <w:kern w:val="0"/>
          <w:sz w:val="21"/>
          <w:highlight w:val="none"/>
        </w:rPr>
        <w:t>3.中型企业、小型企业、微型企业请根据《关于印发中小企业划型标准规定的通知》工信部联企业〔2011〕300号文件标准填写。</w:t>
      </w:r>
    </w:p>
    <w:p>
      <w:pPr>
        <w:pStyle w:val="3"/>
        <w:rPr>
          <w:color w:val="auto"/>
          <w:highlight w:val="none"/>
        </w:rPr>
      </w:pPr>
    </w:p>
    <w:p>
      <w:pPr>
        <w:pStyle w:val="15"/>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21"/>
        <w:rPr>
          <w:rFonts w:hint="eastAsia" w:ascii="宋体" w:hAnsi="宋体" w:eastAsia="宋体" w:cs="宋体"/>
          <w:b/>
          <w:bCs/>
          <w:color w:val="auto"/>
          <w:sz w:val="24"/>
          <w:szCs w:val="24"/>
          <w:highlight w:val="none"/>
        </w:rPr>
      </w:pPr>
    </w:p>
    <w:p>
      <w:pPr>
        <w:rPr>
          <w:rFonts w:hint="eastAsia"/>
          <w:color w:val="auto"/>
          <w:highlight w:val="none"/>
        </w:rPr>
      </w:pPr>
    </w:p>
    <w:p>
      <w:pPr>
        <w:rPr>
          <w:rFonts w:hint="eastAsia"/>
          <w:color w:val="auto"/>
          <w:highlight w:val="none"/>
        </w:rPr>
      </w:pPr>
    </w:p>
    <w:p>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残疾人福利性单位声明函</w:t>
      </w:r>
      <w:r>
        <w:rPr>
          <w:rFonts w:hint="eastAsia" w:ascii="宋体" w:hAnsi="宋体" w:eastAsia="宋体" w:cs="宋体"/>
          <w:b/>
          <w:bCs/>
          <w:color w:val="auto"/>
          <w:sz w:val="24"/>
          <w:szCs w:val="24"/>
          <w:highlight w:val="none"/>
          <w:lang w:eastAsia="zh-CN"/>
        </w:rPr>
        <w:t>（如有）</w:t>
      </w:r>
    </w:p>
    <w:p>
      <w:pPr>
        <w:jc w:val="center"/>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pacing w:val="6"/>
          <w:sz w:val="24"/>
          <w:highlight w:val="none"/>
        </w:rPr>
      </w:pPr>
      <w:r>
        <w:rPr>
          <w:rFonts w:hint="eastAsia" w:ascii="宋体" w:hAnsi="宋体" w:eastAsia="宋体" w:cs="宋体"/>
          <w:color w:val="auto"/>
          <w:sz w:val="24"/>
          <w:szCs w:val="24"/>
          <w:highlight w:val="none"/>
        </w:rPr>
        <w:t>本</w:t>
      </w:r>
      <w:r>
        <w:rPr>
          <w:rFonts w:hint="eastAsia" w:ascii="宋体" w:hAnsi="宋体" w:cs="宋体"/>
          <w:color w:val="auto"/>
          <w:spacing w:val="6"/>
          <w:sz w:val="24"/>
          <w:highlight w:val="none"/>
        </w:rPr>
        <w:t>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pacing w:val="6"/>
          <w:sz w:val="24"/>
          <w:highlight w:val="none"/>
          <w:u w:val="single"/>
          <w:lang w:val="en-US" w:eastAsia="zh-CN"/>
        </w:rPr>
        <w:t xml:space="preserve"> </w:t>
      </w:r>
      <w:r>
        <w:rPr>
          <w:rFonts w:hint="eastAsia" w:ascii="宋体" w:hAnsi="宋体" w:eastAsia="宋体" w:cs="宋体"/>
          <w:sz w:val="24"/>
          <w:u w:val="single"/>
        </w:rPr>
        <w:t>仙居县交通运输局</w:t>
      </w:r>
      <w:r>
        <w:rPr>
          <w:rFonts w:hint="eastAsia" w:ascii="宋体" w:hAnsi="宋体" w:eastAsia="宋体" w:cs="宋体"/>
          <w:sz w:val="24"/>
          <w:u w:val="single"/>
          <w:lang w:eastAsia="zh-CN"/>
        </w:rPr>
        <w:t>、</w:t>
      </w:r>
      <w:r>
        <w:rPr>
          <w:rFonts w:hint="eastAsia" w:ascii="宋体" w:hAnsi="宋体" w:eastAsia="宋体"/>
          <w:bCs/>
          <w:sz w:val="24"/>
          <w:u w:val="single"/>
          <w:lang w:eastAsia="zh-CN"/>
        </w:rPr>
        <w:t>台州瑞腾工程管理有限公司</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单位的</w:t>
      </w:r>
      <w:r>
        <w:rPr>
          <w:rFonts w:hint="eastAsia" w:ascii="宋体" w:hAnsi="宋体" w:cs="宋体"/>
          <w:color w:val="auto"/>
          <w:spacing w:val="6"/>
          <w:sz w:val="24"/>
          <w:highlight w:val="none"/>
          <w:u w:val="single"/>
        </w:rPr>
        <w:t xml:space="preserve">  </w:t>
      </w:r>
      <w:r>
        <w:rPr>
          <w:rFonts w:hint="eastAsia" w:ascii="宋体" w:hAnsi="宋体" w:eastAsia="宋体" w:cs="宋体"/>
          <w:color w:val="auto"/>
          <w:spacing w:val="6"/>
          <w:sz w:val="24"/>
          <w:highlight w:val="none"/>
          <w:u w:val="single"/>
          <w:lang w:eastAsia="zh-CN"/>
        </w:rPr>
        <w:t>2024年省级挂牌治理道路交通事故多发点段（S322临石线K71+600永安路口）整治工程</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00" w:lineRule="exact"/>
        <w:ind w:firstLine="378" w:firstLineChars="150"/>
        <w:textAlignment w:val="auto"/>
        <w:rPr>
          <w:rFonts w:hint="eastAsia" w:ascii="宋体" w:hAnsi="宋体" w:eastAsia="宋体" w:cs="宋体"/>
          <w:color w:val="auto"/>
          <w:sz w:val="24"/>
          <w:szCs w:val="24"/>
          <w:highlight w:val="none"/>
        </w:rPr>
      </w:pPr>
      <w:r>
        <w:rPr>
          <w:rFonts w:hint="eastAsia" w:ascii="宋体" w:hAnsi="宋体" w:cs="宋体"/>
          <w:color w:val="auto"/>
          <w:spacing w:val="6"/>
          <w:sz w:val="24"/>
          <w:highlight w:val="none"/>
        </w:rPr>
        <w:t>本单位对上述声明的真实性负责。如有虚假，将依法承担相应责任</w:t>
      </w:r>
      <w:r>
        <w:rPr>
          <w:rFonts w:hint="eastAsia" w:ascii="宋体" w:hAnsi="宋体" w:eastAsia="宋体" w:cs="宋体"/>
          <w:color w:val="auto"/>
          <w:sz w:val="24"/>
          <w:szCs w:val="24"/>
          <w:highlight w:val="none"/>
        </w:rPr>
        <w:t>。</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right="480"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w:t>
      </w:r>
      <w:r>
        <w:rPr>
          <w:rFonts w:hint="eastAsia" w:ascii="宋体" w:hAnsi="宋体" w:eastAsia="宋体" w:cs="宋体"/>
          <w:color w:val="auto"/>
          <w:sz w:val="24"/>
          <w:szCs w:val="24"/>
          <w:highlight w:val="none"/>
        </w:rPr>
        <w:t>（盖</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章）：</w:t>
      </w:r>
    </w:p>
    <w:p>
      <w:pPr>
        <w:spacing w:line="360" w:lineRule="auto"/>
        <w:ind w:firstLine="5760" w:firstLineChars="2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20"/>
        <w:widowControl w:val="0"/>
        <w:spacing w:before="0" w:beforeAutospacing="0" w:after="0" w:afterAutospacing="0" w:line="360" w:lineRule="auto"/>
        <w:ind w:right="360" w:firstLine="6000" w:firstLineChars="2500"/>
        <w:jc w:val="both"/>
        <w:rPr>
          <w:rFonts w:hint="eastAsia" w:ascii="宋体" w:hAnsi="宋体" w:eastAsia="宋体" w:cs="宋体"/>
          <w:color w:val="auto"/>
          <w:kern w:val="2"/>
          <w:sz w:val="24"/>
          <w:szCs w:val="24"/>
          <w:highlight w:val="none"/>
          <w:lang w:bidi="ar"/>
        </w:rPr>
      </w:pPr>
    </w:p>
    <w:p>
      <w:pPr>
        <w:pStyle w:val="43"/>
        <w:spacing w:after="120" w:line="360" w:lineRule="auto"/>
        <w:rPr>
          <w:rFonts w:hint="eastAsia" w:ascii="宋体" w:hAnsi="宋体" w:eastAsia="宋体" w:cs="宋体"/>
          <w:b/>
          <w:color w:val="auto"/>
          <w:sz w:val="24"/>
          <w:szCs w:val="24"/>
          <w:highlight w:val="none"/>
        </w:rPr>
      </w:pPr>
      <w:r>
        <w:rPr>
          <w:rFonts w:hint="eastAsia" w:ascii="宋体" w:hAnsi="宋体"/>
          <w:color w:val="auto"/>
          <w:sz w:val="24"/>
          <w:highlight w:val="none"/>
        </w:rPr>
        <w:t>－－－－－－－－－－－－－－－－－－－－－－－－－－－－－－－－－－－－－</w:t>
      </w:r>
    </w:p>
    <w:p>
      <w:pPr>
        <w:pStyle w:val="2"/>
        <w:spacing w:line="360" w:lineRule="auto"/>
        <w:outlineLvl w:val="1"/>
        <w:rPr>
          <w:rFonts w:hint="eastAsia" w:ascii="宋体" w:hAnsi="宋体" w:eastAsia="宋体" w:cs="宋体"/>
          <w:b/>
          <w:color w:val="auto"/>
          <w:sz w:val="24"/>
          <w:szCs w:val="24"/>
          <w:highlight w:val="none"/>
        </w:rPr>
      </w:pPr>
    </w:p>
    <w:p>
      <w:pPr>
        <w:pStyle w:val="2"/>
        <w:spacing w:line="360" w:lineRule="auto"/>
        <w:outlineLvl w:val="1"/>
        <w:rPr>
          <w:rFonts w:hint="eastAsia" w:ascii="宋体" w:hAnsi="宋体" w:eastAsia="宋体" w:cs="宋体"/>
          <w:b/>
          <w:color w:val="auto"/>
          <w:sz w:val="24"/>
          <w:szCs w:val="24"/>
          <w:highlight w:val="none"/>
        </w:rPr>
      </w:pPr>
    </w:p>
    <w:p>
      <w:pPr>
        <w:jc w:val="center"/>
        <w:rPr>
          <w:rFonts w:hint="eastAsia" w:ascii="宋体" w:hAnsi="宋体" w:eastAsia="宋体" w:cs="宋体"/>
          <w:b/>
          <w:bCs/>
          <w:color w:val="auto"/>
          <w:sz w:val="24"/>
          <w:szCs w:val="24"/>
          <w:highlight w:val="none"/>
          <w:lang w:val="en-GB"/>
        </w:rPr>
      </w:pPr>
      <w:r>
        <w:rPr>
          <w:rFonts w:hint="eastAsia" w:ascii="宋体" w:hAnsi="宋体" w:eastAsia="宋体" w:cs="宋体"/>
          <w:b/>
          <w:bCs/>
          <w:color w:val="auto"/>
          <w:sz w:val="24"/>
          <w:szCs w:val="24"/>
          <w:highlight w:val="none"/>
          <w:lang w:val="en-GB"/>
        </w:rPr>
        <w:t>监狱企业</w:t>
      </w:r>
      <w:r>
        <w:rPr>
          <w:rFonts w:hint="eastAsia" w:ascii="宋体" w:hAnsi="宋体" w:eastAsia="宋体" w:cs="宋体"/>
          <w:b/>
          <w:bCs/>
          <w:color w:val="auto"/>
          <w:sz w:val="24"/>
          <w:szCs w:val="24"/>
          <w:highlight w:val="none"/>
        </w:rPr>
        <w:t>（如有）</w:t>
      </w:r>
    </w:p>
    <w:p>
      <w:pPr>
        <w:spacing w:line="588" w:lineRule="exact"/>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lang w:val="zh-CN"/>
        </w:rPr>
        <w:t>监狱企业参加政府采购活动时，应当提供由省级以上监狱管理局、戒毒管理局（含新疆生产建设兵团）出具的属于监狱企业的证明文件，</w:t>
      </w:r>
      <w:r>
        <w:rPr>
          <w:rFonts w:hint="eastAsia" w:ascii="宋体" w:hAnsi="宋体" w:cs="宋体"/>
          <w:b/>
          <w:bCs/>
          <w:color w:val="auto"/>
          <w:spacing w:val="6"/>
          <w:sz w:val="24"/>
          <w:highlight w:val="none"/>
          <w:u w:val="single"/>
          <w:lang w:val="zh-CN"/>
        </w:rPr>
        <w:t>视同小型、微型企业。</w:t>
      </w:r>
    </w:p>
    <w:p>
      <w:pPr>
        <w:pStyle w:val="2"/>
        <w:spacing w:line="360" w:lineRule="auto"/>
        <w:outlineLvl w:val="1"/>
        <w:rPr>
          <w:rFonts w:hint="eastAsia" w:ascii="宋体" w:hAnsi="宋体" w:eastAsia="宋体" w:cs="宋体"/>
          <w:b/>
          <w:color w:val="auto"/>
          <w:sz w:val="24"/>
          <w:szCs w:val="24"/>
          <w:highlight w:val="none"/>
        </w:rPr>
      </w:pPr>
    </w:p>
    <w:p>
      <w:pPr>
        <w:pStyle w:val="20"/>
        <w:widowControl w:val="0"/>
        <w:spacing w:before="0" w:beforeAutospacing="0" w:after="0" w:afterAutospacing="0" w:line="360" w:lineRule="auto"/>
        <w:ind w:right="360" w:firstLine="6300" w:firstLineChars="2500"/>
        <w:jc w:val="both"/>
        <w:rPr>
          <w:rFonts w:hint="eastAsia" w:ascii="宋体" w:hAnsi="宋体" w:eastAsia="宋体" w:cs="宋体"/>
          <w:color w:val="auto"/>
          <w:spacing w:val="6"/>
          <w:sz w:val="24"/>
          <w:szCs w:val="24"/>
          <w:highlight w:val="none"/>
        </w:rPr>
      </w:pPr>
    </w:p>
    <w:p>
      <w:pPr>
        <w:pStyle w:val="2"/>
        <w:spacing w:line="360" w:lineRule="auto"/>
        <w:outlineLvl w:val="1"/>
        <w:rPr>
          <w:rFonts w:hint="eastAsia" w:ascii="宋体" w:hAnsi="宋体" w:eastAsia="宋体" w:cs="宋体"/>
          <w:b/>
          <w:color w:val="auto"/>
          <w:sz w:val="24"/>
          <w:szCs w:val="24"/>
          <w:highlight w:val="none"/>
        </w:rPr>
      </w:pPr>
    </w:p>
    <w:p>
      <w:pPr>
        <w:pStyle w:val="2"/>
        <w:spacing w:line="360" w:lineRule="auto"/>
        <w:outlineLvl w:val="1"/>
        <w:rPr>
          <w:rFonts w:hint="eastAsia" w:ascii="宋体" w:hAnsi="宋体" w:eastAsia="宋体" w:cs="宋体"/>
          <w:b/>
          <w:color w:val="auto"/>
          <w:sz w:val="24"/>
          <w:szCs w:val="24"/>
          <w:highlight w:val="none"/>
        </w:rPr>
      </w:pPr>
    </w:p>
    <w:p>
      <w:pPr>
        <w:pStyle w:val="2"/>
        <w:spacing w:line="360" w:lineRule="auto"/>
        <w:outlineLvl w:val="1"/>
        <w:rPr>
          <w:rFonts w:hint="eastAsia" w:ascii="宋体" w:hAnsi="宋体" w:eastAsia="宋体" w:cs="宋体"/>
          <w:b/>
          <w:color w:val="auto"/>
          <w:sz w:val="24"/>
          <w:szCs w:val="24"/>
          <w:highlight w:val="none"/>
        </w:rPr>
      </w:pPr>
    </w:p>
    <w:p>
      <w:pPr>
        <w:pStyle w:val="2"/>
        <w:spacing w:line="360" w:lineRule="auto"/>
        <w:outlineLvl w:val="1"/>
        <w:rPr>
          <w:rFonts w:hint="eastAsia" w:ascii="宋体" w:hAnsi="宋体" w:eastAsia="宋体" w:cs="宋体"/>
          <w:b/>
          <w:color w:val="auto"/>
          <w:sz w:val="24"/>
          <w:szCs w:val="24"/>
          <w:highlight w:val="none"/>
        </w:rPr>
      </w:pPr>
    </w:p>
    <w:p>
      <w:pPr>
        <w:pStyle w:val="2"/>
        <w:spacing w:line="360" w:lineRule="auto"/>
        <w:outlineLvl w:val="1"/>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6"/>
        <w:spacing w:line="360" w:lineRule="auto"/>
        <w:ind w:firstLine="0"/>
        <w:jc w:val="left"/>
        <w:rPr>
          <w:rFonts w:hint="eastAsia" w:ascii="宋体" w:hAnsi="宋体" w:eastAsia="宋体" w:cs="宋体"/>
          <w:b/>
          <w:bCs/>
          <w:color w:val="auto"/>
          <w:sz w:val="24"/>
          <w:szCs w:val="24"/>
          <w:highlight w:val="none"/>
          <w:lang w:eastAsia="zh-CN"/>
        </w:rPr>
      </w:pPr>
    </w:p>
    <w:p>
      <w:pPr>
        <w:pStyle w:val="4"/>
        <w:pageBreakBefore w:val="0"/>
        <w:widowControl w:val="0"/>
        <w:numPr>
          <w:ilvl w:val="0"/>
          <w:numId w:val="0"/>
        </w:numPr>
        <w:kinsoku/>
        <w:wordWrap/>
        <w:overflowPunct/>
        <w:topLinePunct w:val="0"/>
        <w:autoSpaceDE/>
        <w:autoSpaceDN/>
        <w:bidi w:val="0"/>
        <w:adjustRightInd/>
        <w:snapToGrid/>
        <w:spacing w:before="312" w:beforeLines="100" w:after="0" w:line="360" w:lineRule="auto"/>
        <w:ind w:leftChars="200" w:firstLine="2249" w:firstLineChars="700"/>
        <w:jc w:val="both"/>
        <w:textAlignment w:val="auto"/>
        <w:rPr>
          <w:rFonts w:ascii="宋体" w:hAnsi="宋体" w:eastAsia="宋体"/>
          <w:bCs w:val="0"/>
          <w:color w:val="auto"/>
          <w:highlight w:val="none"/>
          <w:lang w:val="zh-CN"/>
        </w:rPr>
      </w:pPr>
      <w:r>
        <w:rPr>
          <w:rFonts w:hint="eastAsia" w:ascii="宋体" w:hAnsi="宋体" w:eastAsia="宋体"/>
          <w:bCs w:val="0"/>
          <w:color w:val="auto"/>
          <w:highlight w:val="none"/>
          <w:lang w:val="en-US" w:eastAsia="zh-CN"/>
        </w:rPr>
        <w:t>2、</w:t>
      </w:r>
      <w:r>
        <w:rPr>
          <w:rFonts w:hint="eastAsia" w:ascii="宋体" w:hAnsi="宋体" w:eastAsia="宋体"/>
          <w:bCs w:val="0"/>
          <w:color w:val="auto"/>
          <w:highlight w:val="none"/>
          <w:lang w:val="zh-CN"/>
        </w:rPr>
        <w:t>商务与技术文件格式</w:t>
      </w:r>
    </w:p>
    <w:p>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32"/>
          <w:szCs w:val="32"/>
          <w:highlight w:val="none"/>
        </w:rPr>
      </w:pPr>
      <w:r>
        <w:rPr>
          <w:rFonts w:hint="eastAsia" w:ascii="宋体" w:hAnsi="宋体"/>
          <w:b/>
          <w:bCs/>
          <w:color w:val="auto"/>
          <w:sz w:val="32"/>
          <w:szCs w:val="32"/>
          <w:highlight w:val="none"/>
        </w:rPr>
        <w:t>目  录</w:t>
      </w:r>
    </w:p>
    <w:p>
      <w:pPr>
        <w:pStyle w:val="6"/>
        <w:spacing w:line="360" w:lineRule="auto"/>
        <w:ind w:firstLine="960" w:firstLineChars="400"/>
        <w:jc w:val="left"/>
        <w:rPr>
          <w:rFonts w:hint="eastAsia" w:ascii="宋体" w:hAnsi="宋体" w:eastAsia="宋体" w:cs="宋体"/>
          <w:b/>
          <w:bCs/>
          <w:color w:val="auto"/>
          <w:sz w:val="24"/>
          <w:szCs w:val="24"/>
          <w:highlight w:val="none"/>
          <w:lang w:eastAsia="zh-CN"/>
        </w:rPr>
      </w:pPr>
      <w:r>
        <w:rPr>
          <w:rFonts w:hint="eastAsia" w:ascii="宋体" w:hAnsi="宋体"/>
          <w:color w:val="auto"/>
          <w:sz w:val="24"/>
          <w:highlight w:val="none"/>
        </w:rPr>
        <w:t>（按照“第三</w:t>
      </w:r>
      <w:r>
        <w:rPr>
          <w:rFonts w:hint="eastAsia" w:ascii="宋体" w:hAnsi="宋体"/>
          <w:color w:val="auto"/>
          <w:sz w:val="24"/>
          <w:highlight w:val="none"/>
          <w:lang w:eastAsia="zh-CN"/>
        </w:rPr>
        <w:t>部分</w:t>
      </w:r>
      <w:r>
        <w:rPr>
          <w:rFonts w:hint="eastAsia" w:ascii="宋体" w:hAnsi="宋体"/>
          <w:color w:val="auto"/>
          <w:sz w:val="24"/>
          <w:highlight w:val="none"/>
        </w:rPr>
        <w:t xml:space="preserve"> 磋商须知”有关</w:t>
      </w:r>
      <w:r>
        <w:rPr>
          <w:rFonts w:hint="eastAsia" w:ascii="宋体" w:hAnsi="宋体"/>
          <w:color w:val="auto"/>
          <w:sz w:val="24"/>
          <w:highlight w:val="none"/>
          <w:lang w:val="zh-CN"/>
        </w:rPr>
        <w:t>商务与技术文件组成</w:t>
      </w:r>
      <w:r>
        <w:rPr>
          <w:rFonts w:hint="eastAsia" w:ascii="宋体" w:hAnsi="宋体"/>
          <w:color w:val="auto"/>
          <w:sz w:val="24"/>
          <w:highlight w:val="none"/>
        </w:rPr>
        <w:t>要求编排）</w:t>
      </w:r>
    </w:p>
    <w:p>
      <w:pPr>
        <w:keepNext w:val="0"/>
        <w:keepLines w:val="0"/>
        <w:pageBreakBefore w:val="0"/>
        <w:widowControl w:val="0"/>
        <w:kinsoku/>
        <w:wordWrap/>
        <w:overflowPunct/>
        <w:topLinePunct w:val="0"/>
        <w:autoSpaceDE/>
        <w:autoSpaceDN/>
        <w:bidi w:val="0"/>
        <w:spacing w:line="360" w:lineRule="auto"/>
        <w:ind w:firstLine="5760" w:firstLineChars="2400"/>
        <w:jc w:val="left"/>
        <w:textAlignment w:val="auto"/>
        <w:rPr>
          <w:rFonts w:hint="eastAsia" w:ascii="宋体" w:hAnsi="宋体" w:cs="宋体"/>
          <w:color w:val="auto"/>
          <w:sz w:val="24"/>
          <w:highlight w:val="none"/>
        </w:rPr>
      </w:pPr>
    </w:p>
    <w:p>
      <w:pPr>
        <w:pStyle w:val="2"/>
        <w:adjustRightInd w:val="0"/>
        <w:snapToGrid w:val="0"/>
        <w:spacing w:before="120" w:after="120"/>
        <w:rPr>
          <w:rFonts w:hint="eastAsia" w:ascii="宋体" w:hAnsi="宋体" w:eastAsia="宋体" w:cs="宋体"/>
          <w:b/>
          <w:bCs/>
          <w:color w:val="auto"/>
          <w:sz w:val="24"/>
          <w:szCs w:val="24"/>
          <w:highlight w:val="none"/>
          <w:lang w:eastAsia="zh-CN"/>
        </w:rPr>
      </w:pPr>
    </w:p>
    <w:p>
      <w:pPr>
        <w:pStyle w:val="2"/>
        <w:adjustRightInd w:val="0"/>
        <w:snapToGrid w:val="0"/>
        <w:spacing w:before="120" w:after="120"/>
        <w:jc w:val="center"/>
        <w:rPr>
          <w:rFonts w:hint="eastAsia" w:ascii="宋体" w:hAnsi="宋体" w:eastAsia="宋体" w:cs="宋体"/>
          <w:b/>
          <w:bCs/>
          <w:color w:val="auto"/>
          <w:sz w:val="24"/>
          <w:szCs w:val="24"/>
          <w:highlight w:val="none"/>
        </w:rPr>
      </w:pPr>
    </w:p>
    <w:p>
      <w:pPr>
        <w:pStyle w:val="2"/>
        <w:adjustRightInd w:val="0"/>
        <w:snapToGrid w:val="0"/>
        <w:spacing w:before="120" w:after="120"/>
        <w:jc w:val="center"/>
        <w:rPr>
          <w:rFonts w:hint="eastAsia" w:ascii="宋体" w:hAnsi="宋体" w:eastAsia="宋体" w:cs="宋体"/>
          <w:b/>
          <w:bCs/>
          <w:color w:val="auto"/>
          <w:sz w:val="24"/>
          <w:szCs w:val="24"/>
          <w:highlight w:val="none"/>
        </w:rPr>
      </w:pPr>
    </w:p>
    <w:p>
      <w:pPr>
        <w:pStyle w:val="2"/>
        <w:adjustRightInd w:val="0"/>
        <w:snapToGrid w:val="0"/>
        <w:spacing w:before="120" w:after="120"/>
        <w:jc w:val="center"/>
        <w:rPr>
          <w:rFonts w:hint="eastAsia" w:ascii="宋体" w:hAnsi="宋体" w:eastAsia="宋体" w:cs="宋体"/>
          <w:b/>
          <w:bCs/>
          <w:color w:val="auto"/>
          <w:sz w:val="24"/>
          <w:szCs w:val="24"/>
          <w:highlight w:val="none"/>
        </w:rPr>
      </w:pPr>
    </w:p>
    <w:p>
      <w:pPr>
        <w:pStyle w:val="2"/>
        <w:adjustRightInd w:val="0"/>
        <w:snapToGrid w:val="0"/>
        <w:spacing w:before="120" w:after="120"/>
        <w:jc w:val="center"/>
        <w:rPr>
          <w:rFonts w:hint="eastAsia" w:ascii="宋体" w:hAnsi="宋体" w:eastAsia="宋体" w:cs="宋体"/>
          <w:b/>
          <w:bCs/>
          <w:color w:val="auto"/>
          <w:sz w:val="24"/>
          <w:szCs w:val="24"/>
          <w:highlight w:val="none"/>
        </w:rPr>
      </w:pPr>
    </w:p>
    <w:p>
      <w:pPr>
        <w:pStyle w:val="2"/>
        <w:adjustRightInd w:val="0"/>
        <w:snapToGrid w:val="0"/>
        <w:spacing w:before="120" w:after="120"/>
        <w:jc w:val="center"/>
        <w:rPr>
          <w:rFonts w:hint="eastAsia" w:ascii="宋体" w:hAnsi="宋体" w:eastAsia="宋体" w:cs="宋体"/>
          <w:b/>
          <w:bCs/>
          <w:color w:val="auto"/>
          <w:sz w:val="24"/>
          <w:szCs w:val="24"/>
          <w:highlight w:val="none"/>
        </w:rPr>
      </w:pPr>
    </w:p>
    <w:p>
      <w:pPr>
        <w:pStyle w:val="2"/>
        <w:adjustRightInd w:val="0"/>
        <w:snapToGrid w:val="0"/>
        <w:spacing w:before="120" w:after="120"/>
        <w:jc w:val="center"/>
        <w:rPr>
          <w:rFonts w:hint="eastAsia" w:ascii="宋体" w:hAnsi="宋体" w:eastAsia="宋体" w:cs="宋体"/>
          <w:b/>
          <w:bCs/>
          <w:color w:val="auto"/>
          <w:sz w:val="24"/>
          <w:szCs w:val="24"/>
          <w:highlight w:val="none"/>
        </w:rPr>
      </w:pPr>
    </w:p>
    <w:p>
      <w:pPr>
        <w:pStyle w:val="2"/>
        <w:adjustRightInd w:val="0"/>
        <w:snapToGrid w:val="0"/>
        <w:spacing w:before="120" w:after="120"/>
        <w:jc w:val="center"/>
        <w:rPr>
          <w:rFonts w:hint="eastAsia" w:ascii="宋体" w:hAnsi="宋体" w:eastAsia="宋体" w:cs="宋体"/>
          <w:b/>
          <w:bCs/>
          <w:color w:val="auto"/>
          <w:sz w:val="24"/>
          <w:szCs w:val="24"/>
          <w:highlight w:val="none"/>
        </w:rPr>
      </w:pPr>
    </w:p>
    <w:p>
      <w:pPr>
        <w:pStyle w:val="2"/>
        <w:adjustRightInd w:val="0"/>
        <w:snapToGrid w:val="0"/>
        <w:spacing w:before="120" w:after="120"/>
        <w:jc w:val="center"/>
        <w:rPr>
          <w:rFonts w:hint="eastAsia" w:ascii="宋体" w:hAnsi="宋体" w:eastAsia="宋体" w:cs="宋体"/>
          <w:b/>
          <w:bCs/>
          <w:color w:val="auto"/>
          <w:sz w:val="24"/>
          <w:szCs w:val="24"/>
          <w:highlight w:val="none"/>
        </w:rPr>
      </w:pPr>
    </w:p>
    <w:p>
      <w:pPr>
        <w:pStyle w:val="2"/>
        <w:adjustRightInd w:val="0"/>
        <w:snapToGrid w:val="0"/>
        <w:spacing w:before="120" w:after="120"/>
        <w:jc w:val="center"/>
        <w:rPr>
          <w:rFonts w:hint="eastAsia" w:ascii="宋体" w:hAnsi="宋体" w:eastAsia="宋体" w:cs="宋体"/>
          <w:b/>
          <w:bCs/>
          <w:color w:val="auto"/>
          <w:sz w:val="24"/>
          <w:szCs w:val="24"/>
          <w:highlight w:val="none"/>
        </w:rPr>
      </w:pPr>
    </w:p>
    <w:p>
      <w:pPr>
        <w:pStyle w:val="2"/>
        <w:adjustRightInd w:val="0"/>
        <w:snapToGrid w:val="0"/>
        <w:spacing w:before="120" w:after="120"/>
        <w:jc w:val="center"/>
        <w:rPr>
          <w:rFonts w:hint="eastAsia" w:ascii="宋体" w:hAnsi="宋体" w:eastAsia="宋体" w:cs="宋体"/>
          <w:b/>
          <w:bCs/>
          <w:color w:val="auto"/>
          <w:sz w:val="24"/>
          <w:szCs w:val="24"/>
          <w:highlight w:val="none"/>
        </w:rPr>
      </w:pPr>
    </w:p>
    <w:p>
      <w:pPr>
        <w:pStyle w:val="2"/>
        <w:adjustRightInd w:val="0"/>
        <w:snapToGrid w:val="0"/>
        <w:spacing w:before="120" w:after="120"/>
        <w:jc w:val="center"/>
        <w:rPr>
          <w:rFonts w:hint="eastAsia" w:ascii="宋体" w:hAnsi="宋体" w:eastAsia="宋体" w:cs="宋体"/>
          <w:b/>
          <w:bCs/>
          <w:color w:val="auto"/>
          <w:sz w:val="24"/>
          <w:szCs w:val="24"/>
          <w:highlight w:val="none"/>
        </w:rPr>
      </w:pPr>
    </w:p>
    <w:p>
      <w:pPr>
        <w:pStyle w:val="2"/>
        <w:adjustRightInd w:val="0"/>
        <w:snapToGrid w:val="0"/>
        <w:spacing w:before="120" w:after="120"/>
        <w:jc w:val="center"/>
        <w:rPr>
          <w:rFonts w:hint="eastAsia" w:ascii="宋体" w:hAnsi="宋体" w:eastAsia="宋体" w:cs="宋体"/>
          <w:b/>
          <w:bCs/>
          <w:color w:val="auto"/>
          <w:sz w:val="24"/>
          <w:szCs w:val="24"/>
          <w:highlight w:val="none"/>
        </w:rPr>
      </w:pPr>
    </w:p>
    <w:p>
      <w:pPr>
        <w:pStyle w:val="2"/>
        <w:adjustRightInd w:val="0"/>
        <w:snapToGrid w:val="0"/>
        <w:spacing w:before="120" w:after="120"/>
        <w:jc w:val="center"/>
        <w:rPr>
          <w:rFonts w:hint="eastAsia" w:ascii="宋体" w:hAnsi="宋体" w:eastAsia="宋体" w:cs="宋体"/>
          <w:b/>
          <w:bCs/>
          <w:color w:val="auto"/>
          <w:sz w:val="24"/>
          <w:szCs w:val="24"/>
          <w:highlight w:val="none"/>
        </w:rPr>
      </w:pPr>
    </w:p>
    <w:p>
      <w:pPr>
        <w:pStyle w:val="2"/>
        <w:adjustRightInd w:val="0"/>
        <w:snapToGrid w:val="0"/>
        <w:spacing w:before="120" w:after="120"/>
        <w:jc w:val="center"/>
        <w:rPr>
          <w:rFonts w:hint="eastAsia" w:ascii="宋体" w:hAnsi="宋体" w:eastAsia="宋体" w:cs="宋体"/>
          <w:b/>
          <w:bCs/>
          <w:color w:val="auto"/>
          <w:sz w:val="24"/>
          <w:szCs w:val="24"/>
          <w:highlight w:val="none"/>
        </w:rPr>
      </w:pPr>
    </w:p>
    <w:p>
      <w:pPr>
        <w:pStyle w:val="2"/>
        <w:adjustRightInd w:val="0"/>
        <w:snapToGrid w:val="0"/>
        <w:spacing w:before="120" w:after="120"/>
        <w:jc w:val="center"/>
        <w:rPr>
          <w:rFonts w:hint="eastAsia" w:ascii="宋体" w:hAnsi="宋体" w:eastAsia="宋体" w:cs="宋体"/>
          <w:b/>
          <w:bCs/>
          <w:color w:val="auto"/>
          <w:sz w:val="24"/>
          <w:szCs w:val="24"/>
          <w:highlight w:val="none"/>
        </w:rPr>
      </w:pPr>
    </w:p>
    <w:p>
      <w:pPr>
        <w:pStyle w:val="2"/>
        <w:adjustRightInd w:val="0"/>
        <w:snapToGrid w:val="0"/>
        <w:spacing w:before="120" w:after="120"/>
        <w:jc w:val="left"/>
        <w:rPr>
          <w:rFonts w:hint="eastAsia" w:hAnsi="宋体" w:eastAsia="宋体" w:cs="宋体"/>
          <w:b/>
          <w:bCs/>
          <w:color w:val="auto"/>
          <w:sz w:val="24"/>
          <w:szCs w:val="24"/>
          <w:highlight w:val="none"/>
          <w:lang w:eastAsia="zh-CN"/>
        </w:rPr>
      </w:pPr>
    </w:p>
    <w:p>
      <w:pPr>
        <w:snapToGrid w:val="0"/>
        <w:jc w:val="left"/>
        <w:rPr>
          <w:rFonts w:hint="eastAsia" w:ascii="宋体" w:hAnsi="宋体" w:eastAsia="宋体" w:cs="宋体"/>
          <w:color w:val="auto"/>
          <w:sz w:val="24"/>
          <w:szCs w:val="24"/>
          <w:highlight w:val="none"/>
        </w:rPr>
      </w:pPr>
    </w:p>
    <w:p>
      <w:pPr>
        <w:pStyle w:val="2"/>
        <w:spacing w:line="360" w:lineRule="auto"/>
        <w:outlineLvl w:val="1"/>
        <w:rPr>
          <w:rFonts w:hint="eastAsia" w:ascii="宋体" w:hAnsi="宋体" w:eastAsia="宋体" w:cs="宋体"/>
          <w:b/>
          <w:color w:val="auto"/>
          <w:sz w:val="24"/>
          <w:szCs w:val="24"/>
          <w:highlight w:val="none"/>
        </w:rPr>
      </w:pPr>
    </w:p>
    <w:p>
      <w:pPr>
        <w:pStyle w:val="2"/>
        <w:spacing w:line="360" w:lineRule="auto"/>
        <w:outlineLvl w:val="1"/>
        <w:rPr>
          <w:rFonts w:hint="eastAsia" w:ascii="宋体" w:hAnsi="宋体" w:eastAsia="宋体" w:cs="宋体"/>
          <w:b/>
          <w:color w:val="auto"/>
          <w:sz w:val="21"/>
          <w:szCs w:val="21"/>
          <w:highlight w:val="none"/>
        </w:rPr>
      </w:pPr>
    </w:p>
    <w:p>
      <w:pPr>
        <w:pStyle w:val="2"/>
        <w:spacing w:line="360" w:lineRule="auto"/>
        <w:outlineLvl w:val="1"/>
        <w:rPr>
          <w:rFonts w:hint="eastAsia" w:ascii="宋体" w:hAnsi="宋体" w:eastAsia="宋体" w:cs="宋体"/>
          <w:b/>
          <w:color w:val="auto"/>
          <w:sz w:val="21"/>
          <w:szCs w:val="21"/>
          <w:highlight w:val="none"/>
        </w:rPr>
      </w:pPr>
    </w:p>
    <w:p>
      <w:pPr>
        <w:pStyle w:val="11"/>
        <w:rPr>
          <w:rFonts w:hint="eastAsia"/>
          <w:color w:val="auto"/>
          <w:highlight w:val="none"/>
        </w:rPr>
      </w:pPr>
    </w:p>
    <w:p>
      <w:pPr>
        <w:pStyle w:val="42"/>
        <w:spacing w:line="360" w:lineRule="auto"/>
        <w:jc w:val="both"/>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pStyle w:val="42"/>
        <w:spacing w:line="360" w:lineRule="auto"/>
        <w:jc w:val="both"/>
        <w:rPr>
          <w:rFonts w:hint="eastAsia" w:ascii="宋体" w:hAnsi="宋体"/>
          <w:b/>
          <w:color w:val="auto"/>
          <w:sz w:val="28"/>
          <w:szCs w:val="28"/>
          <w:highlight w:val="none"/>
        </w:rPr>
      </w:pPr>
      <w:r>
        <w:rPr>
          <w:rFonts w:hint="eastAsia" w:ascii="宋体" w:hAnsi="宋体" w:eastAsia="宋体" w:cs="宋体"/>
          <w:b/>
          <w:bCs/>
          <w:color w:val="auto"/>
          <w:sz w:val="24"/>
          <w:szCs w:val="24"/>
          <w:highlight w:val="none"/>
        </w:rPr>
        <w:t>附件</w:t>
      </w:r>
      <w:r>
        <w:rPr>
          <w:rFonts w:hint="eastAsia"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p>
    <w:p>
      <w:pPr>
        <w:pStyle w:val="3"/>
        <w:spacing w:before="0" w:after="0"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供应商情况介绍</w:t>
      </w:r>
    </w:p>
    <w:tbl>
      <w:tblPr>
        <w:tblStyle w:val="24"/>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77"/>
        <w:gridCol w:w="1043"/>
        <w:gridCol w:w="1043"/>
        <w:gridCol w:w="1179"/>
        <w:gridCol w:w="2218"/>
        <w:gridCol w:w="782"/>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noWrap w:val="0"/>
            <w:vAlign w:val="top"/>
          </w:tcPr>
          <w:p>
            <w:pPr>
              <w:pStyle w:val="52"/>
              <w:keepNext w:val="0"/>
              <w:keepLines w:val="0"/>
              <w:suppressLineNumbers w:val="0"/>
              <w:shd w:val="clear" w:color="auto" w:fill="auto"/>
              <w:spacing w:line="240" w:lineRule="auto"/>
              <w:ind w:left="0" w:right="0"/>
              <w:rPr>
                <w:rFonts w:hint="default"/>
                <w:bCs/>
                <w:color w:val="auto"/>
                <w:sz w:val="21"/>
                <w:szCs w:val="21"/>
                <w:highlight w:val="none"/>
              </w:rPr>
            </w:pPr>
            <w:r>
              <w:rPr>
                <w:rFonts w:hint="eastAsia"/>
                <w:bCs/>
                <w:color w:val="auto"/>
                <w:spacing w:val="27"/>
                <w:sz w:val="21"/>
                <w:szCs w:val="21"/>
                <w:highlight w:val="none"/>
              </w:rPr>
              <w:t>企业名称</w:t>
            </w:r>
          </w:p>
        </w:tc>
        <w:tc>
          <w:tcPr>
            <w:tcW w:w="4042" w:type="dxa"/>
            <w:gridSpan w:val="4"/>
            <w:noWrap w:val="0"/>
            <w:vAlign w:val="top"/>
          </w:tcPr>
          <w:p>
            <w:pPr>
              <w:pStyle w:val="52"/>
              <w:keepNext w:val="0"/>
              <w:keepLines w:val="0"/>
              <w:suppressLineNumbers w:val="0"/>
              <w:shd w:val="clear" w:color="auto" w:fill="auto"/>
              <w:spacing w:line="240" w:lineRule="auto"/>
              <w:ind w:left="0" w:right="0"/>
              <w:rPr>
                <w:rFonts w:hint="default"/>
                <w:bCs/>
                <w:color w:val="auto"/>
                <w:sz w:val="21"/>
                <w:szCs w:val="21"/>
                <w:highlight w:val="none"/>
              </w:rPr>
            </w:pPr>
          </w:p>
        </w:tc>
        <w:tc>
          <w:tcPr>
            <w:tcW w:w="2218" w:type="dxa"/>
            <w:noWrap w:val="0"/>
            <w:vAlign w:val="top"/>
          </w:tcPr>
          <w:p>
            <w:pPr>
              <w:pStyle w:val="52"/>
              <w:keepNext w:val="0"/>
              <w:keepLines w:val="0"/>
              <w:suppressLineNumbers w:val="0"/>
              <w:shd w:val="clear" w:color="auto" w:fill="auto"/>
              <w:spacing w:line="240" w:lineRule="auto"/>
              <w:ind w:left="0" w:right="0"/>
              <w:rPr>
                <w:rFonts w:hint="default"/>
                <w:bCs/>
                <w:color w:val="auto"/>
                <w:sz w:val="21"/>
                <w:szCs w:val="21"/>
                <w:highlight w:val="none"/>
              </w:rPr>
            </w:pPr>
            <w:r>
              <w:rPr>
                <w:rFonts w:hint="eastAsia"/>
                <w:bCs/>
                <w:color w:val="auto"/>
                <w:spacing w:val="16"/>
                <w:sz w:val="21"/>
                <w:szCs w:val="21"/>
                <w:highlight w:val="none"/>
              </w:rPr>
              <w:t>法人代表</w:t>
            </w:r>
          </w:p>
        </w:tc>
        <w:tc>
          <w:tcPr>
            <w:tcW w:w="1959" w:type="dxa"/>
            <w:gridSpan w:val="2"/>
            <w:noWrap w:val="0"/>
            <w:vAlign w:val="top"/>
          </w:tcPr>
          <w:p>
            <w:pPr>
              <w:pStyle w:val="52"/>
              <w:keepNext w:val="0"/>
              <w:keepLines w:val="0"/>
              <w:suppressLineNumbers w:val="0"/>
              <w:shd w:val="clear" w:color="auto" w:fill="auto"/>
              <w:spacing w:line="240" w:lineRule="auto"/>
              <w:ind w:left="0" w:right="0"/>
              <w:rPr>
                <w:rFonts w:hint="default"/>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r>
              <w:rPr>
                <w:rFonts w:hint="eastAsia"/>
                <w:bCs/>
                <w:color w:val="auto"/>
                <w:spacing w:val="27"/>
                <w:sz w:val="21"/>
                <w:szCs w:val="21"/>
                <w:highlight w:val="none"/>
              </w:rPr>
              <w:t>地址</w:t>
            </w:r>
          </w:p>
        </w:tc>
        <w:tc>
          <w:tcPr>
            <w:tcW w:w="4042" w:type="dxa"/>
            <w:gridSpan w:val="4"/>
            <w:tcBorders>
              <w:bottom w:val="single" w:color="auto" w:sz="4" w:space="0"/>
            </w:tcBorders>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p>
        </w:tc>
        <w:tc>
          <w:tcPr>
            <w:tcW w:w="2218" w:type="dxa"/>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r>
              <w:rPr>
                <w:rFonts w:hint="eastAsia"/>
                <w:bCs/>
                <w:color w:val="auto"/>
                <w:spacing w:val="16"/>
                <w:sz w:val="21"/>
                <w:szCs w:val="21"/>
                <w:highlight w:val="none"/>
              </w:rPr>
              <w:t>企业性质</w:t>
            </w:r>
          </w:p>
        </w:tc>
        <w:tc>
          <w:tcPr>
            <w:tcW w:w="1959" w:type="dxa"/>
            <w:gridSpan w:val="2"/>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80" w:type="dxa"/>
            <w:tcBorders>
              <w:bottom w:val="single" w:color="auto" w:sz="4" w:space="0"/>
            </w:tcBorders>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r>
              <w:rPr>
                <w:rFonts w:hint="eastAsia"/>
                <w:bCs/>
                <w:color w:val="auto"/>
                <w:spacing w:val="27"/>
                <w:sz w:val="21"/>
                <w:szCs w:val="21"/>
                <w:highlight w:val="none"/>
              </w:rPr>
              <w:t>股东姓名</w:t>
            </w:r>
          </w:p>
        </w:tc>
        <w:tc>
          <w:tcPr>
            <w:tcW w:w="777" w:type="dxa"/>
            <w:tcBorders>
              <w:bottom w:val="single" w:color="auto" w:sz="4" w:space="0"/>
            </w:tcBorders>
            <w:noWrap w:val="0"/>
            <w:vAlign w:val="top"/>
          </w:tcPr>
          <w:p>
            <w:pPr>
              <w:pStyle w:val="52"/>
              <w:keepNext w:val="0"/>
              <w:keepLines w:val="0"/>
              <w:suppressLineNumbers w:val="0"/>
              <w:shd w:val="clear" w:color="auto" w:fill="auto"/>
              <w:spacing w:before="0" w:beforeAutospacing="0" w:after="0" w:afterAutospacing="0" w:line="240" w:lineRule="auto"/>
              <w:ind w:left="0" w:right="0"/>
              <w:rPr>
                <w:rFonts w:hint="default"/>
                <w:bCs/>
                <w:color w:val="auto"/>
                <w:spacing w:val="16"/>
                <w:sz w:val="21"/>
                <w:szCs w:val="21"/>
                <w:highlight w:val="none"/>
              </w:rPr>
            </w:pPr>
          </w:p>
        </w:tc>
        <w:tc>
          <w:tcPr>
            <w:tcW w:w="1043" w:type="dxa"/>
            <w:tcBorders>
              <w:bottom w:val="single" w:color="auto" w:sz="4" w:space="0"/>
            </w:tcBorders>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r>
              <w:rPr>
                <w:rFonts w:hint="eastAsia"/>
                <w:bCs/>
                <w:color w:val="auto"/>
                <w:spacing w:val="16"/>
                <w:sz w:val="21"/>
                <w:szCs w:val="21"/>
                <w:highlight w:val="none"/>
              </w:rPr>
              <w:t>股权结构（%）</w:t>
            </w:r>
          </w:p>
        </w:tc>
        <w:tc>
          <w:tcPr>
            <w:tcW w:w="2222" w:type="dxa"/>
            <w:gridSpan w:val="2"/>
            <w:tcBorders>
              <w:bottom w:val="single" w:color="auto" w:sz="4" w:space="0"/>
            </w:tcBorders>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p>
        </w:tc>
        <w:tc>
          <w:tcPr>
            <w:tcW w:w="2218" w:type="dxa"/>
            <w:noWrap w:val="0"/>
            <w:vAlign w:val="top"/>
          </w:tcPr>
          <w:p>
            <w:pPr>
              <w:pStyle w:val="52"/>
              <w:keepNext w:val="0"/>
              <w:keepLines w:val="0"/>
              <w:suppressLineNumbers w:val="0"/>
              <w:shd w:val="clear" w:color="auto" w:fill="auto"/>
              <w:spacing w:line="240" w:lineRule="auto"/>
              <w:ind w:left="107" w:right="0"/>
              <w:rPr>
                <w:rFonts w:hint="default"/>
                <w:bCs/>
                <w:color w:val="auto"/>
                <w:spacing w:val="16"/>
                <w:sz w:val="21"/>
                <w:szCs w:val="21"/>
                <w:highlight w:val="none"/>
              </w:rPr>
            </w:pPr>
            <w:r>
              <w:rPr>
                <w:rFonts w:hint="eastAsia"/>
                <w:bCs/>
                <w:color w:val="auto"/>
                <w:spacing w:val="16"/>
                <w:sz w:val="21"/>
                <w:szCs w:val="21"/>
                <w:highlight w:val="none"/>
              </w:rPr>
              <w:t>股东关系</w:t>
            </w:r>
          </w:p>
        </w:tc>
        <w:tc>
          <w:tcPr>
            <w:tcW w:w="1959" w:type="dxa"/>
            <w:gridSpan w:val="2"/>
            <w:noWrap w:val="0"/>
            <w:vAlign w:val="top"/>
          </w:tcPr>
          <w:p>
            <w:pPr>
              <w:pStyle w:val="52"/>
              <w:keepNext w:val="0"/>
              <w:keepLines w:val="0"/>
              <w:suppressLineNumbers w:val="0"/>
              <w:shd w:val="clear" w:color="auto" w:fill="auto"/>
              <w:spacing w:line="240" w:lineRule="auto"/>
              <w:ind w:left="107" w:right="0"/>
              <w:rPr>
                <w:rFonts w:hint="default"/>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80" w:type="dxa"/>
            <w:vMerge w:val="restart"/>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r>
              <w:rPr>
                <w:rFonts w:hint="eastAsia"/>
                <w:bCs/>
                <w:color w:val="auto"/>
                <w:spacing w:val="12"/>
                <w:sz w:val="21"/>
                <w:szCs w:val="21"/>
                <w:highlight w:val="none"/>
              </w:rPr>
              <w:t>联系人</w:t>
            </w:r>
            <w:r>
              <w:rPr>
                <w:rFonts w:hint="eastAsia"/>
                <w:bCs/>
                <w:color w:val="auto"/>
                <w:spacing w:val="27"/>
                <w:sz w:val="21"/>
                <w:szCs w:val="21"/>
                <w:highlight w:val="none"/>
              </w:rPr>
              <w:t>姓名</w:t>
            </w:r>
          </w:p>
        </w:tc>
        <w:tc>
          <w:tcPr>
            <w:tcW w:w="777" w:type="dxa"/>
            <w:vMerge w:val="restart"/>
            <w:tcBorders>
              <w:top w:val="nil"/>
            </w:tcBorders>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p>
        </w:tc>
        <w:tc>
          <w:tcPr>
            <w:tcW w:w="1043" w:type="dxa"/>
            <w:tcBorders>
              <w:top w:val="nil"/>
              <w:bottom w:val="single" w:color="auto" w:sz="4" w:space="0"/>
            </w:tcBorders>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r>
              <w:rPr>
                <w:rFonts w:hint="eastAsia"/>
                <w:bCs/>
                <w:color w:val="auto"/>
                <w:spacing w:val="16"/>
                <w:sz w:val="21"/>
                <w:szCs w:val="21"/>
                <w:highlight w:val="none"/>
              </w:rPr>
              <w:t>固定电话</w:t>
            </w:r>
          </w:p>
        </w:tc>
        <w:tc>
          <w:tcPr>
            <w:tcW w:w="2222" w:type="dxa"/>
            <w:gridSpan w:val="2"/>
            <w:tcBorders>
              <w:top w:val="nil"/>
              <w:bottom w:val="single" w:color="auto" w:sz="4" w:space="0"/>
            </w:tcBorders>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p>
        </w:tc>
        <w:tc>
          <w:tcPr>
            <w:tcW w:w="2218" w:type="dxa"/>
            <w:vMerge w:val="restart"/>
            <w:noWrap w:val="0"/>
            <w:vAlign w:val="top"/>
          </w:tcPr>
          <w:p>
            <w:pPr>
              <w:pStyle w:val="52"/>
              <w:keepNext w:val="0"/>
              <w:keepLines w:val="0"/>
              <w:suppressLineNumbers w:val="0"/>
              <w:shd w:val="clear" w:color="auto" w:fill="auto"/>
              <w:spacing w:before="0" w:beforeAutospacing="0" w:after="0" w:afterAutospacing="0" w:line="240" w:lineRule="auto"/>
              <w:ind w:left="0" w:right="0"/>
              <w:rPr>
                <w:rFonts w:hint="default"/>
                <w:bCs/>
                <w:color w:val="auto"/>
                <w:spacing w:val="16"/>
                <w:sz w:val="21"/>
                <w:szCs w:val="21"/>
                <w:highlight w:val="none"/>
              </w:rPr>
            </w:pPr>
            <w:r>
              <w:rPr>
                <w:rFonts w:hint="eastAsia"/>
                <w:bCs/>
                <w:color w:val="auto"/>
                <w:spacing w:val="16"/>
                <w:sz w:val="21"/>
                <w:szCs w:val="21"/>
                <w:highlight w:val="none"/>
              </w:rPr>
              <w:t>传真</w:t>
            </w:r>
          </w:p>
        </w:tc>
        <w:tc>
          <w:tcPr>
            <w:tcW w:w="1959" w:type="dxa"/>
            <w:gridSpan w:val="2"/>
            <w:vMerge w:val="restart"/>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vMerge w:val="continue"/>
            <w:tcBorders>
              <w:bottom w:val="single" w:color="auto" w:sz="4" w:space="0"/>
            </w:tcBorders>
            <w:noWrap w:val="0"/>
            <w:vAlign w:val="top"/>
          </w:tcPr>
          <w:p>
            <w:pPr>
              <w:pStyle w:val="52"/>
              <w:keepNext w:val="0"/>
              <w:keepLines w:val="0"/>
              <w:suppressLineNumbers w:val="0"/>
              <w:shd w:val="clear" w:color="auto" w:fill="auto"/>
              <w:spacing w:line="240" w:lineRule="auto"/>
              <w:ind w:left="107" w:right="0"/>
              <w:rPr>
                <w:rFonts w:hint="default"/>
                <w:bCs/>
                <w:color w:val="auto"/>
                <w:sz w:val="21"/>
                <w:szCs w:val="21"/>
                <w:highlight w:val="none"/>
              </w:rPr>
            </w:pPr>
          </w:p>
        </w:tc>
        <w:tc>
          <w:tcPr>
            <w:tcW w:w="777" w:type="dxa"/>
            <w:vMerge w:val="continue"/>
            <w:tcBorders>
              <w:bottom w:val="single" w:color="auto" w:sz="4" w:space="0"/>
            </w:tcBorders>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p>
        </w:tc>
        <w:tc>
          <w:tcPr>
            <w:tcW w:w="1043" w:type="dxa"/>
            <w:tcBorders>
              <w:bottom w:val="single" w:color="auto" w:sz="4" w:space="0"/>
            </w:tcBorders>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r>
              <w:rPr>
                <w:rFonts w:hint="eastAsia"/>
                <w:bCs/>
                <w:color w:val="auto"/>
                <w:spacing w:val="27"/>
                <w:sz w:val="21"/>
                <w:szCs w:val="21"/>
                <w:highlight w:val="none"/>
              </w:rPr>
              <w:t>手机</w:t>
            </w:r>
          </w:p>
        </w:tc>
        <w:tc>
          <w:tcPr>
            <w:tcW w:w="2222" w:type="dxa"/>
            <w:gridSpan w:val="2"/>
            <w:tcBorders>
              <w:bottom w:val="single" w:color="auto" w:sz="4" w:space="0"/>
            </w:tcBorders>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p>
        </w:tc>
        <w:tc>
          <w:tcPr>
            <w:tcW w:w="2218" w:type="dxa"/>
            <w:vMerge w:val="continue"/>
            <w:tcBorders>
              <w:bottom w:val="single" w:color="auto" w:sz="4" w:space="0"/>
            </w:tcBorders>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p>
        </w:tc>
        <w:tc>
          <w:tcPr>
            <w:tcW w:w="1959" w:type="dxa"/>
            <w:gridSpan w:val="2"/>
            <w:vMerge w:val="continue"/>
            <w:tcBorders>
              <w:bottom w:val="single" w:color="auto" w:sz="4" w:space="0"/>
            </w:tcBorders>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180" w:type="dxa"/>
            <w:vMerge w:val="restart"/>
            <w:tcBorders>
              <w:top w:val="single" w:color="auto" w:sz="4" w:space="0"/>
            </w:tcBorders>
            <w:noWrap w:val="0"/>
            <w:vAlign w:val="top"/>
          </w:tcPr>
          <w:p>
            <w:pPr>
              <w:pStyle w:val="52"/>
              <w:keepNext w:val="0"/>
              <w:keepLines w:val="0"/>
              <w:suppressLineNumbers w:val="0"/>
              <w:shd w:val="clear" w:color="auto" w:fill="auto"/>
              <w:spacing w:line="240" w:lineRule="auto"/>
              <w:ind w:left="107" w:right="0"/>
              <w:rPr>
                <w:rFonts w:hint="default"/>
                <w:bCs/>
                <w:color w:val="auto"/>
                <w:sz w:val="21"/>
                <w:szCs w:val="21"/>
                <w:highlight w:val="none"/>
              </w:rPr>
            </w:pPr>
            <w:r>
              <w:rPr>
                <w:rFonts w:hint="default"/>
                <w:bCs/>
                <w:color w:val="auto"/>
                <w:sz w:val="21"/>
                <w:szCs w:val="21"/>
                <w:highlight w:val="none"/>
              </w:rPr>
              <w:t>1</w:t>
            </w:r>
            <w:r>
              <w:rPr>
                <w:rFonts w:hint="eastAsia"/>
                <w:bCs/>
                <w:color w:val="auto"/>
                <w:sz w:val="21"/>
                <w:szCs w:val="21"/>
                <w:highlight w:val="none"/>
              </w:rPr>
              <w:t>.</w:t>
            </w:r>
          </w:p>
          <w:p>
            <w:pPr>
              <w:pStyle w:val="52"/>
              <w:keepNext w:val="0"/>
              <w:keepLines w:val="0"/>
              <w:suppressLineNumbers w:val="0"/>
              <w:shd w:val="clear" w:color="auto" w:fill="auto"/>
              <w:spacing w:line="240" w:lineRule="auto"/>
              <w:ind w:left="107" w:right="0"/>
              <w:rPr>
                <w:rFonts w:hint="default"/>
                <w:bCs/>
                <w:color w:val="auto"/>
                <w:sz w:val="21"/>
                <w:szCs w:val="21"/>
                <w:highlight w:val="none"/>
              </w:rPr>
            </w:pPr>
            <w:r>
              <w:rPr>
                <w:rFonts w:hint="eastAsia"/>
                <w:bCs/>
                <w:color w:val="auto"/>
                <w:sz w:val="21"/>
                <w:szCs w:val="21"/>
                <w:highlight w:val="none"/>
              </w:rPr>
              <w:t>企</w:t>
            </w:r>
          </w:p>
          <w:p>
            <w:pPr>
              <w:pStyle w:val="52"/>
              <w:keepNext w:val="0"/>
              <w:keepLines w:val="0"/>
              <w:suppressLineNumbers w:val="0"/>
              <w:shd w:val="clear" w:color="auto" w:fill="auto"/>
              <w:spacing w:line="240" w:lineRule="auto"/>
              <w:ind w:left="107" w:right="0"/>
              <w:rPr>
                <w:rFonts w:hint="default"/>
                <w:bCs/>
                <w:color w:val="auto"/>
                <w:sz w:val="21"/>
                <w:szCs w:val="21"/>
                <w:highlight w:val="none"/>
              </w:rPr>
            </w:pPr>
            <w:r>
              <w:rPr>
                <w:rFonts w:hint="eastAsia"/>
                <w:bCs/>
                <w:color w:val="auto"/>
                <w:sz w:val="21"/>
                <w:szCs w:val="21"/>
                <w:highlight w:val="none"/>
              </w:rPr>
              <w:t>业</w:t>
            </w:r>
          </w:p>
          <w:p>
            <w:pPr>
              <w:pStyle w:val="52"/>
              <w:keepNext w:val="0"/>
              <w:keepLines w:val="0"/>
              <w:suppressLineNumbers w:val="0"/>
              <w:shd w:val="clear" w:color="auto" w:fill="auto"/>
              <w:spacing w:line="240" w:lineRule="auto"/>
              <w:ind w:left="107" w:right="0"/>
              <w:rPr>
                <w:rFonts w:hint="default"/>
                <w:bCs/>
                <w:color w:val="auto"/>
                <w:spacing w:val="27"/>
                <w:sz w:val="21"/>
                <w:szCs w:val="21"/>
                <w:highlight w:val="none"/>
              </w:rPr>
            </w:pPr>
            <w:r>
              <w:rPr>
                <w:rFonts w:hint="eastAsia"/>
                <w:bCs/>
                <w:color w:val="auto"/>
                <w:spacing w:val="27"/>
                <w:sz w:val="21"/>
                <w:szCs w:val="21"/>
                <w:highlight w:val="none"/>
              </w:rPr>
              <w:t>概</w:t>
            </w:r>
          </w:p>
          <w:p>
            <w:pPr>
              <w:pStyle w:val="52"/>
              <w:keepNext w:val="0"/>
              <w:keepLines w:val="0"/>
              <w:suppressLineNumbers w:val="0"/>
              <w:shd w:val="clear" w:color="auto" w:fill="auto"/>
              <w:spacing w:line="240" w:lineRule="auto"/>
              <w:ind w:left="107" w:right="0"/>
              <w:rPr>
                <w:rFonts w:hint="default"/>
                <w:bCs/>
                <w:color w:val="auto"/>
                <w:sz w:val="21"/>
                <w:szCs w:val="21"/>
                <w:highlight w:val="none"/>
              </w:rPr>
            </w:pPr>
            <w:r>
              <w:rPr>
                <w:rFonts w:hint="eastAsia"/>
                <w:bCs/>
                <w:color w:val="auto"/>
                <w:spacing w:val="27"/>
                <w:sz w:val="21"/>
                <w:szCs w:val="21"/>
                <w:highlight w:val="none"/>
              </w:rPr>
              <w:t>况</w:t>
            </w:r>
          </w:p>
        </w:tc>
        <w:tc>
          <w:tcPr>
            <w:tcW w:w="777" w:type="dxa"/>
            <w:tcBorders>
              <w:top w:val="single" w:color="auto" w:sz="4" w:space="0"/>
            </w:tcBorders>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r>
              <w:rPr>
                <w:rFonts w:hint="eastAsia"/>
                <w:bCs/>
                <w:color w:val="auto"/>
                <w:spacing w:val="16"/>
                <w:sz w:val="21"/>
                <w:szCs w:val="21"/>
                <w:highlight w:val="none"/>
              </w:rPr>
              <w:t>职工人数</w:t>
            </w:r>
          </w:p>
        </w:tc>
        <w:tc>
          <w:tcPr>
            <w:tcW w:w="1043" w:type="dxa"/>
            <w:tcBorders>
              <w:top w:val="single" w:color="auto" w:sz="4" w:space="0"/>
            </w:tcBorders>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p>
        </w:tc>
        <w:tc>
          <w:tcPr>
            <w:tcW w:w="1043" w:type="dxa"/>
            <w:tcBorders>
              <w:top w:val="single" w:color="auto" w:sz="4" w:space="0"/>
            </w:tcBorders>
            <w:noWrap w:val="0"/>
            <w:vAlign w:val="top"/>
          </w:tcPr>
          <w:p>
            <w:pPr>
              <w:pStyle w:val="52"/>
              <w:keepNext w:val="0"/>
              <w:keepLines w:val="0"/>
              <w:suppressLineNumbers w:val="0"/>
              <w:shd w:val="clear" w:color="auto" w:fill="auto"/>
              <w:spacing w:before="0" w:beforeAutospacing="0" w:after="0" w:afterAutospacing="0" w:line="240" w:lineRule="auto"/>
              <w:ind w:left="0" w:right="0"/>
              <w:rPr>
                <w:rFonts w:hint="default"/>
                <w:bCs/>
                <w:color w:val="auto"/>
                <w:sz w:val="21"/>
                <w:szCs w:val="21"/>
                <w:highlight w:val="none"/>
              </w:rPr>
            </w:pPr>
            <w:r>
              <w:rPr>
                <w:rFonts w:hint="eastAsia"/>
                <w:bCs/>
                <w:color w:val="auto"/>
                <w:spacing w:val="18"/>
                <w:sz w:val="21"/>
                <w:szCs w:val="21"/>
                <w:highlight w:val="none"/>
              </w:rPr>
              <w:t>具备大专以</w:t>
            </w:r>
            <w:r>
              <w:rPr>
                <w:rFonts w:hint="eastAsia"/>
                <w:bCs/>
                <w:color w:val="auto"/>
                <w:spacing w:val="12"/>
                <w:sz w:val="21"/>
                <w:szCs w:val="21"/>
                <w:highlight w:val="none"/>
              </w:rPr>
              <w:t>上学历人数</w:t>
            </w:r>
          </w:p>
        </w:tc>
        <w:tc>
          <w:tcPr>
            <w:tcW w:w="1179" w:type="dxa"/>
            <w:tcBorders>
              <w:top w:val="single" w:color="auto" w:sz="4" w:space="0"/>
            </w:tcBorders>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p>
        </w:tc>
        <w:tc>
          <w:tcPr>
            <w:tcW w:w="2218" w:type="dxa"/>
            <w:tcBorders>
              <w:top w:val="single" w:color="auto" w:sz="4" w:space="0"/>
            </w:tcBorders>
            <w:noWrap w:val="0"/>
            <w:vAlign w:val="top"/>
          </w:tcPr>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r>
              <w:rPr>
                <w:rFonts w:hint="eastAsia"/>
                <w:bCs/>
                <w:color w:val="auto"/>
                <w:spacing w:val="65"/>
                <w:sz w:val="21"/>
                <w:szCs w:val="21"/>
                <w:highlight w:val="none"/>
              </w:rPr>
              <w:t>国家授予技</w:t>
            </w:r>
            <w:r>
              <w:rPr>
                <w:rFonts w:hint="eastAsia"/>
                <w:bCs/>
                <w:color w:val="auto"/>
                <w:spacing w:val="12"/>
                <w:sz w:val="21"/>
                <w:szCs w:val="21"/>
                <w:highlight w:val="none"/>
              </w:rPr>
              <w:t>术职称人数</w:t>
            </w:r>
          </w:p>
        </w:tc>
        <w:tc>
          <w:tcPr>
            <w:tcW w:w="1959" w:type="dxa"/>
            <w:gridSpan w:val="2"/>
            <w:tcBorders>
              <w:top w:val="single" w:color="auto" w:sz="4" w:space="0"/>
            </w:tcBorders>
            <w:noWrap w:val="0"/>
            <w:vAlign w:val="top"/>
          </w:tcPr>
          <w:p>
            <w:pPr>
              <w:keepNext w:val="0"/>
              <w:keepLines w:val="0"/>
              <w:widowControl/>
              <w:suppressLineNumbers w:val="0"/>
              <w:shd w:val="clear" w:color="auto" w:fill="auto"/>
              <w:spacing w:before="0" w:beforeAutospacing="0" w:after="0" w:afterAutospacing="0" w:line="240" w:lineRule="auto"/>
              <w:ind w:left="0" w:right="0"/>
              <w:jc w:val="left"/>
              <w:rPr>
                <w:rFonts w:hint="default" w:ascii="宋体" w:hAnsi="宋体" w:cs="宋体"/>
                <w:bCs/>
                <w:color w:val="auto"/>
                <w:spacing w:val="16"/>
                <w:kern w:val="0"/>
                <w:szCs w:val="21"/>
                <w:highlight w:val="none"/>
              </w:rPr>
            </w:pPr>
          </w:p>
          <w:p>
            <w:pPr>
              <w:pStyle w:val="52"/>
              <w:keepNext w:val="0"/>
              <w:keepLines w:val="0"/>
              <w:suppressLineNumbers w:val="0"/>
              <w:shd w:val="clear" w:color="auto" w:fill="auto"/>
              <w:spacing w:line="240" w:lineRule="auto"/>
              <w:ind w:left="0" w:right="0"/>
              <w:rPr>
                <w:rFonts w:hint="default"/>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1180" w:type="dxa"/>
            <w:vMerge w:val="continue"/>
            <w:noWrap w:val="0"/>
            <w:vAlign w:val="top"/>
          </w:tcPr>
          <w:p>
            <w:pPr>
              <w:pStyle w:val="52"/>
              <w:keepNext w:val="0"/>
              <w:keepLines w:val="0"/>
              <w:suppressLineNumbers w:val="0"/>
              <w:shd w:val="clear" w:color="auto" w:fill="auto"/>
              <w:spacing w:line="240" w:lineRule="auto"/>
              <w:ind w:left="107" w:right="0"/>
              <w:rPr>
                <w:rFonts w:hint="default"/>
                <w:bCs/>
                <w:color w:val="auto"/>
                <w:sz w:val="21"/>
                <w:szCs w:val="21"/>
                <w:highlight w:val="none"/>
              </w:rPr>
            </w:pPr>
          </w:p>
        </w:tc>
        <w:tc>
          <w:tcPr>
            <w:tcW w:w="777" w:type="dxa"/>
            <w:noWrap w:val="0"/>
            <w:vAlign w:val="top"/>
          </w:tcPr>
          <w:p>
            <w:pPr>
              <w:pStyle w:val="52"/>
              <w:keepNext w:val="0"/>
              <w:keepLines w:val="0"/>
              <w:suppressLineNumbers w:val="0"/>
              <w:shd w:val="clear" w:color="auto" w:fill="auto"/>
              <w:spacing w:line="240" w:lineRule="auto"/>
              <w:ind w:left="0" w:right="0"/>
              <w:rPr>
                <w:rFonts w:hint="default"/>
                <w:bCs/>
                <w:color w:val="auto"/>
                <w:sz w:val="21"/>
                <w:szCs w:val="21"/>
                <w:highlight w:val="none"/>
              </w:rPr>
            </w:pPr>
            <w:r>
              <w:rPr>
                <w:rFonts w:hint="eastAsia"/>
                <w:bCs/>
                <w:color w:val="auto"/>
                <w:spacing w:val="16"/>
                <w:sz w:val="21"/>
                <w:szCs w:val="21"/>
                <w:highlight w:val="none"/>
              </w:rPr>
              <w:t>占地面积</w:t>
            </w:r>
          </w:p>
        </w:tc>
        <w:tc>
          <w:tcPr>
            <w:tcW w:w="1043" w:type="dxa"/>
            <w:noWrap w:val="0"/>
            <w:vAlign w:val="top"/>
          </w:tcPr>
          <w:p>
            <w:pPr>
              <w:pStyle w:val="52"/>
              <w:keepNext w:val="0"/>
              <w:keepLines w:val="0"/>
              <w:suppressLineNumbers w:val="0"/>
              <w:shd w:val="clear" w:color="auto" w:fill="auto"/>
              <w:spacing w:line="240" w:lineRule="auto"/>
              <w:ind w:left="0" w:right="0"/>
              <w:rPr>
                <w:rFonts w:hint="default"/>
                <w:bCs/>
                <w:color w:val="auto"/>
                <w:sz w:val="21"/>
                <w:szCs w:val="21"/>
                <w:highlight w:val="none"/>
              </w:rPr>
            </w:pPr>
          </w:p>
        </w:tc>
        <w:tc>
          <w:tcPr>
            <w:tcW w:w="1043" w:type="dxa"/>
            <w:noWrap w:val="0"/>
            <w:vAlign w:val="top"/>
          </w:tcPr>
          <w:p>
            <w:pPr>
              <w:pStyle w:val="52"/>
              <w:keepNext w:val="0"/>
              <w:keepLines w:val="0"/>
              <w:suppressLineNumbers w:val="0"/>
              <w:shd w:val="clear" w:color="auto" w:fill="auto"/>
              <w:spacing w:line="240" w:lineRule="auto"/>
              <w:ind w:left="0" w:right="0"/>
              <w:rPr>
                <w:rFonts w:hint="default"/>
                <w:bCs/>
                <w:color w:val="auto"/>
                <w:sz w:val="21"/>
                <w:szCs w:val="21"/>
                <w:highlight w:val="none"/>
              </w:rPr>
            </w:pPr>
            <w:r>
              <w:rPr>
                <w:rFonts w:hint="eastAsia"/>
                <w:bCs/>
                <w:color w:val="auto"/>
                <w:spacing w:val="16"/>
                <w:sz w:val="21"/>
                <w:szCs w:val="21"/>
                <w:highlight w:val="none"/>
              </w:rPr>
              <w:t>建筑面积</w:t>
            </w:r>
          </w:p>
        </w:tc>
        <w:tc>
          <w:tcPr>
            <w:tcW w:w="1179" w:type="dxa"/>
            <w:noWrap w:val="0"/>
            <w:vAlign w:val="top"/>
          </w:tcPr>
          <w:p>
            <w:pPr>
              <w:pStyle w:val="52"/>
              <w:keepNext w:val="0"/>
              <w:keepLines w:val="0"/>
              <w:suppressLineNumbers w:val="0"/>
              <w:shd w:val="clear" w:color="auto" w:fill="auto"/>
              <w:spacing w:line="240" w:lineRule="auto"/>
              <w:ind w:left="0" w:right="0"/>
              <w:rPr>
                <w:rFonts w:hint="eastAsia"/>
                <w:bCs/>
                <w:color w:val="auto"/>
                <w:sz w:val="21"/>
                <w:szCs w:val="21"/>
                <w:highlight w:val="none"/>
              </w:rPr>
            </w:pPr>
            <w:r>
              <w:rPr>
                <w:rFonts w:hint="eastAsia"/>
                <w:bCs/>
                <w:color w:val="auto"/>
                <w:sz w:val="21"/>
                <w:szCs w:val="21"/>
                <w:highlight w:val="none"/>
              </w:rPr>
              <w:t xml:space="preserve">平方米 </w:t>
            </w:r>
          </w:p>
          <w:p>
            <w:pPr>
              <w:pStyle w:val="52"/>
              <w:keepNext w:val="0"/>
              <w:keepLines w:val="0"/>
              <w:suppressLineNumbers w:val="0"/>
              <w:shd w:val="clear" w:color="auto" w:fill="auto"/>
              <w:spacing w:line="240" w:lineRule="auto"/>
              <w:ind w:left="0" w:right="0"/>
              <w:rPr>
                <w:rFonts w:hint="eastAsia"/>
                <w:bCs/>
                <w:color w:val="auto"/>
                <w:spacing w:val="16"/>
                <w:sz w:val="21"/>
                <w:szCs w:val="21"/>
                <w:highlight w:val="none"/>
              </w:rPr>
            </w:pPr>
            <w:r>
              <w:rPr>
                <w:rFonts w:hint="eastAsia"/>
                <w:bCs/>
                <w:color w:val="auto"/>
                <w:spacing w:val="16"/>
                <w:sz w:val="21"/>
                <w:szCs w:val="21"/>
                <w:highlight w:val="none"/>
              </w:rPr>
              <w:sym w:font="Wingdings 2" w:char="00A3"/>
            </w:r>
            <w:r>
              <w:rPr>
                <w:rFonts w:hint="eastAsia"/>
                <w:bCs/>
                <w:color w:val="auto"/>
                <w:spacing w:val="16"/>
                <w:sz w:val="21"/>
                <w:szCs w:val="21"/>
                <w:highlight w:val="none"/>
              </w:rPr>
              <w:t>自有</w:t>
            </w:r>
          </w:p>
          <w:p>
            <w:pPr>
              <w:pStyle w:val="52"/>
              <w:keepNext w:val="0"/>
              <w:keepLines w:val="0"/>
              <w:suppressLineNumbers w:val="0"/>
              <w:shd w:val="clear" w:color="auto" w:fill="auto"/>
              <w:spacing w:line="240" w:lineRule="auto"/>
              <w:ind w:left="0" w:right="0"/>
              <w:rPr>
                <w:rFonts w:hint="default"/>
                <w:bCs/>
                <w:color w:val="auto"/>
                <w:sz w:val="21"/>
                <w:szCs w:val="21"/>
                <w:highlight w:val="none"/>
              </w:rPr>
            </w:pPr>
            <w:r>
              <w:rPr>
                <w:rFonts w:hint="eastAsia"/>
                <w:bCs/>
                <w:color w:val="auto"/>
                <w:spacing w:val="16"/>
                <w:sz w:val="21"/>
                <w:szCs w:val="21"/>
                <w:highlight w:val="none"/>
              </w:rPr>
              <w:sym w:font="Wingdings 2" w:char="00A3"/>
            </w:r>
            <w:r>
              <w:rPr>
                <w:rFonts w:hint="eastAsia"/>
                <w:bCs/>
                <w:color w:val="auto"/>
                <w:spacing w:val="16"/>
                <w:sz w:val="21"/>
                <w:szCs w:val="21"/>
                <w:highlight w:val="none"/>
              </w:rPr>
              <w:t>租賃</w:t>
            </w:r>
          </w:p>
        </w:tc>
        <w:tc>
          <w:tcPr>
            <w:tcW w:w="2218" w:type="dxa"/>
            <w:noWrap w:val="0"/>
            <w:vAlign w:val="top"/>
          </w:tcPr>
          <w:p>
            <w:pPr>
              <w:pStyle w:val="52"/>
              <w:keepNext w:val="0"/>
              <w:keepLines w:val="0"/>
              <w:suppressLineNumbers w:val="0"/>
              <w:shd w:val="clear" w:color="auto" w:fill="auto"/>
              <w:spacing w:line="240" w:lineRule="auto"/>
              <w:ind w:left="0" w:right="0"/>
              <w:rPr>
                <w:rFonts w:hint="default"/>
                <w:bCs/>
                <w:color w:val="auto"/>
                <w:sz w:val="21"/>
                <w:szCs w:val="21"/>
                <w:highlight w:val="none"/>
              </w:rPr>
            </w:pPr>
            <w:r>
              <w:rPr>
                <w:rFonts w:hint="eastAsia"/>
                <w:bCs/>
                <w:color w:val="auto"/>
                <w:spacing w:val="16"/>
                <w:sz w:val="21"/>
                <w:szCs w:val="21"/>
                <w:highlight w:val="none"/>
              </w:rPr>
              <w:t>生产经营场所及场所的设施与设备</w:t>
            </w:r>
          </w:p>
        </w:tc>
        <w:tc>
          <w:tcPr>
            <w:tcW w:w="1959" w:type="dxa"/>
            <w:gridSpan w:val="2"/>
            <w:noWrap w:val="0"/>
            <w:vAlign w:val="top"/>
          </w:tcPr>
          <w:p>
            <w:pPr>
              <w:pStyle w:val="52"/>
              <w:keepNext w:val="0"/>
              <w:keepLines w:val="0"/>
              <w:suppressLineNumbers w:val="0"/>
              <w:shd w:val="clear" w:color="auto" w:fill="auto"/>
              <w:spacing w:before="0" w:beforeAutospacing="0" w:after="0" w:afterAutospacing="0" w:line="240" w:lineRule="auto"/>
              <w:ind w:left="0" w:right="0"/>
              <w:rPr>
                <w:rFonts w:hint="default"/>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80" w:type="dxa"/>
            <w:vMerge w:val="continue"/>
            <w:noWrap w:val="0"/>
            <w:vAlign w:val="top"/>
          </w:tcPr>
          <w:p>
            <w:pPr>
              <w:pStyle w:val="52"/>
              <w:keepNext w:val="0"/>
              <w:keepLines w:val="0"/>
              <w:suppressLineNumbers w:val="0"/>
              <w:shd w:val="clear" w:color="auto" w:fill="auto"/>
              <w:spacing w:line="240" w:lineRule="auto"/>
              <w:ind w:left="107" w:right="0"/>
              <w:rPr>
                <w:rFonts w:hint="default"/>
                <w:bCs/>
                <w:color w:val="auto"/>
                <w:sz w:val="21"/>
                <w:szCs w:val="21"/>
                <w:highlight w:val="none"/>
              </w:rPr>
            </w:pPr>
          </w:p>
        </w:tc>
        <w:tc>
          <w:tcPr>
            <w:tcW w:w="777" w:type="dxa"/>
            <w:noWrap w:val="0"/>
            <w:vAlign w:val="top"/>
          </w:tcPr>
          <w:p>
            <w:pPr>
              <w:pStyle w:val="52"/>
              <w:keepNext w:val="0"/>
              <w:keepLines w:val="0"/>
              <w:suppressLineNumbers w:val="0"/>
              <w:shd w:val="clear" w:color="auto" w:fill="auto"/>
              <w:spacing w:line="240" w:lineRule="auto"/>
              <w:ind w:left="2" w:right="0"/>
              <w:rPr>
                <w:rFonts w:hint="default"/>
                <w:bCs/>
                <w:color w:val="auto"/>
                <w:spacing w:val="16"/>
                <w:sz w:val="21"/>
                <w:szCs w:val="21"/>
                <w:highlight w:val="none"/>
              </w:rPr>
            </w:pPr>
            <w:r>
              <w:rPr>
                <w:rFonts w:hint="eastAsia"/>
                <w:bCs/>
                <w:color w:val="auto"/>
                <w:spacing w:val="16"/>
                <w:sz w:val="21"/>
                <w:szCs w:val="21"/>
                <w:highlight w:val="none"/>
              </w:rPr>
              <w:t>注册资金</w:t>
            </w:r>
          </w:p>
        </w:tc>
        <w:tc>
          <w:tcPr>
            <w:tcW w:w="1043" w:type="dxa"/>
            <w:noWrap w:val="0"/>
            <w:vAlign w:val="top"/>
          </w:tcPr>
          <w:p>
            <w:pPr>
              <w:pStyle w:val="52"/>
              <w:keepNext w:val="0"/>
              <w:keepLines w:val="0"/>
              <w:suppressLineNumbers w:val="0"/>
              <w:shd w:val="clear" w:color="auto" w:fill="auto"/>
              <w:spacing w:line="240" w:lineRule="auto"/>
              <w:ind w:left="2" w:right="0"/>
              <w:rPr>
                <w:rFonts w:hint="default"/>
                <w:bCs/>
                <w:color w:val="auto"/>
                <w:sz w:val="21"/>
                <w:szCs w:val="21"/>
                <w:highlight w:val="none"/>
              </w:rPr>
            </w:pPr>
          </w:p>
        </w:tc>
        <w:tc>
          <w:tcPr>
            <w:tcW w:w="1043" w:type="dxa"/>
            <w:noWrap w:val="0"/>
            <w:vAlign w:val="top"/>
          </w:tcPr>
          <w:p>
            <w:pPr>
              <w:pStyle w:val="52"/>
              <w:keepNext w:val="0"/>
              <w:keepLines w:val="0"/>
              <w:suppressLineNumbers w:val="0"/>
              <w:shd w:val="clear" w:color="auto" w:fill="auto"/>
              <w:spacing w:line="240" w:lineRule="auto"/>
              <w:ind w:left="107" w:right="0"/>
              <w:rPr>
                <w:rFonts w:hint="default"/>
                <w:bCs/>
                <w:color w:val="auto"/>
                <w:sz w:val="21"/>
                <w:szCs w:val="21"/>
                <w:highlight w:val="none"/>
              </w:rPr>
            </w:pPr>
            <w:r>
              <w:rPr>
                <w:rFonts w:hint="eastAsia"/>
                <w:bCs/>
                <w:color w:val="auto"/>
                <w:spacing w:val="16"/>
                <w:sz w:val="21"/>
                <w:szCs w:val="21"/>
                <w:highlight w:val="none"/>
              </w:rPr>
              <w:t>注册发证</w:t>
            </w:r>
            <w:r>
              <w:rPr>
                <w:rFonts w:hint="eastAsia"/>
                <w:bCs/>
                <w:color w:val="auto"/>
                <w:spacing w:val="27"/>
                <w:sz w:val="21"/>
                <w:szCs w:val="21"/>
                <w:highlight w:val="none"/>
              </w:rPr>
              <w:t>机关</w:t>
            </w:r>
          </w:p>
        </w:tc>
        <w:tc>
          <w:tcPr>
            <w:tcW w:w="3397" w:type="dxa"/>
            <w:gridSpan w:val="2"/>
            <w:noWrap w:val="0"/>
            <w:vAlign w:val="top"/>
          </w:tcPr>
          <w:p>
            <w:pPr>
              <w:pStyle w:val="52"/>
              <w:keepNext w:val="0"/>
              <w:keepLines w:val="0"/>
              <w:suppressLineNumbers w:val="0"/>
              <w:shd w:val="clear" w:color="auto" w:fill="auto"/>
              <w:spacing w:line="240" w:lineRule="auto"/>
              <w:ind w:left="0" w:right="0"/>
              <w:rPr>
                <w:rFonts w:hint="default"/>
                <w:bCs/>
                <w:color w:val="auto"/>
                <w:sz w:val="21"/>
                <w:szCs w:val="21"/>
                <w:highlight w:val="none"/>
              </w:rPr>
            </w:pPr>
          </w:p>
        </w:tc>
        <w:tc>
          <w:tcPr>
            <w:tcW w:w="782" w:type="dxa"/>
            <w:noWrap w:val="0"/>
            <w:vAlign w:val="top"/>
          </w:tcPr>
          <w:p>
            <w:pPr>
              <w:pStyle w:val="52"/>
              <w:keepNext w:val="0"/>
              <w:keepLines w:val="0"/>
              <w:suppressLineNumbers w:val="0"/>
              <w:shd w:val="clear" w:color="auto" w:fill="auto"/>
              <w:spacing w:line="240" w:lineRule="auto"/>
              <w:ind w:left="107" w:right="0"/>
              <w:rPr>
                <w:rFonts w:hint="default"/>
                <w:bCs/>
                <w:color w:val="auto"/>
                <w:sz w:val="21"/>
                <w:szCs w:val="21"/>
                <w:highlight w:val="none"/>
              </w:rPr>
            </w:pPr>
            <w:r>
              <w:rPr>
                <w:rFonts w:hint="eastAsia"/>
                <w:bCs/>
                <w:color w:val="auto"/>
                <w:sz w:val="21"/>
                <w:szCs w:val="21"/>
                <w:highlight w:val="none"/>
              </w:rPr>
              <w:t>公司成</w:t>
            </w:r>
            <w:r>
              <w:rPr>
                <w:rFonts w:hint="eastAsia"/>
                <w:bCs/>
                <w:color w:val="auto"/>
                <w:spacing w:val="12"/>
                <w:sz w:val="21"/>
                <w:szCs w:val="21"/>
                <w:highlight w:val="none"/>
              </w:rPr>
              <w:t>立时间</w:t>
            </w:r>
          </w:p>
        </w:tc>
        <w:tc>
          <w:tcPr>
            <w:tcW w:w="1177" w:type="dxa"/>
            <w:noWrap w:val="0"/>
            <w:vAlign w:val="top"/>
          </w:tcPr>
          <w:p>
            <w:pPr>
              <w:pStyle w:val="52"/>
              <w:keepNext w:val="0"/>
              <w:keepLines w:val="0"/>
              <w:suppressLineNumbers w:val="0"/>
              <w:shd w:val="clear" w:color="auto" w:fill="auto"/>
              <w:spacing w:line="240" w:lineRule="auto"/>
              <w:ind w:left="107" w:right="0"/>
              <w:rPr>
                <w:rFonts w:hint="default"/>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80" w:type="dxa"/>
            <w:vMerge w:val="continue"/>
            <w:noWrap w:val="0"/>
            <w:vAlign w:val="top"/>
          </w:tcPr>
          <w:p>
            <w:pPr>
              <w:pStyle w:val="52"/>
              <w:keepNext w:val="0"/>
              <w:keepLines w:val="0"/>
              <w:suppressLineNumbers w:val="0"/>
              <w:shd w:val="clear" w:color="auto" w:fill="auto"/>
              <w:spacing w:line="240" w:lineRule="auto"/>
              <w:ind w:left="107" w:right="0"/>
              <w:rPr>
                <w:rFonts w:hint="default"/>
                <w:bCs/>
                <w:color w:val="auto"/>
                <w:sz w:val="21"/>
                <w:szCs w:val="21"/>
                <w:highlight w:val="none"/>
              </w:rPr>
            </w:pPr>
          </w:p>
        </w:tc>
        <w:tc>
          <w:tcPr>
            <w:tcW w:w="777" w:type="dxa"/>
            <w:noWrap w:val="0"/>
            <w:vAlign w:val="top"/>
          </w:tcPr>
          <w:p>
            <w:pPr>
              <w:pStyle w:val="52"/>
              <w:keepNext w:val="0"/>
              <w:keepLines w:val="0"/>
              <w:suppressLineNumbers w:val="0"/>
              <w:shd w:val="clear" w:color="auto" w:fill="auto"/>
              <w:spacing w:line="240" w:lineRule="auto"/>
              <w:ind w:left="2" w:right="0"/>
              <w:rPr>
                <w:rFonts w:hint="default"/>
                <w:bCs/>
                <w:color w:val="auto"/>
                <w:sz w:val="21"/>
                <w:szCs w:val="21"/>
                <w:highlight w:val="none"/>
              </w:rPr>
            </w:pPr>
            <w:r>
              <w:rPr>
                <w:rFonts w:hint="eastAsia"/>
                <w:bCs/>
                <w:color w:val="auto"/>
                <w:sz w:val="21"/>
                <w:szCs w:val="21"/>
                <w:highlight w:val="none"/>
              </w:rPr>
              <w:t>核准经营范围</w:t>
            </w:r>
          </w:p>
        </w:tc>
        <w:tc>
          <w:tcPr>
            <w:tcW w:w="7442" w:type="dxa"/>
            <w:gridSpan w:val="6"/>
            <w:noWrap w:val="0"/>
            <w:vAlign w:val="top"/>
          </w:tcPr>
          <w:p>
            <w:pPr>
              <w:pStyle w:val="52"/>
              <w:keepNext w:val="0"/>
              <w:keepLines w:val="0"/>
              <w:suppressLineNumbers w:val="0"/>
              <w:shd w:val="clear" w:color="auto" w:fill="auto"/>
              <w:spacing w:line="240" w:lineRule="auto"/>
              <w:ind w:left="107" w:right="0"/>
              <w:rPr>
                <w:rFonts w:hint="default"/>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80" w:type="dxa"/>
            <w:vMerge w:val="continue"/>
            <w:noWrap w:val="0"/>
            <w:vAlign w:val="top"/>
          </w:tcPr>
          <w:p>
            <w:pPr>
              <w:pStyle w:val="52"/>
              <w:keepNext w:val="0"/>
              <w:keepLines w:val="0"/>
              <w:suppressLineNumbers w:val="0"/>
              <w:shd w:val="clear" w:color="auto" w:fill="auto"/>
              <w:spacing w:line="240" w:lineRule="auto"/>
              <w:ind w:left="107" w:right="0"/>
              <w:rPr>
                <w:rFonts w:hint="default"/>
                <w:bCs/>
                <w:color w:val="auto"/>
                <w:sz w:val="21"/>
                <w:szCs w:val="21"/>
                <w:highlight w:val="none"/>
              </w:rPr>
            </w:pPr>
          </w:p>
        </w:tc>
        <w:tc>
          <w:tcPr>
            <w:tcW w:w="8219" w:type="dxa"/>
            <w:gridSpan w:val="7"/>
            <w:noWrap w:val="0"/>
            <w:vAlign w:val="top"/>
          </w:tcPr>
          <w:p>
            <w:pPr>
              <w:pStyle w:val="52"/>
              <w:keepNext w:val="0"/>
              <w:keepLines w:val="0"/>
              <w:suppressLineNumbers w:val="0"/>
              <w:shd w:val="clear" w:color="auto" w:fill="auto"/>
              <w:spacing w:line="240" w:lineRule="auto"/>
              <w:ind w:left="0" w:right="0"/>
              <w:rPr>
                <w:rFonts w:hint="default"/>
                <w:bCs/>
                <w:color w:val="auto"/>
                <w:spacing w:val="13"/>
                <w:sz w:val="21"/>
                <w:szCs w:val="21"/>
                <w:highlight w:val="none"/>
              </w:rPr>
            </w:pPr>
            <w:r>
              <w:rPr>
                <w:rFonts w:hint="eastAsia"/>
                <w:bCs/>
                <w:color w:val="auto"/>
                <w:spacing w:val="13"/>
                <w:sz w:val="21"/>
                <w:szCs w:val="21"/>
                <w:highlight w:val="none"/>
              </w:rPr>
              <w:t>发展历程及主要荣誉：</w:t>
            </w:r>
          </w:p>
        </w:tc>
      </w:tr>
    </w:tbl>
    <w:p>
      <w:pPr>
        <w:keepNext w:val="0"/>
        <w:keepLines w:val="0"/>
        <w:pageBreakBefore w:val="0"/>
        <w:kinsoku/>
        <w:wordWrap/>
        <w:overflowPunct/>
        <w:topLinePunct w:val="0"/>
        <w:autoSpaceDE/>
        <w:autoSpaceDN/>
        <w:bidi w:val="0"/>
        <w:adjustRightInd w:val="0"/>
        <w:snapToGrid w:val="0"/>
        <w:spacing w:line="600" w:lineRule="exact"/>
        <w:ind w:firstLine="6120" w:firstLineChars="2550"/>
        <w:jc w:val="right"/>
        <w:textAlignment w:val="auto"/>
        <w:rPr>
          <w:rFonts w:hint="eastAsia" w:ascii="宋体" w:hAnsi="宋体" w:eastAsia="宋体" w:cs="宋体"/>
          <w:color w:val="auto"/>
          <w:kern w:val="0"/>
          <w:sz w:val="24"/>
          <w:highlight w:val="none"/>
          <w:lang w:val="zh-CN"/>
        </w:rPr>
      </w:pPr>
      <w:r>
        <w:rPr>
          <w:rFonts w:hint="eastAsia" w:ascii="宋体" w:hAnsi="宋体" w:cs="宋体"/>
          <w:color w:val="auto"/>
          <w:sz w:val="24"/>
          <w:highlight w:val="none"/>
          <w:lang w:eastAsia="zh-CN"/>
        </w:rPr>
        <w:t>磋商供应商</w:t>
      </w:r>
      <w:r>
        <w:rPr>
          <w:rFonts w:hint="eastAsia" w:ascii="宋体" w:hAnsi="宋体" w:eastAsia="宋体" w:cs="宋体"/>
          <w:color w:val="auto"/>
          <w:kern w:val="0"/>
          <w:sz w:val="24"/>
          <w:highlight w:val="none"/>
          <w:lang w:val="zh-CN"/>
        </w:rPr>
        <w:t>(公章)：</w:t>
      </w:r>
    </w:p>
    <w:p>
      <w:pPr>
        <w:keepNext w:val="0"/>
        <w:keepLines w:val="0"/>
        <w:pageBreakBefore w:val="0"/>
        <w:kinsoku/>
        <w:wordWrap/>
        <w:overflowPunct/>
        <w:topLinePunct w:val="0"/>
        <w:autoSpaceDE/>
        <w:autoSpaceDN/>
        <w:bidi w:val="0"/>
        <w:adjustRightInd w:val="0"/>
        <w:snapToGrid w:val="0"/>
        <w:spacing w:line="600" w:lineRule="exact"/>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lang w:val="zh-CN"/>
        </w:rPr>
        <w:t>)或授权委托人(签字)：</w:t>
      </w:r>
    </w:p>
    <w:p>
      <w:pPr>
        <w:pStyle w:val="42"/>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highlight w:val="none"/>
          <w:lang w:val="zh-CN"/>
        </w:rPr>
        <w:t xml:space="preserve">                                         日期：     年   月   日</w:t>
      </w:r>
    </w:p>
    <w:p>
      <w:pPr>
        <w:pStyle w:val="42"/>
        <w:spacing w:line="360" w:lineRule="auto"/>
        <w:jc w:val="both"/>
        <w:rPr>
          <w:rFonts w:hint="eastAsia" w:ascii="宋体" w:hAnsi="宋体" w:eastAsia="宋体" w:cs="宋体"/>
          <w:b/>
          <w:bCs/>
          <w:color w:val="auto"/>
          <w:sz w:val="24"/>
          <w:szCs w:val="24"/>
          <w:highlight w:val="none"/>
        </w:rPr>
      </w:pPr>
    </w:p>
    <w:p>
      <w:pPr>
        <w:pStyle w:val="42"/>
        <w:spacing w:line="360" w:lineRule="auto"/>
        <w:jc w:val="both"/>
        <w:rPr>
          <w:rFonts w:hint="eastAsia" w:ascii="宋体" w:hAnsi="宋体"/>
          <w:b/>
          <w:color w:val="auto"/>
          <w:sz w:val="28"/>
          <w:szCs w:val="28"/>
          <w:highlight w:val="none"/>
        </w:rPr>
      </w:pPr>
      <w:r>
        <w:rPr>
          <w:rFonts w:hint="eastAsia" w:ascii="宋体" w:hAnsi="宋体" w:eastAsia="宋体" w:cs="宋体"/>
          <w:b/>
          <w:bCs/>
          <w:color w:val="auto"/>
          <w:sz w:val="24"/>
          <w:szCs w:val="24"/>
          <w:highlight w:val="none"/>
        </w:rPr>
        <w:t>附件</w:t>
      </w:r>
      <w:r>
        <w:rPr>
          <w:rFonts w:hint="eastAsia"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w:t>
      </w:r>
    </w:p>
    <w:p>
      <w:pPr>
        <w:pStyle w:val="3"/>
        <w:spacing w:before="0" w:after="0" w:line="360" w:lineRule="auto"/>
        <w:jc w:val="center"/>
        <w:rPr>
          <w:rFonts w:hint="eastAsia" w:ascii="宋体" w:hAnsi="宋体" w:eastAsia="宋体" w:cs="宋体"/>
          <w:color w:val="auto"/>
          <w:sz w:val="32"/>
          <w:szCs w:val="32"/>
          <w:highlight w:val="none"/>
          <w:lang w:eastAsia="zh-CN"/>
        </w:rPr>
      </w:pPr>
    </w:p>
    <w:p>
      <w:pPr>
        <w:pStyle w:val="3"/>
        <w:spacing w:before="0" w:after="0"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商务响应承诺函</w:t>
      </w:r>
    </w:p>
    <w:p>
      <w:pPr>
        <w:pStyle w:val="2"/>
        <w:spacing w:before="60" w:after="60" w:line="500" w:lineRule="exact"/>
        <w:rPr>
          <w:rFonts w:hint="eastAsia" w:hAnsi="宋体" w:cs="宋体"/>
          <w:b/>
          <w:bCs/>
          <w:color w:val="auto"/>
          <w:sz w:val="24"/>
          <w:highlight w:val="none"/>
          <w:u w:val="single"/>
        </w:rPr>
      </w:pPr>
      <w:r>
        <w:rPr>
          <w:rFonts w:hint="eastAsia" w:ascii="宋体" w:hAnsi="宋体" w:eastAsia="宋体" w:cs="宋体"/>
          <w:sz w:val="24"/>
          <w:u w:val="single"/>
        </w:rPr>
        <w:t>仙居县交通运输局</w:t>
      </w:r>
      <w:r>
        <w:rPr>
          <w:rFonts w:hint="eastAsia" w:ascii="宋体" w:hAnsi="宋体" w:eastAsia="宋体" w:cs="宋体"/>
          <w:sz w:val="24"/>
          <w:u w:val="single"/>
          <w:lang w:eastAsia="zh-CN"/>
        </w:rPr>
        <w:t>、</w:t>
      </w:r>
      <w:r>
        <w:rPr>
          <w:rFonts w:hint="eastAsia" w:ascii="宋体" w:hAnsi="宋体" w:eastAsia="宋体"/>
          <w:bCs/>
          <w:sz w:val="24"/>
          <w:u w:val="single"/>
          <w:lang w:eastAsia="zh-CN"/>
        </w:rPr>
        <w:t>台州瑞腾工程管理有限公司</w:t>
      </w:r>
      <w:r>
        <w:rPr>
          <w:rFonts w:hint="eastAsia" w:hAnsi="宋体" w:cs="宋体"/>
          <w:b w:val="0"/>
          <w:bCs w:val="0"/>
          <w:color w:val="auto"/>
          <w:sz w:val="24"/>
          <w:highlight w:val="none"/>
          <w:u w:val="single"/>
        </w:rPr>
        <w:t>：</w:t>
      </w:r>
    </w:p>
    <w:p>
      <w:pPr>
        <w:pStyle w:val="2"/>
        <w:spacing w:before="60" w:after="60" w:line="500" w:lineRule="exact"/>
        <w:ind w:firstLine="480" w:firstLineChars="200"/>
        <w:rPr>
          <w:rFonts w:hint="eastAsia" w:hAnsi="宋体" w:eastAsia="宋体" w:cs="宋体"/>
          <w:color w:val="auto"/>
          <w:sz w:val="24"/>
          <w:highlight w:val="none"/>
          <w:lang w:eastAsia="zh-CN"/>
        </w:rPr>
      </w:pPr>
      <w:r>
        <w:rPr>
          <w:rFonts w:hint="eastAsia" w:hAnsi="宋体" w:cs="宋体"/>
          <w:color w:val="auto"/>
          <w:sz w:val="24"/>
          <w:highlight w:val="none"/>
        </w:rPr>
        <w:t>我方参与的</w:t>
      </w:r>
      <w:r>
        <w:rPr>
          <w:rFonts w:hint="eastAsia" w:hAnsi="宋体" w:cs="宋体"/>
          <w:color w:val="auto"/>
          <w:sz w:val="24"/>
          <w:highlight w:val="none"/>
          <w:u w:val="single"/>
        </w:rPr>
        <w:t xml:space="preserve"> </w:t>
      </w:r>
      <w:r>
        <w:rPr>
          <w:rFonts w:hint="eastAsia" w:hAnsi="宋体" w:eastAsia="宋体" w:cs="宋体"/>
          <w:color w:val="auto"/>
          <w:sz w:val="24"/>
          <w:highlight w:val="none"/>
          <w:u w:val="single"/>
          <w:lang w:eastAsia="zh-CN"/>
        </w:rPr>
        <w:t>（</w:t>
      </w:r>
      <w:r>
        <w:rPr>
          <w:rFonts w:hint="eastAsia" w:hAnsi="宋体" w:cs="宋体"/>
          <w:color w:val="auto"/>
          <w:sz w:val="24"/>
          <w:highlight w:val="none"/>
          <w:u w:val="single"/>
        </w:rPr>
        <w:t>项目名称）（项目编号）</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 xml:space="preserve"> 的</w:t>
      </w:r>
      <w:r>
        <w:rPr>
          <w:rFonts w:hint="eastAsia" w:hAnsi="宋体" w:cs="宋体"/>
          <w:color w:val="auto"/>
          <w:sz w:val="24"/>
          <w:highlight w:val="none"/>
          <w:lang w:eastAsia="zh-CN"/>
        </w:rPr>
        <w:t>磋商</w:t>
      </w:r>
      <w:r>
        <w:rPr>
          <w:rFonts w:hint="eastAsia" w:hAnsi="宋体" w:cs="宋体"/>
          <w:color w:val="auto"/>
          <w:sz w:val="24"/>
          <w:highlight w:val="none"/>
        </w:rPr>
        <w:t>活动，我方郑重承诺，我方承诺</w:t>
      </w:r>
      <w:r>
        <w:rPr>
          <w:rFonts w:hint="eastAsia" w:hAnsi="宋体" w:eastAsia="宋体" w:cs="宋体"/>
          <w:color w:val="auto"/>
          <w:sz w:val="24"/>
          <w:highlight w:val="none"/>
          <w:lang w:eastAsia="zh-CN"/>
        </w:rPr>
        <w:t>对磋商文件中的商务要求完全响应。</w:t>
      </w:r>
    </w:p>
    <w:p>
      <w:pPr>
        <w:pStyle w:val="2"/>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如本公司对以上条款提供虚假承诺，愿承担一切法律责任。</w:t>
      </w:r>
    </w:p>
    <w:p>
      <w:pPr>
        <w:spacing w:line="360" w:lineRule="auto"/>
        <w:ind w:firstLine="3780" w:firstLineChars="1800"/>
        <w:rPr>
          <w:rFonts w:ascii="宋体" w:hAnsi="宋体" w:eastAsia="宋体" w:cs="宋体"/>
          <w:color w:val="auto"/>
          <w:sz w:val="21"/>
          <w:szCs w:val="21"/>
          <w:highlight w:val="none"/>
        </w:rPr>
      </w:pPr>
    </w:p>
    <w:p>
      <w:pPr>
        <w:spacing w:line="360" w:lineRule="auto"/>
        <w:ind w:firstLine="3780" w:firstLineChars="18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120" w:firstLineChars="2550"/>
        <w:jc w:val="right"/>
        <w:textAlignment w:val="auto"/>
        <w:rPr>
          <w:rFonts w:hint="eastAsia" w:ascii="宋体" w:hAnsi="宋体" w:eastAsia="宋体" w:cs="宋体"/>
          <w:color w:val="auto"/>
          <w:kern w:val="0"/>
          <w:sz w:val="24"/>
          <w:highlight w:val="none"/>
          <w:lang w:val="zh-CN"/>
        </w:rPr>
      </w:pPr>
      <w:r>
        <w:rPr>
          <w:rFonts w:hint="eastAsia" w:ascii="宋体" w:hAnsi="宋体" w:cs="宋体"/>
          <w:color w:val="auto"/>
          <w:sz w:val="24"/>
          <w:highlight w:val="none"/>
          <w:lang w:eastAsia="zh-CN"/>
        </w:rPr>
        <w:t>磋商供应商</w:t>
      </w:r>
      <w:r>
        <w:rPr>
          <w:rFonts w:hint="eastAsia" w:ascii="宋体" w:hAnsi="宋体" w:eastAsia="宋体" w:cs="宋体"/>
          <w:color w:val="auto"/>
          <w:kern w:val="0"/>
          <w:sz w:val="24"/>
          <w:highlight w:val="none"/>
          <w:lang w:val="zh-CN"/>
        </w:rPr>
        <w:t>(公章)：</w:t>
      </w:r>
    </w:p>
    <w:p>
      <w:pPr>
        <w:keepNext w:val="0"/>
        <w:keepLines w:val="0"/>
        <w:pageBreakBefore w:val="0"/>
        <w:kinsoku/>
        <w:wordWrap/>
        <w:overflowPunct/>
        <w:topLinePunct w:val="0"/>
        <w:autoSpaceDE/>
        <w:autoSpaceDN/>
        <w:bidi w:val="0"/>
        <w:adjustRightInd w:val="0"/>
        <w:snapToGrid w:val="0"/>
        <w:spacing w:line="600" w:lineRule="exact"/>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lang w:val="zh-CN"/>
        </w:rPr>
        <w:t>)或授权委托人(签字)：</w:t>
      </w:r>
    </w:p>
    <w:p>
      <w:pPr>
        <w:spacing w:line="450" w:lineRule="atLeast"/>
        <w:rPr>
          <w:rFonts w:ascii="宋体" w:hAnsi="宋体" w:eastAsia="宋体" w:cs="宋体"/>
          <w:b/>
          <w:color w:val="auto"/>
          <w:sz w:val="21"/>
          <w:szCs w:val="21"/>
          <w:highlight w:val="none"/>
        </w:rPr>
      </w:pPr>
      <w:r>
        <w:rPr>
          <w:rFonts w:hint="eastAsia" w:ascii="宋体" w:hAnsi="宋体" w:eastAsia="宋体" w:cs="宋体"/>
          <w:color w:val="auto"/>
          <w:kern w:val="0"/>
          <w:sz w:val="24"/>
          <w:highlight w:val="none"/>
          <w:lang w:val="zh-CN"/>
        </w:rPr>
        <w:t xml:space="preserve">                                         日期：     年   月   日</w:t>
      </w: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35"/>
        <w:rPr>
          <w:rFonts w:ascii="宋体" w:hAnsi="宋体" w:eastAsia="宋体" w:cs="宋体"/>
          <w:b/>
          <w:color w:val="auto"/>
          <w:sz w:val="21"/>
          <w:szCs w:val="21"/>
          <w:highlight w:val="none"/>
        </w:rPr>
      </w:pPr>
    </w:p>
    <w:p>
      <w:pPr>
        <w:pStyle w:val="42"/>
        <w:spacing w:line="360" w:lineRule="auto"/>
        <w:jc w:val="left"/>
        <w:rPr>
          <w:rFonts w:hint="eastAsia" w:hAnsi="宋体" w:cs="宋体"/>
          <w:b/>
          <w:bCs/>
          <w:color w:val="auto"/>
          <w:sz w:val="24"/>
          <w:szCs w:val="24"/>
          <w:highlight w:val="none"/>
          <w:lang w:val="en-US" w:eastAsia="zh-CN"/>
        </w:rPr>
      </w:pPr>
      <w:r>
        <w:rPr>
          <w:rFonts w:hint="eastAsia" w:hAnsi="宋体" w:eastAsia="宋体" w:cs="宋体"/>
          <w:b/>
          <w:bCs/>
          <w:color w:val="auto"/>
          <w:sz w:val="24"/>
          <w:szCs w:val="24"/>
          <w:highlight w:val="none"/>
        </w:rPr>
        <w:t>附件</w:t>
      </w:r>
      <w:r>
        <w:rPr>
          <w:rFonts w:hint="eastAsia" w:hAnsi="宋体" w:cs="宋体"/>
          <w:b/>
          <w:bCs/>
          <w:color w:val="auto"/>
          <w:sz w:val="24"/>
          <w:szCs w:val="24"/>
          <w:highlight w:val="none"/>
          <w:lang w:val="en-US" w:eastAsia="zh-CN"/>
        </w:rPr>
        <w:t>九</w:t>
      </w:r>
      <w:r>
        <w:rPr>
          <w:rFonts w:hint="eastAsia" w:hAnsi="宋体" w:eastAsia="宋体" w:cs="宋体"/>
          <w:b/>
          <w:bCs/>
          <w:color w:val="auto"/>
          <w:sz w:val="24"/>
          <w:szCs w:val="24"/>
          <w:highlight w:val="none"/>
        </w:rPr>
        <w:t>：</w:t>
      </w:r>
      <w:r>
        <w:rPr>
          <w:rFonts w:hint="eastAsia" w:hAnsi="宋体" w:cs="宋体"/>
          <w:b/>
          <w:bCs/>
          <w:color w:val="auto"/>
          <w:sz w:val="24"/>
          <w:szCs w:val="24"/>
          <w:highlight w:val="none"/>
          <w:lang w:val="en-US" w:eastAsia="zh-CN"/>
        </w:rPr>
        <w:t xml:space="preserve">                    </w:t>
      </w:r>
    </w:p>
    <w:p>
      <w:pPr>
        <w:pStyle w:val="42"/>
        <w:spacing w:line="360" w:lineRule="auto"/>
        <w:jc w:val="center"/>
        <w:rPr>
          <w:rFonts w:ascii="仿宋_GB2312" w:eastAsia="仿宋_GB2312"/>
          <w:b/>
          <w:color w:val="auto"/>
          <w:sz w:val="28"/>
          <w:szCs w:val="28"/>
          <w:highlight w:val="none"/>
        </w:rPr>
      </w:pPr>
      <w:r>
        <w:rPr>
          <w:rFonts w:hint="eastAsia" w:ascii="宋体" w:hAnsi="宋体"/>
          <w:b/>
          <w:color w:val="auto"/>
          <w:sz w:val="28"/>
          <w:szCs w:val="28"/>
          <w:highlight w:val="none"/>
        </w:rPr>
        <w:t>项目业绩一览表</w:t>
      </w:r>
    </w:p>
    <w:tbl>
      <w:tblPr>
        <w:tblStyle w:val="24"/>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center"/>
          </w:tcPr>
          <w:p>
            <w:pPr>
              <w:pStyle w:val="42"/>
              <w:keepNext w:val="0"/>
              <w:keepLines w:val="0"/>
              <w:suppressLineNumbers w:val="0"/>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序号</w:t>
            </w:r>
          </w:p>
        </w:tc>
        <w:tc>
          <w:tcPr>
            <w:tcW w:w="1200" w:type="dxa"/>
            <w:tcBorders>
              <w:top w:val="single" w:color="auto" w:sz="6" w:space="0"/>
              <w:left w:val="single" w:color="auto" w:sz="6" w:space="0"/>
              <w:bottom w:val="single" w:color="auto" w:sz="6" w:space="0"/>
              <w:right w:val="single" w:color="auto" w:sz="6" w:space="0"/>
            </w:tcBorders>
            <w:noWrap w:val="0"/>
            <w:vAlign w:val="center"/>
          </w:tcPr>
          <w:p>
            <w:pPr>
              <w:pStyle w:val="42"/>
              <w:keepNext w:val="0"/>
              <w:keepLines w:val="0"/>
              <w:suppressLineNumbers w:val="0"/>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项目名称</w:t>
            </w:r>
          </w:p>
        </w:tc>
        <w:tc>
          <w:tcPr>
            <w:tcW w:w="1464" w:type="dxa"/>
            <w:tcBorders>
              <w:top w:val="single" w:color="auto" w:sz="6" w:space="0"/>
              <w:left w:val="single" w:color="auto" w:sz="6" w:space="0"/>
              <w:bottom w:val="single" w:color="auto" w:sz="6" w:space="0"/>
              <w:right w:val="single" w:color="auto" w:sz="6" w:space="0"/>
            </w:tcBorders>
            <w:noWrap w:val="0"/>
            <w:vAlign w:val="center"/>
          </w:tcPr>
          <w:p>
            <w:pPr>
              <w:pStyle w:val="42"/>
              <w:keepNext w:val="0"/>
              <w:keepLines w:val="0"/>
              <w:suppressLineNumbers w:val="0"/>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42"/>
              <w:keepNext w:val="0"/>
              <w:keepLines w:val="0"/>
              <w:suppressLineNumbers w:val="0"/>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pPr>
              <w:pStyle w:val="42"/>
              <w:keepNext w:val="0"/>
              <w:keepLines w:val="0"/>
              <w:suppressLineNumbers w:val="0"/>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pStyle w:val="42"/>
              <w:keepNext w:val="0"/>
              <w:keepLines w:val="0"/>
              <w:suppressLineNumbers w:val="0"/>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pPr>
              <w:pStyle w:val="42"/>
              <w:keepNext w:val="0"/>
              <w:keepLines w:val="0"/>
              <w:suppressLineNumbers w:val="0"/>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jc w:val="center"/>
              <w:rPr>
                <w:rFonts w:hint="default" w:ascii="宋体" w:hAnsi="宋体" w:cs="Arial"/>
                <w:color w:val="auto"/>
                <w:sz w:val="24"/>
                <w:highlight w:val="none"/>
              </w:rPr>
            </w:pPr>
            <w:r>
              <w:rPr>
                <w:rFonts w:hint="eastAsia" w:ascii="宋体" w:hAnsi="宋体" w:cs="Arial"/>
                <w:color w:val="auto"/>
                <w:sz w:val="24"/>
                <w:highlight w:val="none"/>
              </w:rPr>
              <w:t>1</w:t>
            </w:r>
          </w:p>
        </w:tc>
        <w:tc>
          <w:tcPr>
            <w:tcW w:w="1200"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jc w:val="center"/>
              <w:rPr>
                <w:rFonts w:hint="default" w:ascii="宋体" w:hAnsi="宋体" w:cs="Arial"/>
                <w:color w:val="auto"/>
                <w:sz w:val="24"/>
                <w:highlight w:val="none"/>
              </w:rPr>
            </w:pPr>
            <w:r>
              <w:rPr>
                <w:rFonts w:hint="eastAsia" w:ascii="宋体" w:hAnsi="宋体" w:cs="Arial"/>
                <w:color w:val="auto"/>
                <w:sz w:val="24"/>
                <w:highlight w:val="none"/>
              </w:rPr>
              <w:t>2</w:t>
            </w:r>
          </w:p>
        </w:tc>
        <w:tc>
          <w:tcPr>
            <w:tcW w:w="1200"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jc w:val="center"/>
              <w:rPr>
                <w:rFonts w:hint="default" w:ascii="宋体" w:hAnsi="宋体" w:cs="Arial"/>
                <w:color w:val="auto"/>
                <w:sz w:val="24"/>
                <w:highlight w:val="none"/>
              </w:rPr>
            </w:pPr>
            <w:r>
              <w:rPr>
                <w:rFonts w:hint="eastAsia" w:ascii="宋体" w:hAnsi="宋体" w:cs="Arial"/>
                <w:color w:val="auto"/>
                <w:sz w:val="24"/>
                <w:highlight w:val="none"/>
              </w:rPr>
              <w:t>3</w:t>
            </w:r>
          </w:p>
        </w:tc>
        <w:tc>
          <w:tcPr>
            <w:tcW w:w="1200"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r>
              <w:rPr>
                <w:rFonts w:hint="eastAsia" w:ascii="宋体" w:hAnsi="宋体" w:cs="Arial"/>
                <w:color w:val="auto"/>
                <w:sz w:val="24"/>
                <w:highlight w:val="none"/>
              </w:rPr>
              <w:t>…</w:t>
            </w:r>
          </w:p>
        </w:tc>
        <w:tc>
          <w:tcPr>
            <w:tcW w:w="1200"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42"/>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r>
    </w:tbl>
    <w:p>
      <w:pPr>
        <w:spacing w:line="360" w:lineRule="auto"/>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注：1.表中业绩参照“第四部分 评标办法及评分标准”中要求提供，并附上每个业绩相关材料；</w:t>
      </w:r>
    </w:p>
    <w:p>
      <w:pPr>
        <w:numPr>
          <w:ilvl w:val="0"/>
          <w:numId w:val="0"/>
        </w:numP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2.供应商承诺提供的上述业绩相关材料真实不假，否则作为磋商响应文件提供虚假材料，按照采购文件相关条款处理，承担一切责任。</w:t>
      </w:r>
    </w:p>
    <w:p>
      <w:pPr>
        <w:numPr>
          <w:ilvl w:val="0"/>
          <w:numId w:val="0"/>
        </w:numPr>
        <w:spacing w:line="360" w:lineRule="auto"/>
        <w:ind w:firstLine="42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1"/>
          <w:szCs w:val="21"/>
          <w:highlight w:val="none"/>
          <w:lang w:val="en-US" w:eastAsia="zh-CN" w:bidi="ar-SA"/>
        </w:rPr>
        <w:t>3.此表可增行。</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120" w:firstLineChars="2550"/>
        <w:jc w:val="right"/>
        <w:textAlignment w:val="auto"/>
        <w:rPr>
          <w:rFonts w:hint="eastAsia" w:ascii="宋体" w:hAnsi="宋体" w:eastAsia="宋体" w:cs="宋体"/>
          <w:color w:val="auto"/>
          <w:kern w:val="0"/>
          <w:sz w:val="24"/>
          <w:highlight w:val="none"/>
          <w:lang w:val="zh-CN"/>
        </w:rPr>
      </w:pPr>
      <w:r>
        <w:rPr>
          <w:rFonts w:hint="eastAsia" w:ascii="宋体" w:hAnsi="宋体" w:cs="宋体"/>
          <w:color w:val="auto"/>
          <w:sz w:val="24"/>
          <w:highlight w:val="none"/>
          <w:lang w:eastAsia="zh-CN"/>
        </w:rPr>
        <w:t>磋商供应商</w:t>
      </w:r>
      <w:r>
        <w:rPr>
          <w:rFonts w:hint="eastAsia" w:ascii="宋体" w:hAnsi="宋体" w:eastAsia="宋体" w:cs="宋体"/>
          <w:color w:val="auto"/>
          <w:kern w:val="0"/>
          <w:sz w:val="24"/>
          <w:highlight w:val="none"/>
          <w:lang w:val="zh-CN"/>
        </w:rPr>
        <w:t>(公章)：</w:t>
      </w:r>
    </w:p>
    <w:p>
      <w:pPr>
        <w:keepNext w:val="0"/>
        <w:keepLines w:val="0"/>
        <w:pageBreakBefore w:val="0"/>
        <w:kinsoku/>
        <w:wordWrap/>
        <w:overflowPunct/>
        <w:topLinePunct w:val="0"/>
        <w:autoSpaceDE/>
        <w:autoSpaceDN/>
        <w:bidi w:val="0"/>
        <w:adjustRightInd w:val="0"/>
        <w:snapToGrid w:val="0"/>
        <w:spacing w:line="600" w:lineRule="exact"/>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lang w:val="zh-CN"/>
        </w:rPr>
        <w:t>)或授权委托人(签字)：</w:t>
      </w:r>
    </w:p>
    <w:p>
      <w:pPr>
        <w:pStyle w:val="4"/>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highlight w:val="none"/>
          <w:lang w:val="zh-CN"/>
        </w:rPr>
      </w:pPr>
      <w:r>
        <w:rPr>
          <w:rFonts w:hint="eastAsia" w:ascii="宋体" w:hAnsi="宋体" w:eastAsia="宋体" w:cs="宋体"/>
          <w:color w:val="auto"/>
          <w:kern w:val="0"/>
          <w:sz w:val="24"/>
          <w:highlight w:val="none"/>
          <w:lang w:val="zh-CN"/>
        </w:rPr>
        <w:t xml:space="preserve">                                         日期：     年   月   日</w:t>
      </w:r>
    </w:p>
    <w:p>
      <w:pPr>
        <w:spacing w:line="450" w:lineRule="atLeast"/>
        <w:rPr>
          <w:rFonts w:hint="eastAsia" w:ascii="宋体" w:hAnsi="宋体" w:eastAsia="宋体" w:cs="宋体"/>
          <w:b/>
          <w:color w:val="auto"/>
          <w:sz w:val="21"/>
          <w:szCs w:val="21"/>
          <w:highlight w:val="none"/>
        </w:rPr>
      </w:pPr>
    </w:p>
    <w:p>
      <w:pPr>
        <w:rPr>
          <w:rFonts w:hint="eastAsia" w:ascii="宋体" w:hAnsi="宋体" w:eastAsia="宋体" w:cs="宋体"/>
          <w:b/>
          <w:color w:val="auto"/>
          <w:sz w:val="24"/>
          <w:szCs w:val="24"/>
          <w:highlight w:val="none"/>
        </w:rPr>
      </w:pPr>
    </w:p>
    <w:p>
      <w:pPr>
        <w:pStyle w:val="2"/>
        <w:adjustRightInd w:val="0"/>
        <w:snapToGrid w:val="0"/>
        <w:spacing w:before="156" w:after="156"/>
        <w:rPr>
          <w:rFonts w:hint="eastAsia" w:ascii="宋体" w:hAnsi="宋体" w:eastAsia="宋体" w:cs="宋体"/>
          <w:b/>
          <w:bCs/>
          <w:color w:val="auto"/>
          <w:sz w:val="24"/>
          <w:szCs w:val="24"/>
          <w:highlight w:val="none"/>
          <w:lang w:val="en-US" w:eastAsia="zh-CN"/>
        </w:rPr>
      </w:pPr>
      <w:bookmarkStart w:id="2759" w:name="_Toc528927457"/>
      <w:bookmarkStart w:id="2760" w:name="_Toc528578415"/>
    </w:p>
    <w:p>
      <w:pPr>
        <w:pStyle w:val="2"/>
        <w:adjustRightInd w:val="0"/>
        <w:snapToGrid w:val="0"/>
        <w:spacing w:before="156" w:after="156"/>
        <w:rPr>
          <w:rFonts w:hint="eastAsia" w:ascii="宋体" w:hAnsi="宋体" w:eastAsia="宋体" w:cs="宋体"/>
          <w:b/>
          <w:bCs/>
          <w:color w:val="auto"/>
          <w:sz w:val="24"/>
          <w:szCs w:val="24"/>
          <w:highlight w:val="none"/>
          <w:lang w:val="en-US" w:eastAsia="zh-CN"/>
        </w:rPr>
      </w:pPr>
    </w:p>
    <w:p>
      <w:pPr>
        <w:pStyle w:val="2"/>
        <w:adjustRightInd w:val="0"/>
        <w:snapToGrid w:val="0"/>
        <w:spacing w:before="156" w:after="156"/>
        <w:rPr>
          <w:rFonts w:hint="eastAsia" w:ascii="宋体" w:hAnsi="宋体" w:eastAsia="宋体" w:cs="宋体"/>
          <w:b/>
          <w:bCs/>
          <w:color w:val="auto"/>
          <w:sz w:val="24"/>
          <w:szCs w:val="24"/>
          <w:highlight w:val="none"/>
          <w:lang w:val="en-US" w:eastAsia="zh-CN"/>
        </w:rPr>
      </w:pPr>
    </w:p>
    <w:p>
      <w:pPr>
        <w:pStyle w:val="2"/>
        <w:adjustRightInd w:val="0"/>
        <w:snapToGrid w:val="0"/>
        <w:spacing w:before="156" w:after="156"/>
        <w:rPr>
          <w:rFonts w:hint="eastAsia" w:ascii="宋体" w:hAnsi="宋体" w:eastAsia="宋体" w:cs="宋体"/>
          <w:b/>
          <w:bCs/>
          <w:color w:val="auto"/>
          <w:sz w:val="24"/>
          <w:szCs w:val="24"/>
          <w:highlight w:val="none"/>
          <w:lang w:val="en-US" w:eastAsia="zh-CN"/>
        </w:rPr>
      </w:pPr>
    </w:p>
    <w:p>
      <w:pPr>
        <w:pStyle w:val="2"/>
        <w:adjustRightInd w:val="0"/>
        <w:snapToGrid w:val="0"/>
        <w:spacing w:before="156" w:after="156"/>
        <w:rPr>
          <w:rFonts w:hint="eastAsia" w:ascii="宋体" w:hAnsi="宋体" w:eastAsia="宋体" w:cs="宋体"/>
          <w:b/>
          <w:bCs/>
          <w:color w:val="auto"/>
          <w:sz w:val="24"/>
          <w:szCs w:val="24"/>
          <w:highlight w:val="none"/>
          <w:lang w:val="en-US" w:eastAsia="zh-CN"/>
        </w:rPr>
      </w:pPr>
    </w:p>
    <w:p>
      <w:pPr>
        <w:pStyle w:val="2"/>
        <w:adjustRightInd w:val="0"/>
        <w:snapToGrid w:val="0"/>
        <w:spacing w:before="156" w:after="156"/>
        <w:rPr>
          <w:rFonts w:hint="eastAsia" w:ascii="宋体" w:hAnsi="宋体" w:eastAsia="宋体" w:cs="宋体"/>
          <w:b/>
          <w:bCs/>
          <w:color w:val="auto"/>
          <w:sz w:val="24"/>
          <w:szCs w:val="24"/>
          <w:highlight w:val="none"/>
          <w:lang w:val="en-US" w:eastAsia="zh-CN"/>
        </w:rPr>
      </w:pPr>
    </w:p>
    <w:p>
      <w:pPr>
        <w:pStyle w:val="2"/>
        <w:adjustRightInd w:val="0"/>
        <w:snapToGrid w:val="0"/>
        <w:spacing w:before="156" w:after="156"/>
        <w:rPr>
          <w:rFonts w:hint="eastAsia" w:ascii="宋体" w:hAnsi="宋体" w:eastAsia="宋体" w:cs="宋体"/>
          <w:b/>
          <w:bCs/>
          <w:color w:val="auto"/>
          <w:sz w:val="24"/>
          <w:szCs w:val="24"/>
          <w:highlight w:val="none"/>
          <w:lang w:val="en-US" w:eastAsia="zh-CN"/>
        </w:rPr>
      </w:pPr>
    </w:p>
    <w:p>
      <w:pPr>
        <w:pStyle w:val="2"/>
        <w:adjustRightInd w:val="0"/>
        <w:snapToGrid w:val="0"/>
        <w:spacing w:before="156" w:after="156"/>
        <w:rPr>
          <w:rFonts w:hint="eastAsia" w:ascii="宋体" w:hAnsi="宋体" w:eastAsia="宋体" w:cs="宋体"/>
          <w:b/>
          <w:bCs/>
          <w:color w:val="auto"/>
          <w:sz w:val="24"/>
          <w:szCs w:val="24"/>
          <w:highlight w:val="none"/>
          <w:lang w:val="en-US" w:eastAsia="zh-CN"/>
        </w:rPr>
      </w:pPr>
    </w:p>
    <w:p>
      <w:pPr>
        <w:pStyle w:val="2"/>
        <w:adjustRightInd w:val="0"/>
        <w:snapToGrid w:val="0"/>
        <w:spacing w:before="156" w:after="156"/>
        <w:rPr>
          <w:rFonts w:hint="eastAsia" w:ascii="宋体" w:hAnsi="宋体" w:eastAsia="宋体" w:cs="宋体"/>
          <w:b/>
          <w:bCs/>
          <w:color w:val="auto"/>
          <w:sz w:val="24"/>
          <w:szCs w:val="24"/>
          <w:highlight w:val="none"/>
          <w:lang w:val="en-US" w:eastAsia="zh-CN"/>
        </w:rPr>
      </w:pPr>
    </w:p>
    <w:p>
      <w:pPr>
        <w:pStyle w:val="2"/>
        <w:adjustRightInd w:val="0"/>
        <w:snapToGrid w:val="0"/>
        <w:spacing w:before="156" w:after="156"/>
        <w:rPr>
          <w:rFonts w:hint="eastAsia" w:ascii="宋体" w:hAnsi="宋体" w:eastAsia="宋体" w:cs="宋体"/>
          <w:b/>
          <w:bCs/>
          <w:color w:val="auto"/>
          <w:sz w:val="24"/>
          <w:szCs w:val="24"/>
          <w:highlight w:val="none"/>
          <w:lang w:val="en-US" w:eastAsia="zh-CN"/>
        </w:rPr>
      </w:pPr>
    </w:p>
    <w:p>
      <w:pPr>
        <w:pStyle w:val="2"/>
        <w:adjustRightInd w:val="0"/>
        <w:snapToGrid w:val="0"/>
        <w:spacing w:before="156" w:after="156"/>
        <w:rPr>
          <w:rFonts w:hint="eastAsia" w:ascii="宋体" w:hAnsi="宋体" w:eastAsia="宋体" w:cs="宋体"/>
          <w:b/>
          <w:bCs/>
          <w:color w:val="auto"/>
          <w:sz w:val="24"/>
          <w:szCs w:val="24"/>
          <w:highlight w:val="none"/>
          <w:lang w:val="en-US" w:eastAsia="zh-CN"/>
        </w:rPr>
      </w:pPr>
    </w:p>
    <w:p>
      <w:pPr>
        <w:pStyle w:val="2"/>
        <w:spacing w:line="360" w:lineRule="auto"/>
        <w:jc w:val="left"/>
        <w:rPr>
          <w:rFonts w:hint="eastAsia"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hAnsi="宋体" w:eastAsia="宋体" w:cs="宋体"/>
          <w:b/>
          <w:bCs/>
          <w:color w:val="auto"/>
          <w:sz w:val="24"/>
          <w:szCs w:val="24"/>
          <w:highlight w:val="none"/>
          <w:lang w:val="en-US" w:eastAsia="zh-CN"/>
        </w:rPr>
        <w:t xml:space="preserve">十：             </w:t>
      </w:r>
      <w:r>
        <w:rPr>
          <w:rFonts w:hint="eastAsia" w:hAnsi="宋体" w:eastAsia="宋体" w:cs="宋体"/>
          <w:b/>
          <w:color w:val="auto"/>
          <w:sz w:val="24"/>
          <w:szCs w:val="24"/>
          <w:highlight w:val="none"/>
          <w:lang w:val="en-US" w:eastAsia="zh-CN"/>
        </w:rPr>
        <w:t xml:space="preserve">  </w:t>
      </w:r>
    </w:p>
    <w:p>
      <w:pPr>
        <w:pStyle w:val="2"/>
        <w:spacing w:line="360" w:lineRule="auto"/>
        <w:jc w:val="center"/>
        <w:rPr>
          <w:rFonts w:hint="eastAsia" w:hAnsi="宋体" w:eastAsia="宋体" w:cs="宋体" w:asciiTheme="minorAscii"/>
          <w:b/>
          <w:color w:val="auto"/>
          <w:kern w:val="2"/>
          <w:sz w:val="32"/>
          <w:szCs w:val="32"/>
          <w:highlight w:val="none"/>
          <w:lang w:val="en-US" w:eastAsia="zh-CN" w:bidi="ar-SA"/>
        </w:rPr>
      </w:pPr>
      <w:r>
        <w:rPr>
          <w:rFonts w:hint="eastAsia" w:hAnsi="宋体" w:eastAsia="宋体" w:cs="宋体" w:asciiTheme="minorAscii"/>
          <w:b/>
          <w:color w:val="auto"/>
          <w:kern w:val="2"/>
          <w:sz w:val="32"/>
          <w:szCs w:val="32"/>
          <w:highlight w:val="none"/>
          <w:lang w:val="en-US" w:eastAsia="zh-CN" w:bidi="ar-SA"/>
        </w:rPr>
        <w:t>项目经理简历表</w:t>
      </w:r>
    </w:p>
    <w:tbl>
      <w:tblPr>
        <w:tblStyle w:val="24"/>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1550"/>
        <w:gridCol w:w="1549"/>
        <w:gridCol w:w="1686"/>
        <w:gridCol w:w="1550"/>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49"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550"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p>
        </w:tc>
        <w:tc>
          <w:tcPr>
            <w:tcW w:w="1549"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686"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p>
        </w:tc>
        <w:tc>
          <w:tcPr>
            <w:tcW w:w="1550"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551"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49"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550"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p>
        </w:tc>
        <w:tc>
          <w:tcPr>
            <w:tcW w:w="1549"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686"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p>
        </w:tc>
        <w:tc>
          <w:tcPr>
            <w:tcW w:w="1550"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551"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099" w:type="dxa"/>
            <w:gridSpan w:val="2"/>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549"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p>
        </w:tc>
        <w:tc>
          <w:tcPr>
            <w:tcW w:w="3236" w:type="dxa"/>
            <w:gridSpan w:val="2"/>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w:t>
            </w:r>
            <w:r>
              <w:rPr>
                <w:rFonts w:hint="eastAsia" w:ascii="宋体" w:hAnsi="宋体" w:eastAsia="宋体" w:cs="宋体"/>
                <w:color w:val="auto"/>
                <w:sz w:val="21"/>
                <w:szCs w:val="21"/>
                <w:highlight w:val="none"/>
                <w:lang w:val="en-US" w:eastAsia="zh-CN"/>
              </w:rPr>
              <w:t>项目经理</w:t>
            </w:r>
            <w:r>
              <w:rPr>
                <w:rFonts w:hint="eastAsia" w:ascii="宋体" w:hAnsi="宋体" w:eastAsia="宋体" w:cs="宋体"/>
                <w:color w:val="auto"/>
                <w:sz w:val="21"/>
                <w:szCs w:val="21"/>
                <w:highlight w:val="none"/>
              </w:rPr>
              <w:t>年限</w:t>
            </w:r>
          </w:p>
        </w:tc>
        <w:tc>
          <w:tcPr>
            <w:tcW w:w="1551"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099" w:type="dxa"/>
            <w:gridSpan w:val="2"/>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项目负责人资格证书编号</w:t>
            </w:r>
          </w:p>
        </w:tc>
        <w:tc>
          <w:tcPr>
            <w:tcW w:w="6336" w:type="dxa"/>
            <w:gridSpan w:val="4"/>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435" w:type="dxa"/>
            <w:gridSpan w:val="6"/>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项目经理</w:t>
            </w:r>
            <w:r>
              <w:rPr>
                <w:rFonts w:hint="eastAsia" w:ascii="宋体" w:hAnsi="宋体" w:eastAsia="宋体" w:cs="宋体"/>
                <w:color w:val="auto"/>
                <w:sz w:val="21"/>
                <w:szCs w:val="21"/>
                <w:highlight w:val="none"/>
                <w:lang w:eastAsia="zh-CN"/>
              </w:rPr>
              <w:t>类似业绩一览表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49"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50"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549"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项目地址</w:t>
            </w:r>
          </w:p>
        </w:tc>
        <w:tc>
          <w:tcPr>
            <w:tcW w:w="1686"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合同总价</w:t>
            </w:r>
          </w:p>
        </w:tc>
        <w:tc>
          <w:tcPr>
            <w:tcW w:w="1550"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1551" w:type="dxa"/>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154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5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54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68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5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55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154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5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54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68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5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55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154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5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54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68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5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55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154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5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54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686"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5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55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表中业绩参照“第四部分 评标办法及评分标准”中要求提供，并附上每个业绩相关材料；</w:t>
      </w:r>
    </w:p>
    <w:p>
      <w:pPr>
        <w:pStyle w:val="2"/>
        <w:pageBreakBefore w:val="0"/>
        <w:widowControl w:val="0"/>
        <w:kinsoku/>
        <w:overflowPunct/>
        <w:topLinePunct w:val="0"/>
        <w:autoSpaceDE/>
        <w:autoSpaceDN/>
        <w:bidi w:val="0"/>
        <w:snapToGrid w:val="0"/>
        <w:spacing w:line="360" w:lineRule="auto"/>
        <w:ind w:firstLine="420" w:firstLineChars="200"/>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kern w:val="0"/>
          <w:sz w:val="21"/>
          <w:szCs w:val="21"/>
          <w:highlight w:val="none"/>
          <w:lang w:val="en-US" w:eastAsia="zh-CN"/>
        </w:rPr>
        <w:t>2</w:t>
      </w:r>
      <w:r>
        <w:rPr>
          <w:rFonts w:hint="eastAsia" w:hAnsi="宋体" w:eastAsia="宋体" w:cs="宋体"/>
          <w:b w:val="0"/>
          <w:bCs/>
          <w:color w:val="auto"/>
          <w:kern w:val="0"/>
          <w:sz w:val="21"/>
          <w:szCs w:val="21"/>
          <w:highlight w:val="none"/>
          <w:lang w:val="en-US" w:eastAsia="zh-CN"/>
        </w:rPr>
        <w:t>.</w:t>
      </w:r>
      <w:r>
        <w:rPr>
          <w:rFonts w:hint="eastAsia" w:hAnsi="宋体" w:eastAsia="宋体" w:cs="宋体"/>
          <w:b w:val="0"/>
          <w:bCs/>
          <w:color w:val="auto"/>
          <w:szCs w:val="21"/>
          <w:highlight w:val="none"/>
          <w:lang w:val="en-US" w:eastAsia="zh-CN"/>
        </w:rPr>
        <w:t>须提供项目经理</w:t>
      </w:r>
      <w:r>
        <w:rPr>
          <w:rFonts w:hint="eastAsia" w:ascii="宋体" w:hAnsi="宋体" w:eastAsia="宋体" w:cs="宋体"/>
          <w:bCs/>
          <w:color w:val="auto"/>
          <w:kern w:val="0"/>
          <w:sz w:val="21"/>
          <w:szCs w:val="21"/>
          <w:highlight w:val="none"/>
        </w:rPr>
        <w:t>身份证（正反双面）、职称资格证书、有效期内的</w:t>
      </w:r>
      <w:r>
        <w:rPr>
          <w:rFonts w:hint="eastAsia" w:ascii="宋体" w:hAnsi="宋体" w:eastAsia="宋体" w:cs="宋体"/>
          <w:bCs/>
          <w:color w:val="auto"/>
          <w:kern w:val="0"/>
          <w:sz w:val="21"/>
          <w:szCs w:val="21"/>
          <w:highlight w:val="none"/>
          <w:lang w:eastAsia="zh-CN"/>
        </w:rPr>
        <w:t>公路水运</w:t>
      </w:r>
      <w:r>
        <w:rPr>
          <w:rFonts w:hint="eastAsia" w:ascii="宋体" w:hAnsi="宋体" w:eastAsia="宋体" w:cs="宋体"/>
          <w:bCs/>
          <w:color w:val="auto"/>
          <w:kern w:val="0"/>
          <w:sz w:val="21"/>
          <w:szCs w:val="21"/>
          <w:highlight w:val="none"/>
        </w:rPr>
        <w:t>施工企业项目负责人安全生产考核合格证书（B类）、建造师注册证书</w:t>
      </w:r>
      <w:r>
        <w:rPr>
          <w:rFonts w:hint="eastAsia" w:hAnsi="宋体" w:eastAsia="宋体" w:cs="宋体"/>
          <w:b w:val="0"/>
          <w:bCs/>
          <w:color w:val="auto"/>
          <w:szCs w:val="21"/>
          <w:highlight w:val="none"/>
          <w:lang w:eastAsia="zh-CN"/>
        </w:rPr>
        <w:t>。</w:t>
      </w:r>
    </w:p>
    <w:p>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rPr>
        <w:t>供应商承诺提供的上述业绩相关材料真实不假，否则作为磋商响应文件提供虚假材料，按照采购文件相关条款处理，承担一切责任。</w:t>
      </w:r>
    </w:p>
    <w:p>
      <w:pPr>
        <w:spacing w:line="360" w:lineRule="auto"/>
        <w:rPr>
          <w:rFonts w:hint="eastAsia" w:ascii="宋体" w:hAnsi="宋体"/>
          <w:bCs/>
          <w:color w:val="auto"/>
          <w:kern w:val="0"/>
          <w:sz w:val="21"/>
          <w:szCs w:val="21"/>
          <w:highlight w:val="none"/>
          <w:lang w:val="en-US" w:eastAsia="zh-CN" w:bidi="ar-SA"/>
        </w:rPr>
      </w:pPr>
    </w:p>
    <w:p>
      <w:pPr>
        <w:spacing w:line="360" w:lineRule="auto"/>
        <w:rPr>
          <w:rFonts w:hint="eastAsia" w:ascii="宋体" w:hAnsi="宋体" w:eastAsia="宋体" w:cs="宋体"/>
          <w:color w:val="auto"/>
          <w:sz w:val="21"/>
          <w:szCs w:val="21"/>
          <w:highlight w:val="none"/>
          <w:lang w:eastAsia="zh-CN"/>
        </w:rPr>
      </w:pPr>
    </w:p>
    <w:p>
      <w:pPr>
        <w:keepNext w:val="0"/>
        <w:keepLines w:val="0"/>
        <w:pageBreakBefore w:val="0"/>
        <w:kinsoku/>
        <w:wordWrap/>
        <w:overflowPunct/>
        <w:topLinePunct w:val="0"/>
        <w:autoSpaceDE/>
        <w:autoSpaceDN/>
        <w:bidi w:val="0"/>
        <w:adjustRightInd w:val="0"/>
        <w:snapToGrid w:val="0"/>
        <w:spacing w:line="600" w:lineRule="exact"/>
        <w:ind w:firstLine="6120" w:firstLineChars="2550"/>
        <w:jc w:val="right"/>
        <w:textAlignment w:val="auto"/>
        <w:rPr>
          <w:rFonts w:hint="eastAsia" w:ascii="宋体" w:hAnsi="宋体" w:eastAsia="宋体" w:cs="宋体"/>
          <w:color w:val="auto"/>
          <w:kern w:val="0"/>
          <w:sz w:val="24"/>
          <w:highlight w:val="none"/>
          <w:lang w:val="zh-CN"/>
        </w:rPr>
      </w:pPr>
      <w:r>
        <w:rPr>
          <w:rFonts w:hint="eastAsia" w:ascii="宋体" w:hAnsi="宋体" w:cs="宋体"/>
          <w:color w:val="auto"/>
          <w:sz w:val="24"/>
          <w:highlight w:val="none"/>
          <w:lang w:eastAsia="zh-CN"/>
        </w:rPr>
        <w:t>磋商供应商</w:t>
      </w:r>
      <w:r>
        <w:rPr>
          <w:rFonts w:hint="eastAsia" w:ascii="宋体" w:hAnsi="宋体" w:eastAsia="宋体" w:cs="宋体"/>
          <w:color w:val="auto"/>
          <w:kern w:val="0"/>
          <w:sz w:val="24"/>
          <w:highlight w:val="none"/>
          <w:lang w:val="zh-CN"/>
        </w:rPr>
        <w:t>(公章)：</w:t>
      </w:r>
    </w:p>
    <w:p>
      <w:pPr>
        <w:keepNext w:val="0"/>
        <w:keepLines w:val="0"/>
        <w:pageBreakBefore w:val="0"/>
        <w:kinsoku/>
        <w:wordWrap/>
        <w:overflowPunct/>
        <w:topLinePunct w:val="0"/>
        <w:autoSpaceDE/>
        <w:autoSpaceDN/>
        <w:bidi w:val="0"/>
        <w:adjustRightInd w:val="0"/>
        <w:snapToGrid w:val="0"/>
        <w:spacing w:line="600" w:lineRule="exact"/>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lang w:val="zh-CN"/>
        </w:rPr>
        <w:t>)或授权委托人(签字)：</w:t>
      </w:r>
    </w:p>
    <w:p>
      <w:pPr>
        <w:spacing w:line="450" w:lineRule="atLeast"/>
        <w:rPr>
          <w:rFonts w:hint="eastAsia" w:ascii="宋体" w:hAnsi="宋体" w:eastAsia="宋体" w:cs="宋体"/>
          <w:b/>
          <w:color w:val="auto"/>
          <w:sz w:val="21"/>
          <w:szCs w:val="21"/>
          <w:highlight w:val="none"/>
        </w:rPr>
      </w:pPr>
      <w:r>
        <w:rPr>
          <w:rFonts w:hint="eastAsia" w:ascii="宋体" w:hAnsi="宋体" w:eastAsia="宋体" w:cs="宋体"/>
          <w:color w:val="auto"/>
          <w:kern w:val="0"/>
          <w:sz w:val="24"/>
          <w:highlight w:val="none"/>
          <w:lang w:val="zh-CN"/>
        </w:rPr>
        <w:t xml:space="preserve">                                         日期：     年   月   日</w:t>
      </w:r>
    </w:p>
    <w:p>
      <w:pPr>
        <w:pStyle w:val="8"/>
        <w:numPr>
          <w:ilvl w:val="0"/>
          <w:numId w:val="0"/>
        </w:numPr>
        <w:rPr>
          <w:rFonts w:hint="eastAsia"/>
          <w:color w:val="auto"/>
          <w:highlight w:val="none"/>
          <w:lang w:eastAsia="zh-CN"/>
        </w:rPr>
      </w:pPr>
    </w:p>
    <w:p>
      <w:pPr>
        <w:snapToGrid w:val="0"/>
        <w:spacing w:before="156" w:beforeLines="50" w:after="50" w:line="360" w:lineRule="auto"/>
        <w:jc w:val="left"/>
        <w:rPr>
          <w:rFonts w:hint="eastAsia" w:ascii="宋体" w:hAnsi="宋体" w:eastAsia="宋体" w:cs="宋体"/>
          <w:b/>
          <w:color w:val="auto"/>
          <w:kern w:val="2"/>
          <w:sz w:val="24"/>
          <w:szCs w:val="24"/>
          <w:highlight w:val="none"/>
          <w:lang w:val="en-US" w:eastAsia="zh-CN" w:bidi="ar-SA"/>
        </w:rPr>
      </w:pPr>
      <w:bookmarkStart w:id="2761" w:name="_Toc28261_WPSOffice_Level2"/>
      <w:bookmarkStart w:id="2762" w:name="_Toc10701_WPSOffice_Level2"/>
      <w:bookmarkStart w:id="2763" w:name="_Toc10163_WPSOffice_Level2"/>
      <w:bookmarkStart w:id="2764" w:name="_Toc8165"/>
    </w:p>
    <w:p>
      <w:pPr>
        <w:snapToGrid w:val="0"/>
        <w:spacing w:before="156" w:beforeLines="50" w:after="50" w:line="360" w:lineRule="auto"/>
        <w:jc w:val="left"/>
        <w:rPr>
          <w:rFonts w:hint="eastAsia" w:ascii="宋体" w:hAnsi="宋体" w:eastAsia="宋体" w:cs="宋体"/>
          <w:b/>
          <w:color w:val="auto"/>
          <w:kern w:val="2"/>
          <w:sz w:val="24"/>
          <w:szCs w:val="24"/>
          <w:highlight w:val="none"/>
          <w:lang w:val="en-US" w:eastAsia="zh-CN" w:bidi="ar-SA"/>
        </w:rPr>
      </w:pPr>
    </w:p>
    <w:p>
      <w:pPr>
        <w:snapToGrid w:val="0"/>
        <w:spacing w:before="156" w:beforeLines="50" w:after="50" w:line="360" w:lineRule="auto"/>
        <w:jc w:val="left"/>
        <w:rPr>
          <w:rFonts w:hint="eastAsia" w:ascii="宋体" w:hAnsi="宋体" w:eastAsia="宋体" w:cs="宋体"/>
          <w:b/>
          <w:color w:val="auto"/>
          <w:kern w:val="2"/>
          <w:sz w:val="24"/>
          <w:szCs w:val="24"/>
          <w:highlight w:val="none"/>
          <w:lang w:val="en-US" w:eastAsia="zh-CN" w:bidi="ar-SA"/>
        </w:rPr>
      </w:pPr>
    </w:p>
    <w:p>
      <w:pPr>
        <w:tabs>
          <w:tab w:val="left" w:pos="720"/>
        </w:tabs>
        <w:spacing w:line="360" w:lineRule="auto"/>
        <w:outlineLvl w:val="0"/>
        <w:rPr>
          <w:rFonts w:hint="eastAsia" w:ascii="宋体" w:hAnsi="宋体" w:eastAsia="宋体" w:cs="宋体"/>
          <w:b/>
          <w:color w:val="auto"/>
          <w:kern w:val="2"/>
          <w:sz w:val="24"/>
          <w:szCs w:val="24"/>
          <w:highlight w:val="none"/>
          <w:lang w:val="en-US" w:eastAsia="zh-CN" w:bidi="ar-SA"/>
        </w:rPr>
      </w:pPr>
    </w:p>
    <w:p>
      <w:pPr>
        <w:tabs>
          <w:tab w:val="left" w:pos="720"/>
        </w:tabs>
        <w:spacing w:line="360" w:lineRule="auto"/>
        <w:outlineLvl w:val="0"/>
        <w:rPr>
          <w:rFonts w:hint="eastAsia" w:ascii="宋体" w:hAnsi="宋体" w:eastAsia="宋体" w:cs="宋体"/>
          <w:b/>
          <w:color w:val="auto"/>
          <w:kern w:val="2"/>
          <w:sz w:val="24"/>
          <w:szCs w:val="24"/>
          <w:highlight w:val="none"/>
          <w:lang w:val="en-US" w:eastAsia="zh-CN" w:bidi="ar-SA"/>
        </w:rPr>
      </w:pPr>
    </w:p>
    <w:p>
      <w:pPr>
        <w:tabs>
          <w:tab w:val="left" w:pos="720"/>
        </w:tabs>
        <w:spacing w:line="360" w:lineRule="auto"/>
        <w:outlineLvl w:val="0"/>
        <w:rPr>
          <w:rFonts w:hint="eastAsia" w:ascii="宋体" w:hAnsi="宋体" w:eastAsia="宋体" w:cs="宋体"/>
          <w:b/>
          <w:color w:val="auto"/>
          <w:kern w:val="2"/>
          <w:sz w:val="24"/>
          <w:szCs w:val="24"/>
          <w:highlight w:val="none"/>
          <w:lang w:val="en-US" w:eastAsia="zh-CN" w:bidi="ar-SA"/>
        </w:rPr>
      </w:pPr>
    </w:p>
    <w:p>
      <w:pPr>
        <w:tabs>
          <w:tab w:val="left" w:pos="720"/>
        </w:tabs>
        <w:spacing w:line="360" w:lineRule="auto"/>
        <w:outlineLvl w:val="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附件十一：               </w:t>
      </w:r>
    </w:p>
    <w:p>
      <w:pPr>
        <w:tabs>
          <w:tab w:val="left" w:pos="720"/>
        </w:tabs>
        <w:spacing w:line="360" w:lineRule="auto"/>
        <w:jc w:val="center"/>
        <w:outlineLvl w:val="0"/>
        <w:rPr>
          <w:rFonts w:hint="eastAsia" w:ascii="宋体" w:hAnsi="宋体" w:cs="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项目组人员</w:t>
      </w:r>
      <w:r>
        <w:rPr>
          <w:rFonts w:hint="eastAsia" w:ascii="宋体" w:hAnsi="宋体" w:cs="宋体"/>
          <w:b/>
          <w:color w:val="auto"/>
          <w:sz w:val="24"/>
          <w:szCs w:val="24"/>
          <w:highlight w:val="none"/>
        </w:rPr>
        <w:t>配备情况表</w:t>
      </w:r>
    </w:p>
    <w:tbl>
      <w:tblPr>
        <w:tblStyle w:val="24"/>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57"/>
        <w:gridCol w:w="1527"/>
        <w:gridCol w:w="851"/>
        <w:gridCol w:w="1364"/>
        <w:gridCol w:w="1814"/>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0" w:type="dxa"/>
            <w:noWrap w:val="0"/>
            <w:vAlign w:val="center"/>
          </w:tcPr>
          <w:p>
            <w:pPr>
              <w:keepNext w:val="0"/>
              <w:keepLines w:val="0"/>
              <w:widowControl w:val="0"/>
              <w:suppressLineNumbers w:val="0"/>
              <w:spacing w:before="120" w:beforeAutospacing="0" w:after="120" w:afterAutospacing="0"/>
              <w:ind w:left="0" w:right="0"/>
              <w:jc w:val="center"/>
              <w:rPr>
                <w:rFonts w:hint="default" w:ascii="宋体" w:hAnsi="宋体" w:eastAsia="宋体" w:cs="Times New Roman"/>
                <w:bCs/>
                <w:color w:val="auto"/>
                <w:kern w:val="0"/>
                <w:sz w:val="21"/>
                <w:szCs w:val="21"/>
                <w:highlight w:val="none"/>
                <w:lang w:val="en-US" w:eastAsia="zh-CN" w:bidi="ar-SA"/>
              </w:rPr>
            </w:pPr>
            <w:r>
              <w:rPr>
                <w:rFonts w:hint="default" w:ascii="宋体" w:hAnsi="宋体" w:eastAsia="宋体" w:cs="Times New Roman"/>
                <w:bCs/>
                <w:color w:val="auto"/>
                <w:kern w:val="0"/>
                <w:sz w:val="21"/>
                <w:szCs w:val="21"/>
                <w:highlight w:val="none"/>
                <w:lang w:val="en-US" w:eastAsia="zh-CN" w:bidi="ar-SA"/>
              </w:rPr>
              <w:t>序号</w:t>
            </w:r>
          </w:p>
        </w:tc>
        <w:tc>
          <w:tcPr>
            <w:tcW w:w="1757" w:type="dxa"/>
            <w:noWrap w:val="0"/>
            <w:vAlign w:val="center"/>
          </w:tcPr>
          <w:p>
            <w:pPr>
              <w:keepNext w:val="0"/>
              <w:keepLines w:val="0"/>
              <w:widowControl w:val="0"/>
              <w:suppressLineNumbers w:val="0"/>
              <w:spacing w:before="120" w:beforeAutospacing="0" w:after="120" w:afterAutospacing="0"/>
              <w:ind w:left="0" w:right="0"/>
              <w:jc w:val="center"/>
              <w:rPr>
                <w:rFonts w:hint="default"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姓名</w:t>
            </w:r>
          </w:p>
        </w:tc>
        <w:tc>
          <w:tcPr>
            <w:tcW w:w="1527" w:type="dxa"/>
            <w:noWrap w:val="0"/>
            <w:vAlign w:val="center"/>
          </w:tcPr>
          <w:p>
            <w:pPr>
              <w:keepNext w:val="0"/>
              <w:keepLines w:val="0"/>
              <w:widowControl w:val="0"/>
              <w:suppressLineNumbers w:val="0"/>
              <w:spacing w:before="120" w:beforeAutospacing="0" w:after="120" w:afterAutospacing="0"/>
              <w:ind w:left="0" w:right="0"/>
              <w:jc w:val="center"/>
              <w:rPr>
                <w:rFonts w:hint="default"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证书编号</w:t>
            </w:r>
          </w:p>
        </w:tc>
        <w:tc>
          <w:tcPr>
            <w:tcW w:w="851" w:type="dxa"/>
            <w:noWrap w:val="0"/>
            <w:vAlign w:val="center"/>
          </w:tcPr>
          <w:p>
            <w:pPr>
              <w:keepNext w:val="0"/>
              <w:keepLines w:val="0"/>
              <w:widowControl w:val="0"/>
              <w:suppressLineNumbers w:val="0"/>
              <w:spacing w:before="120" w:beforeAutospacing="0" w:after="120" w:afterAutospacing="0"/>
              <w:ind w:left="0" w:right="0"/>
              <w:jc w:val="center"/>
              <w:rPr>
                <w:rFonts w:hint="default" w:ascii="宋体" w:hAnsi="宋体" w:eastAsia="宋体" w:cs="Times New Roman"/>
                <w:bCs/>
                <w:color w:val="auto"/>
                <w:kern w:val="0"/>
                <w:sz w:val="21"/>
                <w:szCs w:val="21"/>
                <w:highlight w:val="none"/>
                <w:lang w:val="en-US" w:eastAsia="zh-CN" w:bidi="ar-SA"/>
              </w:rPr>
            </w:pPr>
            <w:r>
              <w:rPr>
                <w:rFonts w:hint="default" w:ascii="宋体" w:hAnsi="宋体" w:eastAsia="宋体" w:cs="Times New Roman"/>
                <w:bCs/>
                <w:color w:val="auto"/>
                <w:kern w:val="0"/>
                <w:sz w:val="21"/>
                <w:szCs w:val="21"/>
                <w:highlight w:val="none"/>
                <w:lang w:val="en-US" w:eastAsia="zh-CN" w:bidi="ar-SA"/>
              </w:rPr>
              <w:t>职称</w:t>
            </w:r>
          </w:p>
        </w:tc>
        <w:tc>
          <w:tcPr>
            <w:tcW w:w="1364" w:type="dxa"/>
            <w:noWrap w:val="0"/>
            <w:vAlign w:val="center"/>
          </w:tcPr>
          <w:p>
            <w:pPr>
              <w:keepNext w:val="0"/>
              <w:keepLines w:val="0"/>
              <w:widowControl w:val="0"/>
              <w:suppressLineNumbers w:val="0"/>
              <w:spacing w:before="120" w:beforeAutospacing="0" w:after="120" w:afterAutospacing="0"/>
              <w:ind w:left="0" w:right="0"/>
              <w:jc w:val="center"/>
              <w:rPr>
                <w:rFonts w:hint="default"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年龄</w:t>
            </w:r>
          </w:p>
        </w:tc>
        <w:tc>
          <w:tcPr>
            <w:tcW w:w="1814" w:type="dxa"/>
            <w:noWrap w:val="0"/>
            <w:vAlign w:val="center"/>
          </w:tcPr>
          <w:p>
            <w:pPr>
              <w:keepNext w:val="0"/>
              <w:keepLines w:val="0"/>
              <w:widowControl w:val="0"/>
              <w:suppressLineNumbers w:val="0"/>
              <w:spacing w:before="120" w:beforeAutospacing="0" w:after="120" w:afterAutospacing="0"/>
              <w:ind w:left="0" w:right="0"/>
              <w:jc w:val="center"/>
              <w:rPr>
                <w:rFonts w:hint="default"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拟派岗位</w:t>
            </w:r>
          </w:p>
        </w:tc>
        <w:tc>
          <w:tcPr>
            <w:tcW w:w="1719" w:type="dxa"/>
            <w:noWrap w:val="0"/>
            <w:vAlign w:val="center"/>
          </w:tcPr>
          <w:p>
            <w:pPr>
              <w:keepNext w:val="0"/>
              <w:keepLines w:val="0"/>
              <w:widowControl w:val="0"/>
              <w:suppressLineNumbers w:val="0"/>
              <w:spacing w:before="120" w:beforeAutospacing="0" w:after="120" w:afterAutospacing="0"/>
              <w:ind w:left="0" w:right="0"/>
              <w:jc w:val="center"/>
              <w:rPr>
                <w:rFonts w:hint="default"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pPr>
              <w:keepNext w:val="0"/>
              <w:keepLines w:val="0"/>
              <w:widowControl w:val="0"/>
              <w:suppressLineNumbers w:val="0"/>
              <w:spacing w:before="120" w:beforeAutospacing="0" w:after="120" w:afterAutospacing="0"/>
              <w:ind w:left="0" w:right="0"/>
              <w:jc w:val="center"/>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1</w:t>
            </w:r>
          </w:p>
        </w:tc>
        <w:tc>
          <w:tcPr>
            <w:tcW w:w="1757"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宋体"/>
                <w:color w:val="auto"/>
                <w:sz w:val="21"/>
                <w:szCs w:val="21"/>
                <w:highlight w:val="none"/>
                <w:lang w:val="en-US" w:eastAsia="zh-CN" w:bidi="ar"/>
              </w:rPr>
            </w:pPr>
          </w:p>
        </w:tc>
        <w:tc>
          <w:tcPr>
            <w:tcW w:w="1527"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851"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1364"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1814"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color w:val="auto"/>
                <w:kern w:val="0"/>
                <w:sz w:val="21"/>
                <w:szCs w:val="21"/>
                <w:highlight w:val="none"/>
              </w:rPr>
            </w:pPr>
            <w:r>
              <w:rPr>
                <w:rFonts w:hint="eastAsia" w:ascii="宋体" w:hAnsi="宋体" w:eastAsia="宋体" w:cs="Times New Roman"/>
                <w:color w:val="auto"/>
                <w:sz w:val="21"/>
                <w:szCs w:val="21"/>
                <w:highlight w:val="none"/>
              </w:rPr>
              <w:t>项目经理</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即项目负责人，下同</w:t>
            </w:r>
            <w:r>
              <w:rPr>
                <w:rFonts w:hint="eastAsia" w:ascii="宋体" w:hAnsi="宋体" w:eastAsia="宋体" w:cs="Times New Roman"/>
                <w:color w:val="auto"/>
                <w:sz w:val="21"/>
                <w:szCs w:val="21"/>
                <w:highlight w:val="none"/>
                <w:lang w:eastAsia="zh-CN"/>
              </w:rPr>
              <w:t>）</w:t>
            </w:r>
          </w:p>
        </w:tc>
        <w:tc>
          <w:tcPr>
            <w:tcW w:w="1719"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pPr>
              <w:keepNext w:val="0"/>
              <w:keepLines w:val="0"/>
              <w:widowControl w:val="0"/>
              <w:suppressLineNumbers w:val="0"/>
              <w:spacing w:before="120" w:beforeAutospacing="0" w:after="120" w:afterAutospacing="0"/>
              <w:ind w:left="0" w:right="0"/>
              <w:jc w:val="center"/>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2</w:t>
            </w:r>
          </w:p>
        </w:tc>
        <w:tc>
          <w:tcPr>
            <w:tcW w:w="1757"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宋体"/>
                <w:color w:val="auto"/>
                <w:sz w:val="21"/>
                <w:szCs w:val="21"/>
                <w:highlight w:val="none"/>
                <w:lang w:eastAsia="en-US" w:bidi="ar"/>
              </w:rPr>
            </w:pPr>
          </w:p>
        </w:tc>
        <w:tc>
          <w:tcPr>
            <w:tcW w:w="1527"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851"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1364"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1814"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color w:val="auto"/>
                <w:kern w:val="0"/>
                <w:sz w:val="21"/>
                <w:szCs w:val="21"/>
                <w:highlight w:val="none"/>
              </w:rPr>
            </w:pPr>
            <w:r>
              <w:rPr>
                <w:rFonts w:hint="eastAsia" w:ascii="宋体" w:hAnsi="宋体" w:eastAsia="宋体" w:cs="Times New Roman"/>
                <w:color w:val="auto"/>
                <w:sz w:val="21"/>
                <w:szCs w:val="21"/>
                <w:highlight w:val="none"/>
              </w:rPr>
              <w:t>项目技术负责人</w:t>
            </w:r>
          </w:p>
        </w:tc>
        <w:tc>
          <w:tcPr>
            <w:tcW w:w="1719"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80" w:type="dxa"/>
            <w:noWrap w:val="0"/>
            <w:vAlign w:val="center"/>
          </w:tcPr>
          <w:p>
            <w:pPr>
              <w:keepNext w:val="0"/>
              <w:keepLines w:val="0"/>
              <w:widowControl w:val="0"/>
              <w:suppressLineNumbers w:val="0"/>
              <w:spacing w:before="120" w:beforeAutospacing="0" w:after="120" w:afterAutospacing="0"/>
              <w:ind w:left="0" w:right="0"/>
              <w:jc w:val="center"/>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3</w:t>
            </w:r>
          </w:p>
        </w:tc>
        <w:tc>
          <w:tcPr>
            <w:tcW w:w="1757"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宋体"/>
                <w:color w:val="auto"/>
                <w:sz w:val="21"/>
                <w:szCs w:val="21"/>
                <w:highlight w:val="none"/>
                <w:lang w:eastAsia="en-US" w:bidi="ar"/>
              </w:rPr>
            </w:pPr>
          </w:p>
        </w:tc>
        <w:tc>
          <w:tcPr>
            <w:tcW w:w="1527"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851"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1364"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1814"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color w:val="auto"/>
                <w:kern w:val="0"/>
                <w:sz w:val="21"/>
                <w:szCs w:val="21"/>
                <w:highlight w:val="none"/>
              </w:rPr>
            </w:pPr>
            <w:r>
              <w:rPr>
                <w:rFonts w:hint="eastAsia" w:ascii="宋体" w:hAnsi="宋体" w:eastAsia="宋体" w:cs="Times New Roman"/>
                <w:color w:val="auto"/>
                <w:sz w:val="21"/>
                <w:szCs w:val="21"/>
                <w:highlight w:val="none"/>
              </w:rPr>
              <w:t>安全负责人</w:t>
            </w:r>
          </w:p>
        </w:tc>
        <w:tc>
          <w:tcPr>
            <w:tcW w:w="1719"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pPr>
              <w:keepNext w:val="0"/>
              <w:keepLines w:val="0"/>
              <w:widowControl w:val="0"/>
              <w:suppressLineNumbers w:val="0"/>
              <w:spacing w:before="120" w:beforeAutospacing="0" w:after="120" w:afterAutospacing="0"/>
              <w:ind w:left="0" w:right="0"/>
              <w:jc w:val="center"/>
              <w:rPr>
                <w:rFonts w:hint="eastAsia" w:ascii="宋体" w:hAnsi="宋体" w:eastAsia="宋体" w:cs="Times New Roman"/>
                <w:color w:val="auto"/>
                <w:kern w:val="0"/>
                <w:sz w:val="21"/>
                <w:szCs w:val="21"/>
                <w:highlight w:val="none"/>
                <w:lang w:val="en-US" w:eastAsia="zh-CN" w:bidi="ar-SA"/>
              </w:rPr>
            </w:pPr>
          </w:p>
        </w:tc>
        <w:tc>
          <w:tcPr>
            <w:tcW w:w="1757"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1527"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851"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1364"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1814"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color w:val="auto"/>
                <w:kern w:val="0"/>
                <w:sz w:val="21"/>
                <w:szCs w:val="21"/>
                <w:highlight w:val="none"/>
              </w:rPr>
            </w:pPr>
          </w:p>
        </w:tc>
        <w:tc>
          <w:tcPr>
            <w:tcW w:w="1719"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pPr>
              <w:keepNext w:val="0"/>
              <w:keepLines w:val="0"/>
              <w:widowControl w:val="0"/>
              <w:suppressLineNumbers w:val="0"/>
              <w:spacing w:before="120" w:beforeAutospacing="0" w:after="120" w:afterAutospacing="0"/>
              <w:ind w:left="0" w:right="0"/>
              <w:jc w:val="center"/>
              <w:rPr>
                <w:rFonts w:hint="eastAsia" w:ascii="宋体" w:hAnsi="宋体" w:eastAsia="宋体" w:cs="Times New Roman"/>
                <w:color w:val="auto"/>
                <w:kern w:val="0"/>
                <w:sz w:val="21"/>
                <w:szCs w:val="21"/>
                <w:highlight w:val="none"/>
                <w:lang w:val="en-US" w:eastAsia="zh-CN" w:bidi="ar-SA"/>
              </w:rPr>
            </w:pPr>
          </w:p>
        </w:tc>
        <w:tc>
          <w:tcPr>
            <w:tcW w:w="1757"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1527"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851"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1364"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1814"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color w:val="auto"/>
                <w:kern w:val="0"/>
                <w:sz w:val="21"/>
                <w:szCs w:val="21"/>
                <w:highlight w:val="none"/>
              </w:rPr>
            </w:pPr>
          </w:p>
        </w:tc>
        <w:tc>
          <w:tcPr>
            <w:tcW w:w="1719"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pPr>
              <w:keepNext w:val="0"/>
              <w:keepLines w:val="0"/>
              <w:widowControl w:val="0"/>
              <w:suppressLineNumbers w:val="0"/>
              <w:spacing w:before="120" w:beforeAutospacing="0" w:after="120" w:afterAutospacing="0"/>
              <w:ind w:left="0" w:right="0"/>
              <w:jc w:val="center"/>
              <w:rPr>
                <w:rFonts w:hint="default" w:ascii="宋体" w:hAnsi="宋体" w:eastAsia="宋体" w:cs="Times New Roman"/>
                <w:color w:val="auto"/>
                <w:kern w:val="0"/>
                <w:sz w:val="21"/>
                <w:szCs w:val="21"/>
                <w:highlight w:val="none"/>
                <w:lang w:val="en-US" w:eastAsia="zh-CN" w:bidi="ar-SA"/>
              </w:rPr>
            </w:pPr>
          </w:p>
        </w:tc>
        <w:tc>
          <w:tcPr>
            <w:tcW w:w="1757"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1527"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851"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1364"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1814"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1719"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pPr>
              <w:keepNext w:val="0"/>
              <w:keepLines w:val="0"/>
              <w:widowControl w:val="0"/>
              <w:suppressLineNumbers w:val="0"/>
              <w:spacing w:before="120" w:beforeAutospacing="0" w:after="120" w:afterAutospacing="0"/>
              <w:ind w:left="0" w:right="0"/>
              <w:jc w:val="center"/>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757"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27"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851"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1364"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1814"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c>
          <w:tcPr>
            <w:tcW w:w="1719" w:type="dxa"/>
            <w:noWrap w:val="0"/>
            <w:vAlign w:val="center"/>
          </w:tcPr>
          <w:p>
            <w:pPr>
              <w:keepNext w:val="0"/>
              <w:keepLines w:val="0"/>
              <w:widowControl w:val="0"/>
              <w:suppressLineNumbers w:val="0"/>
              <w:spacing w:before="120" w:beforeAutospacing="0" w:after="120" w:afterAutospacing="0"/>
              <w:ind w:left="0" w:right="0"/>
              <w:jc w:val="both"/>
              <w:rPr>
                <w:rFonts w:hint="default" w:ascii="宋体" w:hAnsi="宋体" w:eastAsia="宋体" w:cs="Times New Roman"/>
                <w:color w:val="auto"/>
                <w:kern w:val="0"/>
                <w:sz w:val="21"/>
                <w:szCs w:val="21"/>
                <w:highlight w:val="none"/>
                <w:lang w:val="en-US" w:eastAsia="zh-CN" w:bidi="ar-SA"/>
              </w:rPr>
            </w:pPr>
          </w:p>
        </w:tc>
      </w:tr>
    </w:tbl>
    <w:p>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项目经理（项目经理的相关资料如在项目经理简历表下提供，本表后则无须再提供）：身份证（正反双面）、职称资格证书、有效期内的</w:t>
      </w:r>
      <w:r>
        <w:rPr>
          <w:rFonts w:hint="eastAsia" w:ascii="宋体" w:hAnsi="宋体" w:eastAsia="宋体" w:cs="宋体"/>
          <w:bCs/>
          <w:color w:val="auto"/>
          <w:kern w:val="0"/>
          <w:sz w:val="21"/>
          <w:szCs w:val="21"/>
          <w:highlight w:val="none"/>
          <w:lang w:eastAsia="zh-CN"/>
        </w:rPr>
        <w:t>公路水运</w:t>
      </w:r>
      <w:r>
        <w:rPr>
          <w:rFonts w:hint="eastAsia" w:ascii="宋体" w:hAnsi="宋体" w:eastAsia="宋体" w:cs="宋体"/>
          <w:bCs/>
          <w:color w:val="auto"/>
          <w:kern w:val="0"/>
          <w:sz w:val="21"/>
          <w:szCs w:val="21"/>
          <w:highlight w:val="none"/>
        </w:rPr>
        <w:t>施工企业项目负责人安全生产考核合格证书（B类）、建造师注册证书；项目技术负责人：身份证（正反双面）、职称资格证书、有效期内的</w:t>
      </w:r>
      <w:r>
        <w:rPr>
          <w:rFonts w:hint="eastAsia" w:ascii="宋体" w:hAnsi="宋体" w:eastAsia="宋体" w:cs="宋体"/>
          <w:bCs/>
          <w:color w:val="auto"/>
          <w:kern w:val="0"/>
          <w:sz w:val="21"/>
          <w:szCs w:val="21"/>
          <w:highlight w:val="none"/>
          <w:lang w:eastAsia="zh-CN"/>
        </w:rPr>
        <w:t>公路水运</w:t>
      </w:r>
      <w:r>
        <w:rPr>
          <w:rFonts w:hint="eastAsia" w:ascii="宋体" w:hAnsi="宋体" w:eastAsia="宋体" w:cs="宋体"/>
          <w:bCs/>
          <w:color w:val="auto"/>
          <w:kern w:val="0"/>
          <w:sz w:val="21"/>
          <w:szCs w:val="21"/>
          <w:highlight w:val="none"/>
        </w:rPr>
        <w:t>施工企业项目负责人安全生产考核合格证书（B类）；安全负责人：身份证（正反双面）、</w:t>
      </w:r>
      <w:r>
        <w:rPr>
          <w:rFonts w:hint="eastAsia" w:ascii="宋体" w:hAnsi="宋体" w:eastAsia="宋体" w:cs="宋体"/>
          <w:bCs/>
          <w:color w:val="auto"/>
          <w:kern w:val="0"/>
          <w:sz w:val="21"/>
          <w:szCs w:val="21"/>
          <w:highlight w:val="none"/>
          <w:lang w:eastAsia="zh-CN"/>
        </w:rPr>
        <w:t>有效期内的公路水运施工企业专职安全生产管理人员安全生产考核合格证书（C类）</w:t>
      </w:r>
      <w:r>
        <w:rPr>
          <w:rFonts w:hint="eastAsia" w:ascii="宋体" w:hAnsi="宋体" w:eastAsia="宋体" w:cs="宋体"/>
          <w:bCs/>
          <w:color w:val="auto"/>
          <w:kern w:val="0"/>
          <w:sz w:val="21"/>
          <w:szCs w:val="21"/>
          <w:highlight w:val="none"/>
        </w:rPr>
        <w:t>。</w:t>
      </w:r>
    </w:p>
    <w:p>
      <w:pPr>
        <w:numPr>
          <w:ilvl w:val="0"/>
          <w:numId w:val="0"/>
        </w:numPr>
        <w:spacing w:line="360" w:lineRule="auto"/>
        <w:ind w:left="360" w:leftChars="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拟委任的项目经理的建造师注册证书、安全生产考核合格证书和项目技术负责人、安全负责人的安全生产考核合格证书上单位名称应与投标人名称一致，否则审查不予通过。</w:t>
      </w:r>
    </w:p>
    <w:p>
      <w:pPr>
        <w:numPr>
          <w:ilvl w:val="0"/>
          <w:numId w:val="0"/>
        </w:numPr>
        <w:spacing w:line="360" w:lineRule="auto"/>
        <w:ind w:left="360" w:leftChars="0"/>
        <w:rPr>
          <w:rFonts w:hint="eastAsia" w:ascii="宋体" w:hAnsi="宋体" w:eastAsia="宋体" w:cs="宋体"/>
          <w:b/>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表中拟派岗位人员请参照“第四部分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评标办法及评分标准”中拟派人员要求填写，并附上相关人员的</w:t>
      </w:r>
      <w:r>
        <w:rPr>
          <w:rFonts w:hint="eastAsia" w:ascii="宋体" w:hAnsi="宋体" w:eastAsia="宋体" w:cs="宋体"/>
          <w:bCs/>
          <w:color w:val="auto"/>
          <w:kern w:val="0"/>
          <w:sz w:val="21"/>
          <w:szCs w:val="21"/>
          <w:highlight w:val="none"/>
          <w:lang w:val="en-US" w:eastAsia="zh-CN"/>
        </w:rPr>
        <w:t>资格证书、社保证明</w:t>
      </w:r>
      <w:r>
        <w:rPr>
          <w:rFonts w:hint="eastAsia" w:ascii="宋体" w:hAnsi="宋体" w:eastAsia="宋体" w:cs="宋体"/>
          <w:bCs/>
          <w:color w:val="auto"/>
          <w:kern w:val="0"/>
          <w:sz w:val="21"/>
          <w:szCs w:val="21"/>
          <w:highlight w:val="none"/>
        </w:rPr>
        <w:t>等影响评审或评分的材料。</w:t>
      </w:r>
    </w:p>
    <w:p>
      <w:pPr>
        <w:pStyle w:val="2"/>
        <w:spacing w:beforeLines="0" w:afterLines="0" w:line="360" w:lineRule="auto"/>
        <w:rPr>
          <w:rFonts w:hint="eastAsia" w:ascii="宋体" w:hAnsi="宋体" w:eastAsia="宋体" w:cs="宋体"/>
          <w:b/>
          <w:bCs/>
          <w:color w:val="auto"/>
          <w:kern w:val="0"/>
          <w:sz w:val="21"/>
          <w:szCs w:val="21"/>
          <w:highlight w:val="none"/>
        </w:rPr>
      </w:pPr>
      <w:r>
        <w:rPr>
          <w:rFonts w:hint="eastAsia" w:ascii="宋体" w:hAnsi="宋体" w:eastAsia="宋体" w:cs="宋体"/>
          <w:bCs/>
          <w:color w:val="auto"/>
          <w:kern w:val="0"/>
          <w:sz w:val="21"/>
          <w:szCs w:val="21"/>
          <w:highlight w:val="none"/>
        </w:rPr>
        <w:t xml:space="preserve">   </w:t>
      </w:r>
      <w:r>
        <w:rPr>
          <w:rFonts w:hint="eastAsia"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可根据自身情况调整表格。</w:t>
      </w:r>
    </w:p>
    <w:p>
      <w:pPr>
        <w:keepNext w:val="0"/>
        <w:keepLines w:val="0"/>
        <w:pageBreakBefore w:val="0"/>
        <w:kinsoku/>
        <w:wordWrap/>
        <w:overflowPunct/>
        <w:topLinePunct w:val="0"/>
        <w:autoSpaceDE/>
        <w:autoSpaceDN/>
        <w:bidi w:val="0"/>
        <w:adjustRightInd w:val="0"/>
        <w:snapToGrid w:val="0"/>
        <w:spacing w:line="600" w:lineRule="exact"/>
        <w:ind w:firstLine="6120" w:firstLineChars="2550"/>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highlight w:val="none"/>
          <w:lang w:eastAsia="zh-CN"/>
        </w:rPr>
        <w:t>磋商供应商</w:t>
      </w:r>
      <w:r>
        <w:rPr>
          <w:rFonts w:hint="eastAsia" w:ascii="宋体" w:hAnsi="宋体" w:eastAsia="宋体" w:cs="宋体"/>
          <w:color w:val="auto"/>
          <w:kern w:val="0"/>
          <w:sz w:val="24"/>
          <w:highlight w:val="none"/>
          <w:lang w:val="zh-CN"/>
        </w:rPr>
        <w:t>(公章)：</w:t>
      </w:r>
    </w:p>
    <w:p>
      <w:pPr>
        <w:keepNext w:val="0"/>
        <w:keepLines w:val="0"/>
        <w:pageBreakBefore w:val="0"/>
        <w:kinsoku/>
        <w:wordWrap/>
        <w:overflowPunct/>
        <w:topLinePunct w:val="0"/>
        <w:autoSpaceDE/>
        <w:autoSpaceDN/>
        <w:bidi w:val="0"/>
        <w:adjustRightInd w:val="0"/>
        <w:snapToGrid w:val="0"/>
        <w:spacing w:line="600" w:lineRule="exact"/>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lang w:val="zh-CN"/>
        </w:rPr>
        <w:t>)或授权委托人(签字)：</w:t>
      </w:r>
    </w:p>
    <w:p>
      <w:pPr>
        <w:pStyle w:val="4"/>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highlight w:val="none"/>
          <w:lang w:val="zh-CN"/>
        </w:rPr>
      </w:pPr>
      <w:r>
        <w:rPr>
          <w:rFonts w:hint="eastAsia" w:ascii="宋体" w:hAnsi="宋体" w:eastAsia="宋体" w:cs="宋体"/>
          <w:color w:val="auto"/>
          <w:kern w:val="0"/>
          <w:sz w:val="24"/>
          <w:highlight w:val="none"/>
          <w:lang w:val="zh-CN"/>
        </w:rPr>
        <w:t xml:space="preserve">                                         日期：     年   月   日</w:t>
      </w:r>
    </w:p>
    <w:p>
      <w:pPr>
        <w:rPr>
          <w:rFonts w:hint="eastAsia"/>
          <w:color w:val="auto"/>
          <w:highlight w:val="none"/>
        </w:rPr>
      </w:pPr>
    </w:p>
    <w:p>
      <w:pPr>
        <w:pStyle w:val="8"/>
        <w:jc w:val="left"/>
        <w:rPr>
          <w:rFonts w:hint="eastAsia" w:ascii="宋体" w:hAnsi="宋体" w:cs="宋体"/>
          <w:b/>
          <w:color w:val="auto"/>
          <w:sz w:val="24"/>
          <w:szCs w:val="24"/>
          <w:highlight w:val="none"/>
        </w:rPr>
      </w:pPr>
    </w:p>
    <w:p>
      <w:pPr>
        <w:pStyle w:val="8"/>
        <w:jc w:val="left"/>
        <w:rPr>
          <w:rFonts w:hint="eastAsia" w:ascii="宋体" w:hAnsi="宋体" w:cs="宋体"/>
          <w:b/>
          <w:color w:val="auto"/>
          <w:sz w:val="24"/>
          <w:szCs w:val="24"/>
          <w:highlight w:val="none"/>
        </w:rPr>
      </w:pPr>
    </w:p>
    <w:p>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pPr>
        <w:pStyle w:val="8"/>
        <w:jc w:val="left"/>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附表</w:t>
      </w:r>
      <w:r>
        <w:rPr>
          <w:rFonts w:hint="eastAsia" w:ascii="宋体" w:hAnsi="宋体" w:eastAsia="宋体" w:cs="宋体"/>
          <w:b/>
          <w:color w:val="auto"/>
          <w:sz w:val="24"/>
          <w:szCs w:val="24"/>
          <w:highlight w:val="none"/>
          <w:lang w:val="en-US" w:eastAsia="zh-CN"/>
        </w:rPr>
        <w:t>十二</w:t>
      </w:r>
      <w:r>
        <w:rPr>
          <w:rFonts w:hint="eastAsia" w:ascii="宋体" w:hAnsi="宋体" w:cs="宋体"/>
          <w:b/>
          <w:color w:val="auto"/>
          <w:sz w:val="24"/>
          <w:szCs w:val="24"/>
          <w:highlight w:val="none"/>
        </w:rPr>
        <w:t>：</w:t>
      </w:r>
      <w:bookmarkEnd w:id="2761"/>
      <w:bookmarkEnd w:id="2762"/>
      <w:bookmarkEnd w:id="2763"/>
      <w:bookmarkEnd w:id="2764"/>
      <w:r>
        <w:rPr>
          <w:rFonts w:hint="eastAsia" w:ascii="宋体" w:hAnsi="宋体" w:eastAsia="宋体" w:cs="宋体"/>
          <w:b/>
          <w:color w:val="auto"/>
          <w:sz w:val="24"/>
          <w:szCs w:val="24"/>
          <w:highlight w:val="none"/>
          <w:lang w:val="en-US" w:eastAsia="zh-CN"/>
        </w:rPr>
        <w:t xml:space="preserve">               </w:t>
      </w:r>
    </w:p>
    <w:p>
      <w:pPr>
        <w:pStyle w:val="8"/>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主要施工机械设备表</w:t>
      </w:r>
    </w:p>
    <w:p>
      <w:pPr>
        <w:pStyle w:val="15"/>
        <w:rPr>
          <w:rFonts w:hint="eastAsia"/>
          <w:color w:val="auto"/>
          <w:highlight w:val="none"/>
          <w:lang w:val="en-US" w:eastAsia="zh-CN"/>
        </w:rPr>
      </w:pPr>
    </w:p>
    <w:tbl>
      <w:tblPr>
        <w:tblStyle w:val="24"/>
        <w:tblW w:w="9558" w:type="dxa"/>
        <w:tblInd w:w="0" w:type="dxa"/>
        <w:tblLayout w:type="fixed"/>
        <w:tblCellMar>
          <w:top w:w="0" w:type="dxa"/>
          <w:left w:w="108" w:type="dxa"/>
          <w:bottom w:w="0" w:type="dxa"/>
          <w:right w:w="108" w:type="dxa"/>
        </w:tblCellMar>
      </w:tblPr>
      <w:tblGrid>
        <w:gridCol w:w="824"/>
        <w:gridCol w:w="1433"/>
        <w:gridCol w:w="1433"/>
        <w:gridCol w:w="1054"/>
        <w:gridCol w:w="1413"/>
        <w:gridCol w:w="2262"/>
        <w:gridCol w:w="1139"/>
      </w:tblGrid>
      <w:tr>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2"/>
                <w:szCs w:val="22"/>
                <w:highlight w:val="none"/>
              </w:rPr>
            </w:pPr>
            <w:r>
              <w:rPr>
                <w:rFonts w:hint="eastAsia" w:cs="宋体"/>
                <w:color w:val="auto"/>
                <w:kern w:val="0"/>
                <w:sz w:val="22"/>
                <w:szCs w:val="22"/>
                <w:highlight w:val="none"/>
              </w:rPr>
              <w:t>序号</w:t>
            </w: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2"/>
                <w:szCs w:val="22"/>
                <w:highlight w:val="none"/>
              </w:rPr>
            </w:pPr>
            <w:r>
              <w:rPr>
                <w:rFonts w:hint="eastAsia" w:cs="宋体"/>
                <w:color w:val="auto"/>
                <w:kern w:val="0"/>
                <w:sz w:val="22"/>
                <w:szCs w:val="22"/>
                <w:highlight w:val="none"/>
              </w:rPr>
              <w:t>设备名称</w:t>
            </w: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2"/>
                <w:szCs w:val="22"/>
                <w:highlight w:val="none"/>
              </w:rPr>
            </w:pPr>
            <w:r>
              <w:rPr>
                <w:rFonts w:hint="eastAsia" w:cs="宋体"/>
                <w:color w:val="auto"/>
                <w:kern w:val="0"/>
                <w:sz w:val="22"/>
                <w:szCs w:val="22"/>
                <w:highlight w:val="none"/>
              </w:rPr>
              <w:t>规格型号</w:t>
            </w:r>
          </w:p>
        </w:tc>
        <w:tc>
          <w:tcPr>
            <w:tcW w:w="10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2"/>
                <w:szCs w:val="22"/>
                <w:highlight w:val="none"/>
              </w:rPr>
            </w:pPr>
            <w:r>
              <w:rPr>
                <w:rFonts w:hint="eastAsia" w:cs="宋体"/>
                <w:color w:val="auto"/>
                <w:kern w:val="0"/>
                <w:sz w:val="22"/>
                <w:szCs w:val="22"/>
                <w:highlight w:val="none"/>
              </w:rPr>
              <w:t>数量</w:t>
            </w:r>
          </w:p>
        </w:tc>
        <w:tc>
          <w:tcPr>
            <w:tcW w:w="141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2"/>
                <w:szCs w:val="22"/>
                <w:highlight w:val="none"/>
              </w:rPr>
            </w:pPr>
            <w:r>
              <w:rPr>
                <w:rFonts w:hint="eastAsia" w:cs="宋体"/>
                <w:color w:val="auto"/>
                <w:kern w:val="0"/>
                <w:sz w:val="22"/>
                <w:szCs w:val="22"/>
                <w:highlight w:val="none"/>
              </w:rPr>
              <w:t>设备能力</w:t>
            </w:r>
          </w:p>
        </w:tc>
        <w:tc>
          <w:tcPr>
            <w:tcW w:w="226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2"/>
                <w:szCs w:val="22"/>
                <w:highlight w:val="none"/>
              </w:rPr>
            </w:pPr>
            <w:r>
              <w:rPr>
                <w:rFonts w:hint="eastAsia" w:cs="宋体"/>
                <w:color w:val="auto"/>
                <w:kern w:val="0"/>
                <w:sz w:val="22"/>
                <w:szCs w:val="22"/>
                <w:highlight w:val="none"/>
              </w:rPr>
              <w:t>进场时间</w:t>
            </w:r>
          </w:p>
        </w:tc>
        <w:tc>
          <w:tcPr>
            <w:tcW w:w="113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2"/>
                <w:szCs w:val="22"/>
                <w:highlight w:val="none"/>
              </w:rPr>
            </w:pPr>
            <w:r>
              <w:rPr>
                <w:rFonts w:hint="eastAsia" w:cs="宋体"/>
                <w:color w:val="auto"/>
                <w:kern w:val="0"/>
                <w:sz w:val="22"/>
                <w:szCs w:val="22"/>
                <w:highlight w:val="none"/>
              </w:rPr>
              <w:t>备注</w:t>
            </w:r>
          </w:p>
        </w:tc>
      </w:tr>
      <w:tr>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bl>
    <w:p>
      <w:pPr>
        <w:pStyle w:val="2"/>
        <w:spacing w:before="60" w:after="60" w:line="500" w:lineRule="exact"/>
        <w:ind w:firstLine="480" w:firstLineChars="200"/>
        <w:rPr>
          <w:rFonts w:hint="eastAsia" w:hAnsi="宋体" w:cs="宋体"/>
          <w:color w:val="auto"/>
          <w:sz w:val="24"/>
          <w:highlight w:val="none"/>
        </w:rPr>
      </w:pPr>
    </w:p>
    <w:p>
      <w:pPr>
        <w:spacing w:line="360" w:lineRule="auto"/>
        <w:rPr>
          <w:rFonts w:hint="eastAsia" w:ascii="宋体" w:hAnsi="宋体" w:eastAsia="宋体" w:cs="宋体"/>
          <w:color w:val="auto"/>
          <w:sz w:val="21"/>
          <w:szCs w:val="21"/>
          <w:highlight w:val="none"/>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6120" w:firstLineChars="2550"/>
        <w:jc w:val="right"/>
        <w:textAlignment w:val="auto"/>
        <w:rPr>
          <w:rFonts w:hint="eastAsia" w:ascii="宋体" w:hAnsi="宋体" w:eastAsia="宋体" w:cs="宋体"/>
          <w:color w:val="auto"/>
          <w:kern w:val="0"/>
          <w:sz w:val="24"/>
          <w:highlight w:val="none"/>
          <w:lang w:val="zh-CN"/>
        </w:rPr>
      </w:pPr>
      <w:r>
        <w:rPr>
          <w:rFonts w:hint="eastAsia" w:ascii="宋体" w:hAnsi="宋体" w:cs="宋体"/>
          <w:color w:val="auto"/>
          <w:sz w:val="24"/>
          <w:highlight w:val="none"/>
          <w:lang w:eastAsia="zh-CN"/>
        </w:rPr>
        <w:t>磋商供应商</w:t>
      </w:r>
      <w:r>
        <w:rPr>
          <w:rFonts w:hint="eastAsia" w:ascii="宋体" w:hAnsi="宋体" w:eastAsia="宋体" w:cs="宋体"/>
          <w:color w:val="auto"/>
          <w:kern w:val="0"/>
          <w:sz w:val="24"/>
          <w:highlight w:val="none"/>
          <w:lang w:val="zh-CN"/>
        </w:rPr>
        <w:t>(公章)：</w:t>
      </w:r>
    </w:p>
    <w:p>
      <w:pPr>
        <w:keepNext w:val="0"/>
        <w:keepLines w:val="0"/>
        <w:pageBreakBefore w:val="0"/>
        <w:kinsoku/>
        <w:wordWrap/>
        <w:overflowPunct/>
        <w:topLinePunct w:val="0"/>
        <w:autoSpaceDE/>
        <w:autoSpaceDN/>
        <w:bidi w:val="0"/>
        <w:adjustRightInd w:val="0"/>
        <w:snapToGrid w:val="0"/>
        <w:spacing w:line="600" w:lineRule="exact"/>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lang w:val="zh-CN"/>
        </w:rPr>
        <w:t>)或授权委托人(签字)：</w:t>
      </w:r>
    </w:p>
    <w:p>
      <w:pPr>
        <w:pStyle w:val="4"/>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highlight w:val="none"/>
          <w:lang w:val="zh-CN"/>
        </w:rPr>
      </w:pPr>
      <w:r>
        <w:rPr>
          <w:rFonts w:hint="eastAsia" w:ascii="宋体" w:hAnsi="宋体" w:eastAsia="宋体" w:cs="宋体"/>
          <w:color w:val="auto"/>
          <w:kern w:val="0"/>
          <w:sz w:val="24"/>
          <w:highlight w:val="none"/>
          <w:lang w:val="zh-CN"/>
        </w:rPr>
        <w:t xml:space="preserve">                                         日期：     年   月   日</w:t>
      </w:r>
    </w:p>
    <w:p>
      <w:pPr>
        <w:rPr>
          <w:rFonts w:hint="eastAsia" w:ascii="宋体" w:hAnsi="宋体" w:eastAsia="宋体"/>
          <w:bCs w:val="0"/>
          <w:color w:val="auto"/>
          <w:highlight w:val="none"/>
          <w:lang w:val="zh-CN"/>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eastAsia="zh-CN"/>
        </w:rPr>
        <w:t>十三</w:t>
      </w:r>
      <w:r>
        <w:rPr>
          <w:rFonts w:hint="eastAsia" w:ascii="宋体" w:hAnsi="宋体" w:eastAsia="宋体" w:cs="宋体"/>
          <w:b/>
          <w:color w:val="auto"/>
          <w:sz w:val="24"/>
          <w:highlight w:val="none"/>
        </w:rPr>
        <w:t>：承诺函</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承诺函及拟派项目负责人在投标截止日无在其他任何在建合同工程上担任项目负责人的承诺）</w:t>
      </w:r>
    </w:p>
    <w:p>
      <w:pPr>
        <w:keepNext w:val="0"/>
        <w:keepLines w:val="0"/>
        <w:widowControl/>
        <w:suppressLineNumbers w:val="0"/>
        <w:jc w:val="center"/>
        <w:rPr>
          <w:color w:val="auto"/>
          <w:highlight w:val="none"/>
        </w:rPr>
      </w:pPr>
      <w:r>
        <w:rPr>
          <w:rFonts w:hint="eastAsia" w:ascii="宋体" w:hAnsi="宋体" w:eastAsia="宋体" w:cs="宋体"/>
          <w:b/>
          <w:bCs/>
          <w:color w:val="auto"/>
          <w:kern w:val="0"/>
          <w:sz w:val="31"/>
          <w:szCs w:val="31"/>
          <w:highlight w:val="none"/>
          <w:lang w:val="en-US" w:eastAsia="zh-CN" w:bidi="ar"/>
        </w:rPr>
        <w:t>(一)承诺函</w:t>
      </w:r>
    </w:p>
    <w:p>
      <w:pPr>
        <w:snapToGrid w:val="0"/>
        <w:spacing w:line="460" w:lineRule="exact"/>
        <w:rPr>
          <w:color w:val="auto"/>
          <w:highlight w:val="none"/>
        </w:rPr>
      </w:pPr>
      <w:r>
        <w:rPr>
          <w:rFonts w:hint="eastAsia" w:eastAsia="宋体" w:cs="Calibri"/>
          <w:color w:val="auto"/>
          <w:kern w:val="0"/>
          <w:sz w:val="21"/>
          <w:szCs w:val="21"/>
          <w:highlight w:val="none"/>
          <w:u w:val="single"/>
          <w:lang w:val="en-US" w:eastAsia="zh-CN" w:bidi="ar"/>
        </w:rPr>
        <w:t>仙居县交通运输局、台州瑞腾工程管理有限公司</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600" w:lineRule="exact"/>
        <w:ind w:firstLine="630" w:firstLineChars="3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我方参加了</w:t>
      </w:r>
      <w:r>
        <w:rPr>
          <w:rFonts w:hint="eastAsia" w:eastAsia="宋体" w:cs="Calibri"/>
          <w:color w:val="auto"/>
          <w:kern w:val="0"/>
          <w:sz w:val="21"/>
          <w:szCs w:val="21"/>
          <w:highlight w:val="none"/>
          <w:u w:val="single"/>
          <w:lang w:val="en-US" w:eastAsia="zh-CN" w:bidi="ar"/>
        </w:rPr>
        <w:t>2024年省级挂牌治理道路交通事故多发点段（S322临石线K71+600永安路口）整治工程</w:t>
      </w:r>
      <w:r>
        <w:rPr>
          <w:rFonts w:hint="eastAsia" w:ascii="宋体" w:hAnsi="宋体" w:eastAsia="宋体" w:cs="宋体"/>
          <w:color w:val="auto"/>
          <w:kern w:val="0"/>
          <w:sz w:val="21"/>
          <w:szCs w:val="21"/>
          <w:highlight w:val="none"/>
          <w:lang w:val="en-US" w:eastAsia="zh-CN" w:bidi="ar"/>
        </w:rPr>
        <w:t xml:space="preserve">（项目名称）施工投标，若我方中标，我方在此承诺： </w:t>
      </w:r>
    </w:p>
    <w:p>
      <w:pPr>
        <w:keepNext w:val="0"/>
        <w:keepLines w:val="0"/>
        <w:pageBreakBefore w:val="0"/>
        <w:widowControl/>
        <w:suppressLineNumbers w:val="0"/>
        <w:kinsoku/>
        <w:wordWrap/>
        <w:overflowPunct/>
        <w:topLinePunct w:val="0"/>
        <w:autoSpaceDE/>
        <w:autoSpaceDN/>
        <w:bidi w:val="0"/>
        <w:spacing w:line="6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若我方已按本项目招标文件要求在投标文件中填报派驻本标段的其他主要管理人员和技术人员及主要机械设备和试验检测设备，我方将严格按照在投标文件中填报的其他主要管理人员和技术人员及主要机械设备和试验检测设备组织进场施工。 </w:t>
      </w:r>
    </w:p>
    <w:p>
      <w:pPr>
        <w:keepNext w:val="0"/>
        <w:keepLines w:val="0"/>
        <w:pageBreakBefore w:val="0"/>
        <w:widowControl/>
        <w:suppressLineNumbers w:val="0"/>
        <w:kinsoku/>
        <w:wordWrap/>
        <w:overflowPunct/>
        <w:topLinePunct w:val="0"/>
        <w:autoSpaceDE/>
        <w:autoSpaceDN/>
        <w:bidi w:val="0"/>
        <w:spacing w:line="6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我方承诺：在招标人发出中标通知书前接受明显不平衡报价的修正。 </w:t>
      </w:r>
    </w:p>
    <w:p>
      <w:pPr>
        <w:keepNext w:val="0"/>
        <w:keepLines w:val="0"/>
        <w:pageBreakBefore w:val="0"/>
        <w:widowControl/>
        <w:suppressLineNumbers w:val="0"/>
        <w:kinsoku/>
        <w:wordWrap/>
        <w:overflowPunct/>
        <w:topLinePunct w:val="0"/>
        <w:autoSpaceDE/>
        <w:autoSpaceDN/>
        <w:bidi w:val="0"/>
        <w:spacing w:line="6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如我方违背了上述承诺，本项目招标人有权将我方的违约行为上报省级交通主管部门，作为不良记录纳入浙江省交通运输厅公路建设市场信息管理系统。 </w:t>
      </w:r>
    </w:p>
    <w:p>
      <w:pPr>
        <w:keepNext w:val="0"/>
        <w:keepLines w:val="0"/>
        <w:pageBreakBefore w:val="0"/>
        <w:kinsoku/>
        <w:wordWrap/>
        <w:overflowPunct/>
        <w:topLinePunct w:val="0"/>
        <w:autoSpaceDE/>
        <w:autoSpaceDN/>
        <w:bidi w:val="0"/>
        <w:adjustRightInd w:val="0"/>
        <w:snapToGrid w:val="0"/>
        <w:spacing w:line="600" w:lineRule="exact"/>
        <w:ind w:firstLine="6120" w:firstLineChars="2550"/>
        <w:jc w:val="right"/>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autoSpaceDE/>
        <w:autoSpaceDN/>
        <w:bidi w:val="0"/>
        <w:adjustRightInd w:val="0"/>
        <w:snapToGrid w:val="0"/>
        <w:spacing w:line="600" w:lineRule="exact"/>
        <w:ind w:firstLine="6120" w:firstLineChars="2550"/>
        <w:jc w:val="right"/>
        <w:textAlignment w:val="auto"/>
        <w:rPr>
          <w:rFonts w:hint="eastAsia" w:ascii="宋体" w:hAnsi="宋体" w:eastAsia="宋体" w:cs="宋体"/>
          <w:color w:val="auto"/>
          <w:kern w:val="0"/>
          <w:sz w:val="24"/>
          <w:highlight w:val="none"/>
          <w:lang w:val="zh-CN"/>
        </w:rPr>
      </w:pPr>
      <w:r>
        <w:rPr>
          <w:rFonts w:hint="eastAsia" w:ascii="宋体" w:hAnsi="宋体" w:cs="宋体"/>
          <w:color w:val="auto"/>
          <w:sz w:val="24"/>
          <w:highlight w:val="none"/>
          <w:lang w:eastAsia="zh-CN"/>
        </w:rPr>
        <w:t>磋商供应商</w:t>
      </w:r>
      <w:r>
        <w:rPr>
          <w:rFonts w:hint="eastAsia" w:ascii="宋体" w:hAnsi="宋体" w:eastAsia="宋体" w:cs="宋体"/>
          <w:color w:val="auto"/>
          <w:kern w:val="0"/>
          <w:sz w:val="24"/>
          <w:highlight w:val="none"/>
          <w:lang w:val="zh-CN"/>
        </w:rPr>
        <w:t>(公章)：</w:t>
      </w:r>
    </w:p>
    <w:p>
      <w:pPr>
        <w:keepNext w:val="0"/>
        <w:keepLines w:val="0"/>
        <w:pageBreakBefore w:val="0"/>
        <w:kinsoku/>
        <w:wordWrap/>
        <w:overflowPunct/>
        <w:topLinePunct w:val="0"/>
        <w:autoSpaceDE/>
        <w:autoSpaceDN/>
        <w:bidi w:val="0"/>
        <w:adjustRightInd w:val="0"/>
        <w:snapToGrid w:val="0"/>
        <w:spacing w:line="600" w:lineRule="exact"/>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lang w:val="zh-CN"/>
        </w:rPr>
        <w:t>)或授权委托人(签字)：</w:t>
      </w:r>
    </w:p>
    <w:p>
      <w:pPr>
        <w:pStyle w:val="8"/>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pStyle w:val="15"/>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8"/>
        <w:rPr>
          <w:rFonts w:hint="eastAsia" w:ascii="宋体" w:hAnsi="宋体" w:eastAsia="宋体" w:cs="宋体"/>
          <w:color w:val="auto"/>
          <w:kern w:val="0"/>
          <w:sz w:val="24"/>
          <w:highlight w:val="none"/>
          <w:lang w:val="zh-CN"/>
        </w:rPr>
      </w:pPr>
    </w:p>
    <w:p>
      <w:pPr>
        <w:pStyle w:val="15"/>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8"/>
        <w:rPr>
          <w:rFonts w:hint="eastAsia" w:ascii="宋体" w:hAnsi="宋体" w:eastAsia="宋体" w:cs="宋体"/>
          <w:color w:val="auto"/>
          <w:kern w:val="0"/>
          <w:sz w:val="24"/>
          <w:highlight w:val="none"/>
          <w:lang w:val="zh-CN"/>
        </w:rPr>
      </w:pPr>
    </w:p>
    <w:p>
      <w:pPr>
        <w:pStyle w:val="15"/>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8"/>
        <w:rPr>
          <w:rFonts w:hint="eastAsia" w:ascii="宋体" w:hAnsi="宋体" w:eastAsia="宋体" w:cs="宋体"/>
          <w:color w:val="auto"/>
          <w:kern w:val="0"/>
          <w:sz w:val="24"/>
          <w:highlight w:val="none"/>
          <w:lang w:val="zh-CN"/>
        </w:rPr>
      </w:pPr>
    </w:p>
    <w:p>
      <w:pPr>
        <w:pStyle w:val="15"/>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8"/>
        <w:rPr>
          <w:rFonts w:hint="eastAsia"/>
          <w:color w:val="auto"/>
          <w:highlight w:val="none"/>
          <w:lang w:val="zh-CN"/>
        </w:rPr>
      </w:pPr>
    </w:p>
    <w:p>
      <w:pPr>
        <w:rPr>
          <w:rFonts w:hint="eastAsia" w:ascii="宋体" w:hAnsi="宋体" w:eastAsia="宋体" w:cs="宋体"/>
          <w:color w:val="auto"/>
          <w:kern w:val="0"/>
          <w:sz w:val="24"/>
          <w:highlight w:val="none"/>
          <w:lang w:val="zh-CN"/>
        </w:rPr>
      </w:pPr>
    </w:p>
    <w:p>
      <w:pPr>
        <w:pStyle w:val="8"/>
        <w:rPr>
          <w:rFonts w:hint="eastAsia" w:ascii="宋体" w:hAnsi="宋体" w:eastAsia="宋体" w:cs="宋体"/>
          <w:color w:val="auto"/>
          <w:kern w:val="0"/>
          <w:sz w:val="24"/>
          <w:highlight w:val="none"/>
          <w:lang w:val="zh-CN"/>
        </w:rPr>
      </w:pPr>
    </w:p>
    <w:p>
      <w:pPr>
        <w:pStyle w:val="15"/>
        <w:rPr>
          <w:rFonts w:hint="eastAsia" w:ascii="宋体" w:hAnsi="宋体" w:eastAsia="宋体" w:cs="宋体"/>
          <w:color w:val="auto"/>
          <w:kern w:val="0"/>
          <w:sz w:val="24"/>
          <w:highlight w:val="none"/>
          <w:lang w:val="zh-C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color w:val="auto"/>
          <w:highlight w:val="none"/>
        </w:rPr>
      </w:pPr>
      <w:r>
        <w:rPr>
          <w:rFonts w:hint="eastAsia" w:ascii="宋体" w:hAnsi="宋体" w:eastAsia="宋体" w:cs="宋体"/>
          <w:b/>
          <w:bCs/>
          <w:color w:val="auto"/>
          <w:kern w:val="0"/>
          <w:sz w:val="31"/>
          <w:szCs w:val="31"/>
          <w:highlight w:val="none"/>
          <w:lang w:val="en-US" w:eastAsia="zh-CN" w:bidi="ar"/>
        </w:rPr>
        <w:t xml:space="preserve">（二）项目负责人在投标截止日无在其他任何在建合同工程 </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color w:val="auto"/>
          <w:highlight w:val="none"/>
        </w:rPr>
      </w:pPr>
      <w:r>
        <w:rPr>
          <w:rFonts w:hint="eastAsia" w:ascii="宋体" w:hAnsi="宋体" w:eastAsia="宋体" w:cs="宋体"/>
          <w:b/>
          <w:bCs/>
          <w:color w:val="auto"/>
          <w:kern w:val="0"/>
          <w:sz w:val="31"/>
          <w:szCs w:val="31"/>
          <w:highlight w:val="none"/>
          <w:lang w:val="en-US" w:eastAsia="zh-CN" w:bidi="ar"/>
        </w:rPr>
        <w:t>上担任项目负责人的承诺书（格式）</w:t>
      </w:r>
    </w:p>
    <w:p>
      <w:pPr>
        <w:snapToGrid w:val="0"/>
        <w:spacing w:line="460" w:lineRule="exact"/>
        <w:rPr>
          <w:rFonts w:hint="eastAsia" w:ascii="宋体" w:hAnsi="宋体" w:eastAsia="宋体" w:cs="宋体"/>
          <w:color w:val="auto"/>
          <w:sz w:val="24"/>
          <w:highlight w:val="none"/>
          <w:u w:val="single"/>
          <w:lang w:eastAsia="zh-CN"/>
        </w:rPr>
      </w:pPr>
    </w:p>
    <w:p>
      <w:pPr>
        <w:snapToGrid w:val="0"/>
        <w:spacing w:line="460" w:lineRule="exact"/>
        <w:rPr>
          <w:color w:val="auto"/>
          <w:highlight w:val="none"/>
        </w:rPr>
      </w:pPr>
      <w:r>
        <w:rPr>
          <w:rFonts w:hint="eastAsia" w:eastAsia="宋体" w:cs="Calibri"/>
          <w:color w:val="auto"/>
          <w:kern w:val="0"/>
          <w:sz w:val="21"/>
          <w:szCs w:val="21"/>
          <w:highlight w:val="none"/>
          <w:u w:val="single"/>
          <w:lang w:val="en-US" w:eastAsia="zh-CN" w:bidi="ar"/>
        </w:rPr>
        <w:t>仙居县交通运输局、台州瑞腾工程管理有限公司</w:t>
      </w:r>
      <w:r>
        <w:rPr>
          <w:rFonts w:hint="eastAsia" w:eastAsia="宋体" w:cs="Calibri"/>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我公司及拟项目负责人承诺，拟派参加</w:t>
      </w:r>
      <w:r>
        <w:rPr>
          <w:rFonts w:hint="eastAsia" w:eastAsia="宋体" w:cs="Calibri"/>
          <w:color w:val="auto"/>
          <w:kern w:val="0"/>
          <w:sz w:val="21"/>
          <w:szCs w:val="21"/>
          <w:highlight w:val="none"/>
          <w:u w:val="single"/>
          <w:lang w:val="en-US" w:eastAsia="zh-CN" w:bidi="ar"/>
        </w:rPr>
        <w:t>2024年省级挂牌治理道路交通事故多发点段（S322临石线K71+600永安路口）整治工程</w:t>
      </w:r>
      <w:r>
        <w:rPr>
          <w:rFonts w:hint="eastAsia" w:ascii="宋体" w:hAnsi="宋体" w:eastAsia="宋体" w:cs="宋体"/>
          <w:color w:val="auto"/>
          <w:kern w:val="0"/>
          <w:sz w:val="21"/>
          <w:szCs w:val="21"/>
          <w:highlight w:val="none"/>
          <w:lang w:val="en-US" w:eastAsia="zh-CN" w:bidi="ar"/>
        </w:rPr>
        <w:t>（项目名称）投标的项目负责人</w:t>
      </w:r>
      <w:r>
        <w:rPr>
          <w:rFonts w:hint="default" w:ascii="Calibri" w:hAnsi="Calibri" w:eastAsia="宋体" w:cs="Calibri"/>
          <w:color w:val="auto"/>
          <w:kern w:val="0"/>
          <w:sz w:val="21"/>
          <w:szCs w:val="21"/>
          <w:highlight w:val="none"/>
          <w:lang w:val="en-US" w:eastAsia="zh-CN" w:bidi="ar"/>
        </w:rPr>
        <w:t>__________________</w:t>
      </w:r>
      <w:r>
        <w:rPr>
          <w:rFonts w:hint="eastAsia" w:ascii="宋体" w:hAnsi="宋体" w:eastAsia="宋体" w:cs="宋体"/>
          <w:color w:val="auto"/>
          <w:kern w:val="0"/>
          <w:sz w:val="21"/>
          <w:szCs w:val="21"/>
          <w:highlight w:val="none"/>
          <w:lang w:val="en-US" w:eastAsia="zh-CN" w:bidi="ar"/>
        </w:rPr>
        <w:t xml:space="preserve">在投标截止日无在其他在建合同工程上担任项目负责人的情形。在建合同工程的开始时间为合同工程中标通知书发出日期（不通过招标方式的，开始时间为合同签订日期），结束时间为该合同通过合同验收或合同解除日期。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岂以上承诺如有虚假，给招标人造成损失的，愿意依法承担赔偿责任。如已中标，同意招标人取消我公司中标资格的处理。</w:t>
      </w:r>
    </w:p>
    <w:p>
      <w:pPr>
        <w:rPr>
          <w:rFonts w:hint="eastAsia"/>
          <w:color w:val="auto"/>
          <w:highlight w:val="none"/>
        </w:rPr>
      </w:pPr>
    </w:p>
    <w:p>
      <w:pPr>
        <w:pStyle w:val="15"/>
        <w:rPr>
          <w:rFonts w:hint="eastAsia"/>
          <w:color w:val="auto"/>
          <w:highlight w:val="none"/>
        </w:rPr>
      </w:pPr>
    </w:p>
    <w:p>
      <w:pPr>
        <w:keepNext w:val="0"/>
        <w:keepLines w:val="0"/>
        <w:pageBreakBefore w:val="0"/>
        <w:kinsoku/>
        <w:wordWrap/>
        <w:overflowPunct/>
        <w:topLinePunct w:val="0"/>
        <w:autoSpaceDE/>
        <w:autoSpaceDN/>
        <w:bidi w:val="0"/>
        <w:adjustRightInd w:val="0"/>
        <w:snapToGrid w:val="0"/>
        <w:spacing w:line="600" w:lineRule="exact"/>
        <w:ind w:firstLine="6120" w:firstLineChars="2550"/>
        <w:jc w:val="right"/>
        <w:textAlignment w:val="auto"/>
        <w:rPr>
          <w:rFonts w:hint="eastAsia" w:ascii="宋体" w:hAnsi="宋体" w:eastAsia="宋体" w:cs="宋体"/>
          <w:color w:val="auto"/>
          <w:kern w:val="0"/>
          <w:sz w:val="24"/>
          <w:highlight w:val="none"/>
          <w:lang w:val="zh-CN"/>
        </w:rPr>
      </w:pPr>
      <w:r>
        <w:rPr>
          <w:rFonts w:hint="eastAsia" w:ascii="宋体" w:hAnsi="宋体" w:cs="宋体"/>
          <w:color w:val="auto"/>
          <w:sz w:val="24"/>
          <w:highlight w:val="none"/>
          <w:lang w:eastAsia="zh-CN"/>
        </w:rPr>
        <w:t>磋商供应商</w:t>
      </w:r>
      <w:r>
        <w:rPr>
          <w:rFonts w:hint="eastAsia" w:ascii="宋体" w:hAnsi="宋体" w:eastAsia="宋体" w:cs="宋体"/>
          <w:color w:val="auto"/>
          <w:kern w:val="0"/>
          <w:sz w:val="24"/>
          <w:highlight w:val="none"/>
          <w:lang w:val="zh-CN"/>
        </w:rPr>
        <w:t>(公章)：</w:t>
      </w:r>
    </w:p>
    <w:p>
      <w:pPr>
        <w:keepNext w:val="0"/>
        <w:keepLines w:val="0"/>
        <w:pageBreakBefore w:val="0"/>
        <w:kinsoku/>
        <w:wordWrap/>
        <w:overflowPunct/>
        <w:topLinePunct w:val="0"/>
        <w:autoSpaceDE/>
        <w:autoSpaceDN/>
        <w:bidi w:val="0"/>
        <w:adjustRightInd w:val="0"/>
        <w:snapToGrid w:val="0"/>
        <w:spacing w:line="600" w:lineRule="exact"/>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lang w:val="zh-CN"/>
        </w:rPr>
        <w:t>)或授权委托人(签字)：</w:t>
      </w:r>
    </w:p>
    <w:p>
      <w:pPr>
        <w:keepNext w:val="0"/>
        <w:keepLines w:val="0"/>
        <w:pageBreakBefore w:val="0"/>
        <w:kinsoku/>
        <w:wordWrap/>
        <w:overflowPunct/>
        <w:topLinePunct w:val="0"/>
        <w:autoSpaceDE/>
        <w:autoSpaceDN/>
        <w:bidi w:val="0"/>
        <w:spacing w:line="600" w:lineRule="exact"/>
        <w:ind w:firstLine="424" w:firstLineChars="177"/>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rPr>
          <w:rFonts w:hint="eastAsia"/>
          <w:color w:val="auto"/>
          <w:highlight w:val="none"/>
        </w:rPr>
      </w:pPr>
    </w:p>
    <w:p>
      <w:pPr>
        <w:pStyle w:val="15"/>
        <w:rPr>
          <w:rFonts w:hint="eastAsia"/>
          <w:color w:val="auto"/>
          <w:highlight w:val="none"/>
        </w:rPr>
      </w:pPr>
    </w:p>
    <w:p>
      <w:pPr>
        <w:pStyle w:val="8"/>
        <w:rPr>
          <w:rFonts w:hint="eastAsia" w:ascii="宋体" w:hAnsi="宋体" w:eastAsia="宋体" w:cs="宋体"/>
          <w:b/>
          <w:color w:val="auto"/>
          <w:sz w:val="24"/>
          <w:highlight w:val="none"/>
        </w:rPr>
      </w:pPr>
    </w:p>
    <w:p>
      <w:pPr>
        <w:pStyle w:val="8"/>
        <w:rPr>
          <w:rFonts w:hint="eastAsia" w:ascii="宋体" w:hAnsi="宋体" w:eastAsia="宋体" w:cs="宋体"/>
          <w:b/>
          <w:color w:val="auto"/>
          <w:sz w:val="24"/>
          <w:highlight w:val="none"/>
        </w:rPr>
      </w:pPr>
    </w:p>
    <w:p>
      <w:pPr>
        <w:pStyle w:val="8"/>
        <w:rPr>
          <w:rFonts w:hint="eastAsia" w:ascii="宋体" w:hAnsi="宋体" w:eastAsia="宋体" w:cs="宋体"/>
          <w:b/>
          <w:color w:val="auto"/>
          <w:sz w:val="24"/>
          <w:highlight w:val="none"/>
        </w:rPr>
      </w:pPr>
    </w:p>
    <w:p>
      <w:pPr>
        <w:pStyle w:val="8"/>
        <w:rPr>
          <w:rFonts w:hint="eastAsia" w:ascii="宋体" w:hAnsi="宋体" w:eastAsia="宋体" w:cs="宋体"/>
          <w:b/>
          <w:color w:val="auto"/>
          <w:sz w:val="24"/>
          <w:highlight w:val="none"/>
        </w:rPr>
      </w:pPr>
    </w:p>
    <w:p>
      <w:pPr>
        <w:pStyle w:val="8"/>
        <w:rPr>
          <w:rFonts w:hint="eastAsia" w:ascii="宋体" w:hAnsi="宋体" w:eastAsia="宋体" w:cs="宋体"/>
          <w:b/>
          <w:color w:val="auto"/>
          <w:sz w:val="24"/>
          <w:highlight w:val="none"/>
        </w:rPr>
      </w:pPr>
    </w:p>
    <w:p>
      <w:pPr>
        <w:pStyle w:val="8"/>
        <w:rPr>
          <w:rFonts w:hint="eastAsia" w:ascii="宋体" w:hAnsi="宋体" w:eastAsia="宋体" w:cs="宋体"/>
          <w:b/>
          <w:color w:val="auto"/>
          <w:sz w:val="24"/>
          <w:highlight w:val="none"/>
        </w:rPr>
      </w:pPr>
    </w:p>
    <w:p>
      <w:pPr>
        <w:pStyle w:val="8"/>
        <w:rPr>
          <w:rFonts w:hint="eastAsia" w:ascii="宋体" w:hAnsi="宋体" w:eastAsia="宋体" w:cs="宋体"/>
          <w:b/>
          <w:color w:val="auto"/>
          <w:sz w:val="24"/>
          <w:highlight w:val="none"/>
        </w:rPr>
      </w:pPr>
    </w:p>
    <w:p>
      <w:pPr>
        <w:pStyle w:val="8"/>
        <w:rPr>
          <w:rFonts w:hint="eastAsia" w:ascii="宋体" w:hAnsi="宋体" w:eastAsia="宋体" w:cs="宋体"/>
          <w:b/>
          <w:color w:val="auto"/>
          <w:sz w:val="24"/>
          <w:highlight w:val="none"/>
        </w:rPr>
      </w:pPr>
    </w:p>
    <w:p>
      <w:pPr>
        <w:pStyle w:val="8"/>
        <w:rPr>
          <w:rFonts w:hint="eastAsia" w:ascii="宋体" w:hAnsi="宋体" w:eastAsia="宋体" w:cs="宋体"/>
          <w:b/>
          <w:color w:val="auto"/>
          <w:sz w:val="24"/>
          <w:highlight w:val="none"/>
        </w:rPr>
      </w:pPr>
    </w:p>
    <w:p>
      <w:pPr>
        <w:pStyle w:val="8"/>
        <w:rPr>
          <w:rFonts w:hint="eastAsia" w:ascii="宋体" w:hAnsi="宋体" w:eastAsia="宋体" w:cs="宋体"/>
          <w:b/>
          <w:color w:val="auto"/>
          <w:sz w:val="24"/>
          <w:highlight w:val="none"/>
        </w:rPr>
      </w:pPr>
    </w:p>
    <w:p>
      <w:pPr>
        <w:pStyle w:val="8"/>
        <w:rPr>
          <w:rFonts w:hint="eastAsia" w:ascii="宋体" w:hAnsi="宋体" w:eastAsia="宋体" w:cs="宋体"/>
          <w:b/>
          <w:color w:val="auto"/>
          <w:sz w:val="24"/>
          <w:highlight w:val="none"/>
        </w:rPr>
      </w:pPr>
    </w:p>
    <w:p>
      <w:pPr>
        <w:pStyle w:val="8"/>
        <w:rPr>
          <w:rFonts w:hint="eastAsia" w:ascii="宋体" w:hAnsi="宋体" w:eastAsia="宋体" w:cs="宋体"/>
          <w:color w:val="auto"/>
          <w:sz w:val="24"/>
          <w:highlight w:val="none"/>
        </w:rPr>
      </w:pPr>
      <w:r>
        <w:rPr>
          <w:rFonts w:hint="eastAsia" w:ascii="宋体" w:hAnsi="宋体" w:eastAsia="宋体" w:cs="宋体"/>
          <w:b/>
          <w:color w:val="auto"/>
          <w:sz w:val="24"/>
          <w:highlight w:val="none"/>
        </w:rPr>
        <w:t>请根据第四部分评标办法及评分标准提供相关资料（格式自拟）。</w:t>
      </w:r>
    </w:p>
    <w:p>
      <w:pPr>
        <w:rPr>
          <w:rFonts w:hint="eastAsia" w:ascii="宋体" w:hAnsi="宋体" w:eastAsia="宋体"/>
          <w:bCs w:val="0"/>
          <w:color w:val="auto"/>
          <w:highlight w:val="none"/>
          <w:lang w:val="zh-CN"/>
        </w:rPr>
      </w:pPr>
      <w:r>
        <w:rPr>
          <w:rFonts w:hint="eastAsia" w:ascii="宋体" w:hAnsi="宋体" w:eastAsia="宋体"/>
          <w:bCs w:val="0"/>
          <w:color w:val="auto"/>
          <w:highlight w:val="none"/>
          <w:lang w:val="zh-CN"/>
        </w:rPr>
        <w:br w:type="page"/>
      </w:r>
    </w:p>
    <w:p>
      <w:pPr>
        <w:pStyle w:val="4"/>
        <w:pageBreakBefore w:val="0"/>
        <w:widowControl w:val="0"/>
        <w:kinsoku/>
        <w:wordWrap/>
        <w:overflowPunct/>
        <w:topLinePunct w:val="0"/>
        <w:autoSpaceDE/>
        <w:autoSpaceDN/>
        <w:bidi w:val="0"/>
        <w:adjustRightInd/>
        <w:snapToGrid/>
        <w:spacing w:before="312" w:beforeLines="100" w:after="0" w:line="360" w:lineRule="auto"/>
        <w:jc w:val="center"/>
        <w:textAlignment w:val="auto"/>
        <w:rPr>
          <w:rFonts w:ascii="宋体" w:hAnsi="宋体" w:eastAsia="宋体"/>
          <w:bCs w:val="0"/>
          <w:color w:val="auto"/>
          <w:highlight w:val="none"/>
          <w:lang w:val="zh-CN"/>
        </w:rPr>
      </w:pPr>
      <w:r>
        <w:rPr>
          <w:rFonts w:hint="eastAsia" w:ascii="宋体" w:hAnsi="宋体" w:eastAsia="宋体"/>
          <w:bCs w:val="0"/>
          <w:color w:val="auto"/>
          <w:highlight w:val="none"/>
          <w:lang w:val="zh-CN"/>
        </w:rPr>
        <w:t>3、报价文件格式</w:t>
      </w:r>
      <w:bookmarkEnd w:id="2759"/>
      <w:bookmarkEnd w:id="2760"/>
    </w:p>
    <w:p>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28"/>
          <w:szCs w:val="28"/>
          <w:highlight w:val="none"/>
        </w:rPr>
      </w:pPr>
      <w:r>
        <w:rPr>
          <w:rFonts w:hint="eastAsia" w:ascii="宋体" w:hAnsi="宋体"/>
          <w:b/>
          <w:bCs/>
          <w:color w:val="auto"/>
          <w:sz w:val="28"/>
          <w:szCs w:val="28"/>
          <w:highlight w:val="none"/>
        </w:rPr>
        <w:t>目   录</w:t>
      </w:r>
    </w:p>
    <w:p>
      <w:pPr>
        <w:spacing w:line="480" w:lineRule="auto"/>
        <w:jc w:val="center"/>
        <w:rPr>
          <w:rFonts w:ascii="宋体" w:hAnsi="宋体" w:cs="宋体"/>
          <w:color w:val="auto"/>
          <w:sz w:val="24"/>
          <w:highlight w:val="none"/>
        </w:rPr>
      </w:pPr>
      <w:r>
        <w:rPr>
          <w:rFonts w:hint="eastAsia" w:ascii="宋体" w:hAnsi="宋体" w:cs="宋体"/>
          <w:color w:val="auto"/>
          <w:sz w:val="24"/>
          <w:highlight w:val="none"/>
        </w:rPr>
        <w:t>（供应商可参考采购文件“第三</w:t>
      </w:r>
      <w:r>
        <w:rPr>
          <w:rFonts w:hint="eastAsia" w:ascii="宋体" w:hAnsi="宋体" w:cs="宋体"/>
          <w:color w:val="auto"/>
          <w:sz w:val="24"/>
          <w:highlight w:val="none"/>
          <w:lang w:eastAsia="zh-CN"/>
        </w:rPr>
        <w:t>部分</w:t>
      </w:r>
      <w:r>
        <w:rPr>
          <w:rFonts w:hint="eastAsia" w:ascii="宋体" w:hAnsi="宋体" w:cs="宋体"/>
          <w:color w:val="auto"/>
          <w:sz w:val="24"/>
          <w:highlight w:val="none"/>
        </w:rPr>
        <w:t xml:space="preserve"> 磋商须知”报价文件组成要求编排）</w:t>
      </w:r>
    </w:p>
    <w:p>
      <w:pPr>
        <w:snapToGrid w:val="0"/>
        <w:spacing w:before="50" w:after="50"/>
        <w:jc w:val="center"/>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pStyle w:val="22"/>
        <w:ind w:left="0" w:leftChars="0" w:firstLine="0" w:firstLineChars="0"/>
        <w:rPr>
          <w:rFonts w:hint="eastAsia" w:ascii="宋体" w:hAnsi="宋体" w:eastAsia="宋体" w:cs="宋体"/>
          <w:b/>
          <w:color w:val="auto"/>
          <w:sz w:val="24"/>
          <w:szCs w:val="24"/>
          <w:highlight w:val="none"/>
        </w:rPr>
      </w:pPr>
    </w:p>
    <w:p>
      <w:pPr>
        <w:rPr>
          <w:rFonts w:hint="eastAsia"/>
          <w:color w:val="auto"/>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 xml:space="preserve">十四 </w:t>
      </w:r>
      <w:r>
        <w:rPr>
          <w:rFonts w:hint="eastAsia" w:ascii="宋体" w:hAnsi="宋体" w:eastAsia="宋体" w:cs="宋体"/>
          <w:b/>
          <w:color w:val="auto"/>
          <w:sz w:val="24"/>
          <w:szCs w:val="24"/>
          <w:highlight w:val="none"/>
        </w:rPr>
        <w:t>：</w:t>
      </w:r>
    </w:p>
    <w:p>
      <w:pPr>
        <w:snapToGrid w:val="0"/>
        <w:spacing w:before="50" w:after="50"/>
        <w:jc w:val="center"/>
        <w:rPr>
          <w:rFonts w:hint="eastAsia" w:ascii="宋体" w:hAnsi="宋体" w:eastAsia="宋体" w:cs="宋体"/>
          <w:b/>
          <w:color w:val="auto"/>
          <w:sz w:val="24"/>
          <w:szCs w:val="24"/>
          <w:highlight w:val="none"/>
        </w:rPr>
      </w:pPr>
    </w:p>
    <w:p>
      <w:pP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磋商报价一览表</w:t>
      </w:r>
      <w:r>
        <w:rPr>
          <w:rFonts w:hint="eastAsia" w:ascii="宋体" w:hAnsi="宋体" w:eastAsia="宋体" w:cs="宋体"/>
          <w:b/>
          <w:bCs/>
          <w:color w:val="auto"/>
          <w:sz w:val="24"/>
          <w:szCs w:val="24"/>
          <w:highlight w:val="none"/>
        </w:rPr>
        <w:t>（首次报价）</w:t>
      </w:r>
    </w:p>
    <w:p>
      <w:pPr>
        <w:snapToGrid w:val="0"/>
        <w:spacing w:before="50" w:after="50" w:line="360" w:lineRule="auto"/>
        <w:ind w:right="-1058" w:rightChars="-294"/>
        <w:jc w:val="left"/>
        <w:rPr>
          <w:rFonts w:hint="eastAsia" w:ascii="宋体" w:hAnsi="宋体" w:eastAsia="宋体" w:cs="宋体"/>
          <w:color w:val="auto"/>
          <w:sz w:val="24"/>
          <w:szCs w:val="24"/>
          <w:highlight w:val="none"/>
        </w:rPr>
      </w:pPr>
    </w:p>
    <w:p>
      <w:pPr>
        <w:snapToGrid w:val="0"/>
        <w:spacing w:before="50" w:after="50" w:line="360" w:lineRule="auto"/>
        <w:ind w:right="-1058" w:rightChars="-294"/>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2024年省级挂牌治理道路交通事故多发点段（S322临石线K71+600永安路口）整治工程</w:t>
      </w:r>
      <w:r>
        <w:rPr>
          <w:rFonts w:hint="eastAsia" w:ascii="宋体" w:hAnsi="宋体" w:eastAsia="宋体" w:cs="宋体"/>
          <w:color w:val="auto"/>
          <w:sz w:val="24"/>
          <w:szCs w:val="24"/>
          <w:highlight w:val="none"/>
          <w:lang w:val="en-US" w:eastAsia="zh-CN"/>
        </w:rPr>
        <w:t xml:space="preserve"> </w:t>
      </w:r>
    </w:p>
    <w:tbl>
      <w:tblPr>
        <w:tblStyle w:val="24"/>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982"/>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1" w:hRule="atLeast"/>
        </w:trPr>
        <w:tc>
          <w:tcPr>
            <w:tcW w:w="3113" w:type="dxa"/>
            <w:vMerge w:val="restart"/>
            <w:noWrap w:val="0"/>
            <w:vAlign w:val="center"/>
          </w:tcPr>
          <w:p>
            <w:pPr>
              <w:keepNext w:val="0"/>
              <w:keepLines w:val="0"/>
              <w:suppressLineNumbers w:val="0"/>
              <w:snapToGrid w:val="0"/>
              <w:spacing w:before="50" w:beforeAutospacing="0" w:after="50" w:afterAutospacing="0" w:line="360" w:lineRule="auto"/>
              <w:ind w:left="0" w:right="-1058" w:rightChars="-294" w:firstLine="240" w:firstLineChars="100"/>
              <w:jc w:val="left"/>
              <w:rPr>
                <w:rFonts w:hint="default" w:ascii="宋体" w:hAnsi="宋体"/>
                <w:b/>
                <w:bCs/>
                <w:color w:val="auto"/>
                <w:sz w:val="24"/>
                <w:highlight w:val="none"/>
              </w:rPr>
            </w:pPr>
            <w:r>
              <w:rPr>
                <w:rFonts w:hint="eastAsia" w:ascii="宋体" w:hAnsi="宋体"/>
                <w:b/>
                <w:bCs/>
                <w:color w:val="auto"/>
                <w:sz w:val="24"/>
                <w:highlight w:val="none"/>
              </w:rPr>
              <w:t>磋商</w:t>
            </w:r>
            <w:r>
              <w:rPr>
                <w:rFonts w:hint="eastAsia" w:ascii="宋体" w:hAnsi="宋体"/>
                <w:b/>
                <w:bCs/>
                <w:color w:val="auto"/>
                <w:sz w:val="24"/>
                <w:highlight w:val="none"/>
                <w:lang w:eastAsia="zh-CN"/>
              </w:rPr>
              <w:t>总</w:t>
            </w:r>
            <w:r>
              <w:rPr>
                <w:rFonts w:hint="eastAsia" w:ascii="宋体" w:hAnsi="宋体"/>
                <w:b/>
                <w:bCs/>
                <w:color w:val="auto"/>
                <w:sz w:val="24"/>
                <w:highlight w:val="none"/>
              </w:rPr>
              <w:t>报价（元）</w:t>
            </w:r>
          </w:p>
        </w:tc>
        <w:tc>
          <w:tcPr>
            <w:tcW w:w="982" w:type="dxa"/>
            <w:noWrap w:val="0"/>
            <w:vAlign w:val="center"/>
          </w:tcPr>
          <w:p>
            <w:pPr>
              <w:keepNext w:val="0"/>
              <w:keepLines w:val="0"/>
              <w:suppressLineNumbers w:val="0"/>
              <w:snapToGrid w:val="0"/>
              <w:spacing w:before="50" w:beforeAutospacing="0" w:after="50" w:afterAutospacing="0" w:line="360" w:lineRule="auto"/>
              <w:ind w:left="0" w:right="-1058" w:rightChars="-294"/>
              <w:jc w:val="left"/>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小写：</w:t>
            </w:r>
          </w:p>
        </w:tc>
        <w:tc>
          <w:tcPr>
            <w:tcW w:w="4750" w:type="dxa"/>
            <w:noWrap w:val="0"/>
            <w:vAlign w:val="center"/>
          </w:tcPr>
          <w:p>
            <w:pPr>
              <w:keepNext w:val="0"/>
              <w:keepLines w:val="0"/>
              <w:suppressLineNumbers w:val="0"/>
              <w:snapToGrid w:val="0"/>
              <w:spacing w:before="50" w:beforeAutospacing="0" w:after="50" w:afterAutospacing="0" w:line="360" w:lineRule="auto"/>
              <w:ind w:left="0" w:right="-1058" w:rightChars="-294"/>
              <w:jc w:val="left"/>
              <w:rPr>
                <w:rFonts w:hint="eastAsia" w:ascii="宋体" w:hAnsi="宋体"/>
                <w:b/>
                <w:bCs/>
                <w:color w:val="auto"/>
                <w:sz w:val="24"/>
                <w:highlight w:val="none"/>
                <w:lang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113" w:type="dxa"/>
            <w:vMerge w:val="continue"/>
            <w:noWrap w:val="0"/>
            <w:vAlign w:val="center"/>
          </w:tcPr>
          <w:p>
            <w:pPr>
              <w:keepNext w:val="0"/>
              <w:keepLines w:val="0"/>
              <w:suppressLineNumbers w:val="0"/>
              <w:snapToGrid w:val="0"/>
              <w:spacing w:before="50" w:beforeAutospacing="0" w:after="50" w:afterAutospacing="0" w:line="360" w:lineRule="auto"/>
              <w:ind w:left="0" w:right="-1058" w:rightChars="-294"/>
              <w:jc w:val="center"/>
              <w:rPr>
                <w:rFonts w:hint="default" w:ascii="宋体" w:hAnsi="宋体"/>
                <w:b/>
                <w:bCs/>
                <w:color w:val="auto"/>
                <w:sz w:val="24"/>
                <w:highlight w:val="none"/>
              </w:rPr>
            </w:pPr>
          </w:p>
        </w:tc>
        <w:tc>
          <w:tcPr>
            <w:tcW w:w="982" w:type="dxa"/>
            <w:noWrap w:val="0"/>
            <w:vAlign w:val="center"/>
          </w:tcPr>
          <w:p>
            <w:pPr>
              <w:keepNext w:val="0"/>
              <w:keepLines w:val="0"/>
              <w:suppressLineNumbers w:val="0"/>
              <w:snapToGrid w:val="0"/>
              <w:spacing w:before="50" w:beforeAutospacing="0" w:after="50" w:afterAutospacing="0" w:line="360" w:lineRule="auto"/>
              <w:ind w:left="0" w:right="-1058" w:rightChars="-294"/>
              <w:jc w:val="left"/>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大写：</w:t>
            </w:r>
          </w:p>
        </w:tc>
        <w:tc>
          <w:tcPr>
            <w:tcW w:w="4750" w:type="dxa"/>
            <w:noWrap w:val="0"/>
            <w:vAlign w:val="center"/>
          </w:tcPr>
          <w:p>
            <w:pPr>
              <w:keepNext w:val="0"/>
              <w:keepLines w:val="0"/>
              <w:suppressLineNumbers w:val="0"/>
              <w:snapToGrid w:val="0"/>
              <w:spacing w:before="50" w:beforeAutospacing="0" w:after="50" w:afterAutospacing="0" w:line="360" w:lineRule="auto"/>
              <w:ind w:left="0" w:right="-1058" w:rightChars="-294"/>
              <w:jc w:val="left"/>
              <w:rPr>
                <w:rFonts w:hint="eastAsia" w:ascii="宋体" w:hAnsi="宋体"/>
                <w:b/>
                <w:bCs/>
                <w:color w:val="auto"/>
                <w:sz w:val="24"/>
                <w:highlight w:val="none"/>
                <w:lang w:eastAsia="zh-CN"/>
              </w:rPr>
            </w:pPr>
            <w:r>
              <w:rPr>
                <w:rFonts w:hint="eastAsia" w:ascii="宋体" w:hAnsi="宋体" w:eastAsia="宋体" w:cs="宋体"/>
                <w:b/>
                <w:bCs/>
                <w:color w:val="auto"/>
                <w:sz w:val="21"/>
                <w:szCs w:val="21"/>
                <w:highlight w:val="none"/>
              </w:rPr>
              <w:t>人民币：</w:t>
            </w:r>
            <w:r>
              <w:rPr>
                <w:rFonts w:hint="eastAsia" w:ascii="宋体" w:hAnsi="宋体" w:eastAsia="宋体" w:cs="宋体"/>
                <w:b/>
                <w:bCs/>
                <w:color w:val="auto"/>
                <w:sz w:val="21"/>
                <w:szCs w:val="21"/>
                <w:highlight w:val="none"/>
                <w:u w:val="single"/>
              </w:rPr>
              <w:t xml:space="preserve">                            </w:t>
            </w:r>
          </w:p>
        </w:tc>
      </w:tr>
    </w:tbl>
    <w:p>
      <w:pPr>
        <w:snapToGrid w:val="0"/>
        <w:spacing w:before="50" w:after="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 xml:space="preserve">注: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报价指完成本项目所需的</w:t>
      </w:r>
      <w:r>
        <w:rPr>
          <w:rFonts w:hint="eastAsia" w:ascii="宋体" w:hAnsi="宋体" w:eastAsia="宋体" w:cs="宋体"/>
          <w:color w:val="auto"/>
          <w:sz w:val="21"/>
          <w:szCs w:val="21"/>
          <w:highlight w:val="none"/>
          <w:lang w:eastAsia="zh-CN"/>
        </w:rPr>
        <w:t>包含所有一切人员工资、各种加班费、节假日补贴、各种社会保险、安全保险、食宿与交通、材料费、机械费、人工费、辅助材料费、建筑垃圾清运费、保险费、管理费、规费以及所有税收、利润、总承包服务费、采购代理服务费等</w:t>
      </w:r>
      <w:r>
        <w:rPr>
          <w:rFonts w:hint="eastAsia" w:ascii="宋体" w:hAnsi="宋体" w:eastAsia="宋体" w:cs="宋体"/>
          <w:color w:val="auto"/>
          <w:sz w:val="21"/>
          <w:szCs w:val="21"/>
          <w:highlight w:val="none"/>
        </w:rPr>
        <w:t>、政策性文件规定及合同包含的所有风险责任等一切费用等完成合同所需的一切本身和不可或缺的所有工作开支、政策性文件规定及合同包含的所有风险、责任等各项全部费用并承担一切风险责任</w:t>
      </w:r>
      <w:r>
        <w:rPr>
          <w:rFonts w:hint="eastAsia" w:ascii="宋体" w:hAnsi="宋体" w:eastAsia="宋体" w:cs="宋体"/>
          <w:color w:val="auto"/>
          <w:sz w:val="21"/>
          <w:szCs w:val="21"/>
          <w:highlight w:val="none"/>
          <w:lang w:eastAsia="zh-CN"/>
        </w:rPr>
        <w:t>。</w:t>
      </w:r>
    </w:p>
    <w:p>
      <w:pPr>
        <w:snapToGrid w:val="0"/>
        <w:spacing w:before="50" w:after="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报价一经涂改，应在涂改处加盖单位公章，或者由法定代表人或</w:t>
      </w:r>
      <w:r>
        <w:rPr>
          <w:rFonts w:hint="eastAsia" w:ascii="宋体" w:hAnsi="宋体" w:eastAsia="宋体" w:cs="宋体"/>
          <w:color w:val="auto"/>
          <w:sz w:val="21"/>
          <w:szCs w:val="21"/>
          <w:highlight w:val="none"/>
          <w:lang w:eastAsia="zh-CN"/>
        </w:rPr>
        <w:t>全权代表</w:t>
      </w:r>
      <w:r>
        <w:rPr>
          <w:rFonts w:hint="eastAsia" w:ascii="宋体" w:hAnsi="宋体" w:eastAsia="宋体" w:cs="宋体"/>
          <w:color w:val="auto"/>
          <w:sz w:val="21"/>
          <w:szCs w:val="21"/>
          <w:highlight w:val="none"/>
        </w:rPr>
        <w:t>签字或盖章，否则其</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无效。</w:t>
      </w:r>
    </w:p>
    <w:p>
      <w:pPr>
        <w:snapToGrid w:val="0"/>
        <w:spacing w:before="50" w:after="50"/>
        <w:ind w:right="-1400" w:rightChars="-389"/>
        <w:rPr>
          <w:rFonts w:hint="eastAsia" w:ascii="宋体" w:hAnsi="宋体" w:eastAsia="宋体" w:cs="宋体"/>
          <w:color w:val="auto"/>
          <w:sz w:val="24"/>
          <w:szCs w:val="24"/>
          <w:highlight w:val="none"/>
        </w:rPr>
      </w:pPr>
    </w:p>
    <w:p>
      <w:pPr>
        <w:snapToGrid w:val="0"/>
        <w:spacing w:before="50" w:after="50"/>
        <w:ind w:right="-1400" w:rightChars="-389"/>
        <w:rPr>
          <w:rFonts w:hint="eastAsia" w:ascii="宋体" w:hAnsi="宋体" w:eastAsia="宋体" w:cs="宋体"/>
          <w:color w:val="auto"/>
          <w:sz w:val="24"/>
          <w:szCs w:val="24"/>
          <w:highlight w:val="none"/>
        </w:rPr>
      </w:pPr>
    </w:p>
    <w:p>
      <w:pPr>
        <w:snapToGrid w:val="0"/>
        <w:spacing w:before="50" w:after="50"/>
        <w:ind w:left="-111" w:leftChars="-72" w:right="-1400" w:rightChars="-389" w:hanging="148" w:hangingChars="62"/>
        <w:rPr>
          <w:rFonts w:hint="eastAsia" w:ascii="宋体" w:hAnsi="宋体" w:eastAsia="宋体" w:cs="宋体"/>
          <w:color w:val="auto"/>
          <w:sz w:val="24"/>
          <w:szCs w:val="24"/>
          <w:highlight w:val="none"/>
        </w:rPr>
      </w:pPr>
    </w:p>
    <w:p>
      <w:pPr>
        <w:snapToGrid w:val="0"/>
        <w:spacing w:before="50" w:after="50"/>
        <w:ind w:left="-111" w:leftChars="-72" w:right="-1400" w:rightChars="-389" w:hanging="148" w:hangingChars="62"/>
        <w:rPr>
          <w:rFonts w:hint="eastAsia" w:ascii="宋体" w:hAnsi="宋体" w:eastAsia="宋体" w:cs="宋体"/>
          <w:color w:val="auto"/>
          <w:sz w:val="24"/>
          <w:szCs w:val="24"/>
          <w:highlight w:val="none"/>
        </w:rPr>
      </w:pPr>
    </w:p>
    <w:p>
      <w:pPr>
        <w:snapToGrid w:val="0"/>
        <w:spacing w:before="50" w:after="50"/>
        <w:ind w:right="-1400" w:rightChars="-389"/>
        <w:rPr>
          <w:rFonts w:hint="eastAsia" w:ascii="宋体" w:hAnsi="宋体" w:eastAsia="宋体" w:cs="宋体"/>
          <w:color w:val="auto"/>
          <w:sz w:val="24"/>
          <w:szCs w:val="24"/>
          <w:highlight w:val="none"/>
        </w:rPr>
      </w:pPr>
    </w:p>
    <w:p>
      <w:pPr>
        <w:pStyle w:val="2"/>
        <w:spacing w:line="560" w:lineRule="exact"/>
        <w:ind w:firstLine="5760" w:firstLineChars="24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磋商人名称</w:t>
      </w:r>
      <w:r>
        <w:rPr>
          <w:rFonts w:hint="eastAsia" w:ascii="宋体" w:hAnsi="宋体" w:eastAsia="宋体" w:cs="宋体"/>
          <w:color w:val="auto"/>
          <w:sz w:val="24"/>
          <w:szCs w:val="24"/>
          <w:highlight w:val="none"/>
          <w:lang w:val="zh-CN"/>
        </w:rPr>
        <w:t>（盖单位章）：</w:t>
      </w:r>
    </w:p>
    <w:p>
      <w:pPr>
        <w:snapToGrid w:val="0"/>
        <w:spacing w:before="50" w:after="50"/>
        <w:jc w:val="right"/>
        <w:rPr>
          <w:rFonts w:ascii="宋体" w:hAnsi="宋体"/>
          <w:color w:val="auto"/>
          <w:sz w:val="24"/>
          <w:highlight w:val="none"/>
        </w:rPr>
      </w:pPr>
    </w:p>
    <w:p>
      <w:pPr>
        <w:snapToGrid w:val="0"/>
        <w:spacing w:before="50" w:after="50"/>
        <w:jc w:val="center"/>
        <w:rPr>
          <w:rFonts w:ascii="宋体" w:hAnsi="宋体"/>
          <w:color w:val="auto"/>
          <w:sz w:val="24"/>
          <w:highlight w:val="none"/>
        </w:rPr>
      </w:pPr>
      <w:r>
        <w:rPr>
          <w:rFonts w:hint="eastAsia" w:ascii="宋体" w:hAnsi="宋体" w:eastAsia="宋体"/>
          <w:color w:val="auto"/>
          <w:sz w:val="24"/>
          <w:highlight w:val="none"/>
          <w:lang w:val="en-US" w:eastAsia="zh-CN"/>
        </w:rPr>
        <w:t xml:space="preserve">                                            </w:t>
      </w:r>
      <w:r>
        <w:rPr>
          <w:rFonts w:hint="eastAsia" w:ascii="宋体" w:hAnsi="宋体" w:eastAsia="宋体" w:cs="宋体"/>
          <w:color w:val="auto"/>
          <w:sz w:val="24"/>
          <w:szCs w:val="24"/>
          <w:highlight w:val="none"/>
        </w:rPr>
        <w:t>日  期：</w:t>
      </w:r>
      <w:r>
        <w:rPr>
          <w:rFonts w:hint="eastAsia" w:ascii="宋体" w:hAnsi="宋体" w:eastAsia="宋体"/>
          <w:color w:val="auto"/>
          <w:sz w:val="24"/>
          <w:highlight w:val="none"/>
          <w:lang w:val="en-US" w:eastAsia="zh-CN"/>
        </w:rPr>
        <w:t xml:space="preserve">        </w:t>
      </w:r>
      <w:r>
        <w:rPr>
          <w:rFonts w:ascii="宋体" w:hAnsi="宋体"/>
          <w:color w:val="auto"/>
          <w:sz w:val="24"/>
          <w:highlight w:val="none"/>
        </w:rPr>
        <w:t>年    月    日</w:t>
      </w:r>
    </w:p>
    <w:p>
      <w:pPr>
        <w:snapToGrid w:val="0"/>
        <w:spacing w:before="156" w:beforeLines="50"/>
        <w:rPr>
          <w:rFonts w:hint="eastAsia" w:ascii="宋体" w:hAnsi="宋体" w:eastAsia="宋体" w:cs="宋体"/>
          <w:color w:val="auto"/>
          <w:sz w:val="21"/>
          <w:szCs w:val="21"/>
          <w:highlight w:val="none"/>
        </w:rPr>
      </w:pPr>
    </w:p>
    <w:p>
      <w:pPr>
        <w:snapToGrid w:val="0"/>
        <w:spacing w:before="50" w:after="50"/>
        <w:jc w:val="both"/>
        <w:rPr>
          <w:rFonts w:hint="eastAsia" w:ascii="宋体" w:hAnsi="宋体" w:eastAsia="宋体" w:cs="宋体"/>
          <w:b/>
          <w:color w:val="auto"/>
          <w:sz w:val="21"/>
          <w:szCs w:val="21"/>
          <w:highlight w:val="none"/>
        </w:rPr>
      </w:pPr>
    </w:p>
    <w:p>
      <w:pPr>
        <w:snapToGrid w:val="0"/>
        <w:spacing w:before="50" w:after="50"/>
        <w:jc w:val="both"/>
        <w:rPr>
          <w:rFonts w:hint="eastAsia" w:ascii="宋体" w:hAnsi="宋体" w:eastAsia="宋体" w:cs="宋体"/>
          <w:b/>
          <w:color w:val="auto"/>
          <w:sz w:val="21"/>
          <w:szCs w:val="21"/>
          <w:highlight w:val="none"/>
        </w:rPr>
      </w:pPr>
    </w:p>
    <w:p>
      <w:pPr>
        <w:snapToGrid w:val="0"/>
        <w:spacing w:before="50" w:after="50"/>
        <w:jc w:val="both"/>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15"/>
        <w:rPr>
          <w:rFonts w:hint="eastAsia"/>
          <w:color w:val="auto"/>
          <w:highlight w:val="none"/>
        </w:rPr>
      </w:pPr>
    </w:p>
    <w:p>
      <w:pPr>
        <w:snapToGrid w:val="0"/>
        <w:spacing w:before="50" w:after="50"/>
        <w:jc w:val="both"/>
        <w:rPr>
          <w:rFonts w:hint="eastAsia" w:ascii="宋体" w:hAnsi="宋体" w:eastAsia="宋体" w:cs="宋体"/>
          <w:b/>
          <w:color w:val="auto"/>
          <w:sz w:val="21"/>
          <w:szCs w:val="21"/>
          <w:highlight w:val="none"/>
        </w:rPr>
      </w:pPr>
    </w:p>
    <w:p>
      <w:pPr>
        <w:snapToGrid w:val="0"/>
        <w:spacing w:before="50" w:after="50"/>
        <w:jc w:val="left"/>
        <w:rPr>
          <w:rFonts w:hint="eastAsia" w:ascii="宋体" w:hAnsi="宋体" w:eastAsia="宋体" w:cs="宋体"/>
          <w:b/>
          <w:color w:val="auto"/>
          <w:sz w:val="24"/>
          <w:szCs w:val="24"/>
          <w:highlight w:val="none"/>
        </w:rPr>
      </w:pPr>
    </w:p>
    <w:p>
      <w:pPr>
        <w:pStyle w:val="22"/>
        <w:rPr>
          <w:rFonts w:hint="eastAsia" w:ascii="宋体" w:hAnsi="宋体" w:eastAsia="宋体" w:cs="宋体"/>
          <w:b/>
          <w:color w:val="auto"/>
          <w:sz w:val="24"/>
          <w:szCs w:val="24"/>
          <w:highlight w:val="none"/>
        </w:rPr>
      </w:pPr>
    </w:p>
    <w:p>
      <w:pPr>
        <w:rPr>
          <w:rFonts w:hint="eastAsia"/>
          <w:color w:val="auto"/>
          <w:highlight w:val="none"/>
        </w:rPr>
      </w:pPr>
    </w:p>
    <w:p>
      <w:pPr>
        <w:snapToGrid w:val="0"/>
        <w:spacing w:before="50" w:after="50"/>
        <w:jc w:val="left"/>
        <w:rPr>
          <w:rFonts w:hint="eastAsia" w:ascii="宋体" w:hAnsi="宋体" w:eastAsia="宋体" w:cs="宋体"/>
          <w:b/>
          <w:color w:val="auto"/>
          <w:sz w:val="24"/>
          <w:szCs w:val="24"/>
          <w:highlight w:val="none"/>
        </w:rPr>
      </w:pPr>
    </w:p>
    <w:p>
      <w:pPr>
        <w:snapToGrid w:val="0"/>
        <w:spacing w:before="50" w:after="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十五</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磋商报价一览表</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最终</w:t>
      </w:r>
      <w:r>
        <w:rPr>
          <w:rFonts w:hint="eastAsia" w:ascii="宋体" w:hAnsi="宋体" w:eastAsia="宋体" w:cs="宋体"/>
          <w:b/>
          <w:bCs/>
          <w:color w:val="auto"/>
          <w:sz w:val="24"/>
          <w:szCs w:val="24"/>
          <w:highlight w:val="none"/>
        </w:rPr>
        <w:t>报价）</w:t>
      </w:r>
    </w:p>
    <w:p>
      <w:pPr>
        <w:snapToGrid w:val="0"/>
        <w:spacing w:before="50" w:after="50" w:line="360" w:lineRule="auto"/>
        <w:ind w:right="-1058" w:rightChars="-294"/>
        <w:jc w:val="left"/>
        <w:rPr>
          <w:rFonts w:hint="eastAsia" w:ascii="宋体" w:hAnsi="宋体" w:eastAsia="宋体" w:cs="宋体"/>
          <w:color w:val="auto"/>
          <w:sz w:val="24"/>
          <w:szCs w:val="24"/>
          <w:highlight w:val="none"/>
        </w:rPr>
      </w:pPr>
    </w:p>
    <w:p>
      <w:pPr>
        <w:snapToGrid w:val="0"/>
        <w:spacing w:before="50" w:after="50" w:line="360" w:lineRule="auto"/>
        <w:ind w:right="-1058" w:rightChars="-294"/>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2024年省级挂牌治理道路交通事故多发点段（S322临石线K71+600永安路口）整治工程</w:t>
      </w:r>
      <w:r>
        <w:rPr>
          <w:rFonts w:hint="eastAsia" w:ascii="宋体" w:hAnsi="宋体" w:eastAsia="宋体" w:cs="宋体"/>
          <w:color w:val="auto"/>
          <w:sz w:val="24"/>
          <w:szCs w:val="24"/>
          <w:highlight w:val="none"/>
          <w:lang w:val="en-US" w:eastAsia="zh-CN"/>
        </w:rPr>
        <w:t xml:space="preserve"> </w:t>
      </w:r>
    </w:p>
    <w:tbl>
      <w:tblPr>
        <w:tblStyle w:val="24"/>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982"/>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1" w:hRule="atLeast"/>
        </w:trPr>
        <w:tc>
          <w:tcPr>
            <w:tcW w:w="3113" w:type="dxa"/>
            <w:vMerge w:val="restart"/>
            <w:noWrap w:val="0"/>
            <w:vAlign w:val="center"/>
          </w:tcPr>
          <w:p>
            <w:pPr>
              <w:keepNext w:val="0"/>
              <w:keepLines w:val="0"/>
              <w:suppressLineNumbers w:val="0"/>
              <w:snapToGrid w:val="0"/>
              <w:spacing w:before="50" w:beforeAutospacing="0" w:after="50" w:afterAutospacing="0" w:line="360" w:lineRule="auto"/>
              <w:ind w:left="0" w:right="-1058" w:rightChars="-294" w:firstLine="240" w:firstLineChars="100"/>
              <w:jc w:val="left"/>
              <w:rPr>
                <w:rFonts w:hint="default" w:ascii="宋体" w:hAnsi="宋体"/>
                <w:b/>
                <w:bCs/>
                <w:color w:val="auto"/>
                <w:sz w:val="24"/>
                <w:highlight w:val="none"/>
              </w:rPr>
            </w:pPr>
            <w:r>
              <w:rPr>
                <w:rFonts w:hint="eastAsia" w:ascii="宋体" w:hAnsi="宋体"/>
                <w:b/>
                <w:bCs/>
                <w:color w:val="auto"/>
                <w:sz w:val="24"/>
                <w:highlight w:val="none"/>
              </w:rPr>
              <w:t>磋商</w:t>
            </w:r>
            <w:r>
              <w:rPr>
                <w:rFonts w:hint="eastAsia" w:ascii="宋体" w:hAnsi="宋体"/>
                <w:b/>
                <w:bCs/>
                <w:color w:val="auto"/>
                <w:sz w:val="24"/>
                <w:highlight w:val="none"/>
                <w:lang w:eastAsia="zh-CN"/>
              </w:rPr>
              <w:t>总</w:t>
            </w:r>
            <w:r>
              <w:rPr>
                <w:rFonts w:hint="eastAsia" w:ascii="宋体" w:hAnsi="宋体"/>
                <w:b/>
                <w:bCs/>
                <w:color w:val="auto"/>
                <w:sz w:val="24"/>
                <w:highlight w:val="none"/>
              </w:rPr>
              <w:t>报价（元）</w:t>
            </w:r>
          </w:p>
        </w:tc>
        <w:tc>
          <w:tcPr>
            <w:tcW w:w="982" w:type="dxa"/>
            <w:noWrap w:val="0"/>
            <w:vAlign w:val="center"/>
          </w:tcPr>
          <w:p>
            <w:pPr>
              <w:keepNext w:val="0"/>
              <w:keepLines w:val="0"/>
              <w:suppressLineNumbers w:val="0"/>
              <w:snapToGrid w:val="0"/>
              <w:spacing w:before="50" w:beforeAutospacing="0" w:after="50" w:afterAutospacing="0" w:line="360" w:lineRule="auto"/>
              <w:ind w:left="0" w:right="-1058" w:rightChars="-294"/>
              <w:jc w:val="left"/>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小写：</w:t>
            </w:r>
          </w:p>
        </w:tc>
        <w:tc>
          <w:tcPr>
            <w:tcW w:w="4750" w:type="dxa"/>
            <w:noWrap w:val="0"/>
            <w:vAlign w:val="center"/>
          </w:tcPr>
          <w:p>
            <w:pPr>
              <w:keepNext w:val="0"/>
              <w:keepLines w:val="0"/>
              <w:suppressLineNumbers w:val="0"/>
              <w:snapToGrid w:val="0"/>
              <w:spacing w:before="50" w:beforeAutospacing="0" w:after="50" w:afterAutospacing="0" w:line="360" w:lineRule="auto"/>
              <w:ind w:left="0" w:right="-1058" w:rightChars="-294"/>
              <w:jc w:val="left"/>
              <w:rPr>
                <w:rFonts w:hint="eastAsia" w:ascii="宋体" w:hAnsi="宋体"/>
                <w:b/>
                <w:bCs/>
                <w:color w:val="auto"/>
                <w:sz w:val="24"/>
                <w:highlight w:val="none"/>
                <w:lang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113" w:type="dxa"/>
            <w:vMerge w:val="continue"/>
            <w:noWrap w:val="0"/>
            <w:vAlign w:val="center"/>
          </w:tcPr>
          <w:p>
            <w:pPr>
              <w:keepNext w:val="0"/>
              <w:keepLines w:val="0"/>
              <w:suppressLineNumbers w:val="0"/>
              <w:snapToGrid w:val="0"/>
              <w:spacing w:before="50" w:beforeAutospacing="0" w:after="50" w:afterAutospacing="0" w:line="360" w:lineRule="auto"/>
              <w:ind w:left="0" w:right="-1058" w:rightChars="-294"/>
              <w:jc w:val="center"/>
              <w:rPr>
                <w:rFonts w:hint="default" w:ascii="宋体" w:hAnsi="宋体"/>
                <w:b/>
                <w:bCs/>
                <w:color w:val="auto"/>
                <w:sz w:val="24"/>
                <w:highlight w:val="none"/>
              </w:rPr>
            </w:pPr>
          </w:p>
        </w:tc>
        <w:tc>
          <w:tcPr>
            <w:tcW w:w="982" w:type="dxa"/>
            <w:noWrap w:val="0"/>
            <w:vAlign w:val="center"/>
          </w:tcPr>
          <w:p>
            <w:pPr>
              <w:keepNext w:val="0"/>
              <w:keepLines w:val="0"/>
              <w:suppressLineNumbers w:val="0"/>
              <w:snapToGrid w:val="0"/>
              <w:spacing w:before="50" w:beforeAutospacing="0" w:after="50" w:afterAutospacing="0" w:line="360" w:lineRule="auto"/>
              <w:ind w:left="0" w:right="-1058" w:rightChars="-294"/>
              <w:jc w:val="left"/>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大写：</w:t>
            </w:r>
          </w:p>
        </w:tc>
        <w:tc>
          <w:tcPr>
            <w:tcW w:w="4750" w:type="dxa"/>
            <w:noWrap w:val="0"/>
            <w:vAlign w:val="center"/>
          </w:tcPr>
          <w:p>
            <w:pPr>
              <w:keepNext w:val="0"/>
              <w:keepLines w:val="0"/>
              <w:suppressLineNumbers w:val="0"/>
              <w:snapToGrid w:val="0"/>
              <w:spacing w:before="50" w:beforeAutospacing="0" w:after="50" w:afterAutospacing="0" w:line="360" w:lineRule="auto"/>
              <w:ind w:left="0" w:right="-1058" w:rightChars="-294"/>
              <w:jc w:val="left"/>
              <w:rPr>
                <w:rFonts w:hint="eastAsia" w:ascii="宋体" w:hAnsi="宋体"/>
                <w:b/>
                <w:bCs/>
                <w:color w:val="auto"/>
                <w:sz w:val="24"/>
                <w:highlight w:val="none"/>
                <w:lang w:eastAsia="zh-CN"/>
              </w:rPr>
            </w:pPr>
            <w:r>
              <w:rPr>
                <w:rFonts w:hint="eastAsia" w:ascii="宋体" w:hAnsi="宋体" w:eastAsia="宋体" w:cs="宋体"/>
                <w:b/>
                <w:bCs/>
                <w:color w:val="auto"/>
                <w:sz w:val="21"/>
                <w:szCs w:val="21"/>
                <w:highlight w:val="none"/>
              </w:rPr>
              <w:t>人民币：</w:t>
            </w:r>
            <w:r>
              <w:rPr>
                <w:rFonts w:hint="eastAsia" w:ascii="宋体" w:hAnsi="宋体" w:eastAsia="宋体" w:cs="宋体"/>
                <w:b/>
                <w:bCs/>
                <w:color w:val="auto"/>
                <w:sz w:val="21"/>
                <w:szCs w:val="21"/>
                <w:highlight w:val="none"/>
                <w:u w:val="single"/>
              </w:rPr>
              <w:t xml:space="preserve">                            </w:t>
            </w:r>
          </w:p>
        </w:tc>
      </w:tr>
    </w:tbl>
    <w:p>
      <w:pPr>
        <w:snapToGrid w:val="0"/>
        <w:spacing w:before="50" w:after="50"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注: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报价指完成本项目所需</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包含所有一切人员工资、各种加班费、节假日补贴、各种社会保险、安全保险、食宿与交通、材料费、机械费、人工费、辅助材料费、建筑垃圾清运费、保险费、管理费、规费以及所有税收、利润、总承包服务费、采购代理服务费等</w:t>
      </w:r>
      <w:r>
        <w:rPr>
          <w:rFonts w:hint="eastAsia" w:ascii="宋体" w:hAnsi="宋体" w:eastAsia="宋体" w:cs="宋体"/>
          <w:color w:val="auto"/>
          <w:sz w:val="21"/>
          <w:szCs w:val="21"/>
          <w:highlight w:val="none"/>
        </w:rPr>
        <w:t>、政策性文件规定及合同包含的所有风险责任等一切费用等完成合同所需的一切本身和不可或缺的所有工作开支、政策性文件规定及合同包含的所有风险、责任等各项全部费用并承担一切风险责任</w:t>
      </w:r>
      <w:r>
        <w:rPr>
          <w:rFonts w:hint="eastAsia" w:ascii="宋体" w:hAnsi="宋体" w:eastAsia="宋体" w:cs="宋体"/>
          <w:color w:val="auto"/>
          <w:sz w:val="21"/>
          <w:szCs w:val="21"/>
          <w:highlight w:val="none"/>
          <w:lang w:eastAsia="zh-CN"/>
        </w:rPr>
        <w:t>。</w:t>
      </w:r>
    </w:p>
    <w:p>
      <w:pPr>
        <w:snapToGrid w:val="0"/>
        <w:spacing w:before="50" w:after="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报价一经涂改，应在涂改处加盖单位公章，或者由法定代表人或</w:t>
      </w:r>
      <w:r>
        <w:rPr>
          <w:rFonts w:hint="eastAsia" w:ascii="宋体" w:hAnsi="宋体" w:eastAsia="宋体" w:cs="宋体"/>
          <w:color w:val="auto"/>
          <w:sz w:val="21"/>
          <w:szCs w:val="21"/>
          <w:highlight w:val="none"/>
          <w:lang w:eastAsia="zh-CN"/>
        </w:rPr>
        <w:t>全权代表</w:t>
      </w:r>
      <w:r>
        <w:rPr>
          <w:rFonts w:hint="eastAsia" w:ascii="宋体" w:hAnsi="宋体" w:eastAsia="宋体" w:cs="宋体"/>
          <w:color w:val="auto"/>
          <w:sz w:val="21"/>
          <w:szCs w:val="21"/>
          <w:highlight w:val="none"/>
        </w:rPr>
        <w:t>签字或盖章，否则其</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无效。</w:t>
      </w:r>
    </w:p>
    <w:p>
      <w:pPr>
        <w:numPr>
          <w:ilvl w:val="0"/>
          <w:numId w:val="0"/>
        </w:numPr>
        <w:snapToGrid w:val="0"/>
        <w:spacing w:before="50" w:after="5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最终报价不得高于首次报价，否则其磋商响应文件作无效标处理。</w:t>
      </w:r>
    </w:p>
    <w:p>
      <w:pPr>
        <w:pStyle w:val="35"/>
        <w:rPr>
          <w:rFonts w:hint="eastAsia" w:eastAsia="宋体"/>
          <w:color w:val="auto"/>
          <w:sz w:val="21"/>
          <w:szCs w:val="21"/>
          <w:highlight w:val="none"/>
          <w:lang w:val="en-US" w:eastAsia="zh-CN"/>
        </w:rPr>
      </w:pPr>
    </w:p>
    <w:p>
      <w:pPr>
        <w:snapToGrid w:val="0"/>
        <w:spacing w:before="50" w:after="50"/>
        <w:ind w:right="-1400" w:rightChars="-389"/>
        <w:rPr>
          <w:rFonts w:hint="eastAsia" w:ascii="宋体" w:hAnsi="宋体" w:eastAsia="宋体" w:cs="宋体"/>
          <w:color w:val="auto"/>
          <w:sz w:val="24"/>
          <w:szCs w:val="24"/>
          <w:highlight w:val="none"/>
        </w:rPr>
      </w:pPr>
    </w:p>
    <w:p>
      <w:pPr>
        <w:snapToGrid w:val="0"/>
        <w:spacing w:before="50" w:after="50"/>
        <w:ind w:right="-1400" w:rightChars="-389"/>
        <w:rPr>
          <w:rFonts w:hint="eastAsia" w:ascii="宋体" w:hAnsi="宋体" w:eastAsia="宋体" w:cs="宋体"/>
          <w:color w:val="auto"/>
          <w:sz w:val="24"/>
          <w:szCs w:val="24"/>
          <w:highlight w:val="none"/>
        </w:rPr>
      </w:pPr>
    </w:p>
    <w:p>
      <w:pPr>
        <w:snapToGrid w:val="0"/>
        <w:spacing w:before="50" w:after="50"/>
        <w:ind w:left="-111" w:leftChars="-72" w:right="-1400" w:rightChars="-389" w:hanging="148" w:hangingChars="62"/>
        <w:rPr>
          <w:rFonts w:hint="eastAsia" w:ascii="宋体" w:hAnsi="宋体" w:eastAsia="宋体" w:cs="宋体"/>
          <w:color w:val="auto"/>
          <w:sz w:val="24"/>
          <w:szCs w:val="24"/>
          <w:highlight w:val="none"/>
        </w:rPr>
      </w:pPr>
    </w:p>
    <w:p>
      <w:pPr>
        <w:snapToGrid w:val="0"/>
        <w:spacing w:before="50" w:after="50"/>
        <w:ind w:left="-111" w:leftChars="-72" w:right="-1400" w:rightChars="-389" w:hanging="148" w:hangingChars="62"/>
        <w:rPr>
          <w:rFonts w:hint="eastAsia" w:ascii="宋体" w:hAnsi="宋体" w:eastAsia="宋体" w:cs="宋体"/>
          <w:color w:val="auto"/>
          <w:sz w:val="24"/>
          <w:szCs w:val="24"/>
          <w:highlight w:val="none"/>
        </w:rPr>
      </w:pPr>
    </w:p>
    <w:p>
      <w:pPr>
        <w:snapToGrid w:val="0"/>
        <w:spacing w:before="50" w:after="50"/>
        <w:ind w:right="-1400" w:rightChars="-389"/>
        <w:rPr>
          <w:rFonts w:hint="eastAsia" w:ascii="宋体" w:hAnsi="宋体" w:eastAsia="宋体" w:cs="宋体"/>
          <w:color w:val="auto"/>
          <w:sz w:val="24"/>
          <w:szCs w:val="24"/>
          <w:highlight w:val="none"/>
        </w:rPr>
      </w:pPr>
    </w:p>
    <w:p>
      <w:pPr>
        <w:pStyle w:val="2"/>
        <w:spacing w:line="560" w:lineRule="exact"/>
        <w:ind w:firstLine="5760" w:firstLineChars="24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磋商人名称</w:t>
      </w:r>
      <w:r>
        <w:rPr>
          <w:rFonts w:hint="eastAsia" w:ascii="宋体" w:hAnsi="宋体" w:eastAsia="宋体" w:cs="宋体"/>
          <w:color w:val="auto"/>
          <w:sz w:val="24"/>
          <w:szCs w:val="24"/>
          <w:highlight w:val="none"/>
          <w:lang w:val="zh-CN"/>
        </w:rPr>
        <w:t>（盖单位章）：</w:t>
      </w:r>
    </w:p>
    <w:p>
      <w:pPr>
        <w:snapToGrid w:val="0"/>
        <w:spacing w:before="50" w:after="50"/>
        <w:jc w:val="right"/>
        <w:rPr>
          <w:rFonts w:ascii="宋体" w:hAnsi="宋体"/>
          <w:color w:val="auto"/>
          <w:sz w:val="24"/>
          <w:highlight w:val="none"/>
        </w:rPr>
      </w:pPr>
    </w:p>
    <w:p>
      <w:pPr>
        <w:snapToGrid w:val="0"/>
        <w:spacing w:before="50" w:after="50"/>
        <w:jc w:val="center"/>
        <w:rPr>
          <w:rFonts w:ascii="宋体" w:hAnsi="宋体"/>
          <w:color w:val="auto"/>
          <w:sz w:val="24"/>
          <w:highlight w:val="none"/>
        </w:rPr>
      </w:pPr>
      <w:r>
        <w:rPr>
          <w:rFonts w:hint="eastAsia" w:ascii="宋体" w:hAnsi="宋体" w:eastAsia="宋体"/>
          <w:color w:val="auto"/>
          <w:sz w:val="24"/>
          <w:highlight w:val="none"/>
          <w:lang w:val="en-US" w:eastAsia="zh-CN"/>
        </w:rPr>
        <w:t xml:space="preserve">                                              </w:t>
      </w:r>
      <w:r>
        <w:rPr>
          <w:rFonts w:hint="eastAsia" w:ascii="宋体" w:hAnsi="宋体" w:eastAsia="宋体" w:cs="宋体"/>
          <w:color w:val="auto"/>
          <w:sz w:val="24"/>
          <w:szCs w:val="24"/>
          <w:highlight w:val="none"/>
        </w:rPr>
        <w:t>日  期：</w:t>
      </w:r>
      <w:r>
        <w:rPr>
          <w:rFonts w:hint="eastAsia" w:ascii="宋体" w:hAnsi="宋体" w:eastAsia="宋体"/>
          <w:color w:val="auto"/>
          <w:sz w:val="24"/>
          <w:highlight w:val="none"/>
          <w:lang w:val="en-US" w:eastAsia="zh-CN"/>
        </w:rPr>
        <w:t xml:space="preserve">      </w:t>
      </w:r>
      <w:r>
        <w:rPr>
          <w:rFonts w:ascii="宋体" w:hAnsi="宋体"/>
          <w:color w:val="auto"/>
          <w:sz w:val="24"/>
          <w:highlight w:val="none"/>
        </w:rPr>
        <w:t>年    月    日</w:t>
      </w:r>
    </w:p>
    <w:p>
      <w:pPr>
        <w:spacing w:line="450" w:lineRule="atLeast"/>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           </w:t>
      </w:r>
    </w:p>
    <w:p>
      <w:pPr>
        <w:spacing w:line="450" w:lineRule="atLeast"/>
        <w:jc w:val="both"/>
        <w:rPr>
          <w:rFonts w:hint="eastAsia" w:ascii="宋体" w:hAnsi="宋体" w:eastAsia="宋体" w:cs="宋体"/>
          <w:b/>
          <w:color w:val="auto"/>
          <w:sz w:val="24"/>
          <w:szCs w:val="24"/>
          <w:highlight w:val="none"/>
          <w:lang w:val="en-US" w:eastAsia="zh-CN"/>
        </w:rPr>
      </w:pPr>
    </w:p>
    <w:p>
      <w:pPr>
        <w:spacing w:line="450" w:lineRule="atLeast"/>
        <w:jc w:val="both"/>
        <w:rPr>
          <w:rFonts w:hint="eastAsia" w:ascii="宋体" w:hAnsi="宋体" w:eastAsia="宋体" w:cs="宋体"/>
          <w:b/>
          <w:color w:val="auto"/>
          <w:sz w:val="24"/>
          <w:szCs w:val="24"/>
          <w:highlight w:val="none"/>
          <w:lang w:val="en-US" w:eastAsia="zh-CN"/>
        </w:rPr>
      </w:pPr>
    </w:p>
    <w:p>
      <w:pPr>
        <w:spacing w:line="450" w:lineRule="atLeast"/>
        <w:jc w:val="both"/>
        <w:rPr>
          <w:rFonts w:hint="eastAsia" w:ascii="宋体" w:hAnsi="宋体" w:eastAsia="宋体" w:cs="宋体"/>
          <w:b/>
          <w:color w:val="auto"/>
          <w:sz w:val="24"/>
          <w:szCs w:val="24"/>
          <w:highlight w:val="none"/>
          <w:lang w:val="en-US" w:eastAsia="zh-CN"/>
        </w:rPr>
      </w:pPr>
    </w:p>
    <w:p>
      <w:pPr>
        <w:pStyle w:val="22"/>
        <w:rPr>
          <w:rFonts w:hint="eastAsia" w:ascii="宋体" w:hAnsi="宋体" w:eastAsia="宋体" w:cs="宋体"/>
          <w:b/>
          <w:color w:val="auto"/>
          <w:sz w:val="24"/>
          <w:szCs w:val="24"/>
          <w:highlight w:val="none"/>
          <w:lang w:val="en-US" w:eastAsia="zh-CN"/>
        </w:rPr>
      </w:pPr>
    </w:p>
    <w:p>
      <w:pPr>
        <w:rPr>
          <w:rFonts w:hint="eastAsia" w:ascii="宋体" w:hAnsi="宋体" w:eastAsia="宋体" w:cs="宋体"/>
          <w:b/>
          <w:color w:val="auto"/>
          <w:sz w:val="24"/>
          <w:szCs w:val="24"/>
          <w:highlight w:val="none"/>
          <w:lang w:val="en-US" w:eastAsia="zh-CN"/>
        </w:rPr>
      </w:pPr>
    </w:p>
    <w:p>
      <w:pPr>
        <w:pStyle w:val="22"/>
        <w:rPr>
          <w:rFonts w:hint="eastAsia" w:ascii="宋体" w:hAnsi="宋体" w:eastAsia="宋体" w:cs="宋体"/>
          <w:b/>
          <w:color w:val="auto"/>
          <w:sz w:val="24"/>
          <w:szCs w:val="24"/>
          <w:highlight w:val="none"/>
          <w:lang w:val="en-US" w:eastAsia="zh-CN"/>
        </w:rPr>
      </w:pPr>
    </w:p>
    <w:p>
      <w:pP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
          <w:color w:val="auto"/>
          <w:sz w:val="21"/>
          <w:szCs w:val="21"/>
          <w:highlight w:val="none"/>
          <w:lang w:val="en-US" w:eastAsia="zh-CN"/>
        </w:rPr>
      </w:pPr>
      <w:bookmarkStart w:id="2765" w:name="_Toc309395098"/>
      <w:bookmarkStart w:id="2766" w:name="_Toc240724395"/>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本项目报价分二次进行，首次报价在响应文件中体现（含首次报价一览表、工程量清单）；最终报价在本项目磋商结束后由所有有效的磋商供应商在规定的时间时限内，在平台上进行最终报价（含最终报价一览表、工程量清单）。                  </w:t>
      </w:r>
    </w:p>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b/>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工程量清单（另册提供，见公告附件）</w:t>
      </w:r>
    </w:p>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Ansi="宋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Ansi="宋体"/>
          <w:b/>
          <w:color w:val="auto"/>
          <w:sz w:val="32"/>
          <w:szCs w:val="32"/>
          <w:highlight w:val="none"/>
        </w:rPr>
      </w:pPr>
      <w:r>
        <w:rPr>
          <w:rFonts w:hint="eastAsia" w:hAnsi="宋体"/>
          <w:b/>
          <w:color w:val="auto"/>
          <w:sz w:val="32"/>
          <w:szCs w:val="32"/>
          <w:highlight w:val="none"/>
        </w:rPr>
        <w:t>已标价工程量清单报价</w:t>
      </w:r>
      <w:r>
        <w:rPr>
          <w:rFonts w:hAnsi="宋体"/>
          <w:b/>
          <w:color w:val="auto"/>
          <w:sz w:val="32"/>
          <w:szCs w:val="32"/>
          <w:highlight w:val="none"/>
        </w:rPr>
        <w:t xml:space="preserve">表格式 </w:t>
      </w:r>
    </w:p>
    <w:p>
      <w:pPr>
        <w:pStyle w:val="22"/>
        <w:rPr>
          <w:rFonts w:hint="eastAsia"/>
          <w:color w:val="auto"/>
          <w:highlight w:val="none"/>
        </w:rPr>
      </w:pPr>
      <w:r>
        <w:rPr>
          <w:rFonts w:hint="eastAsia" w:hAnsi="宋体"/>
          <w:b/>
          <w:color w:val="auto"/>
          <w:sz w:val="32"/>
          <w:szCs w:val="32"/>
          <w:highlight w:val="none"/>
        </w:rPr>
        <w:t>（</w:t>
      </w:r>
      <w:r>
        <w:rPr>
          <w:rFonts w:hint="eastAsia" w:hAnsi="宋体"/>
          <w:b/>
          <w:color w:val="auto"/>
          <w:sz w:val="32"/>
          <w:szCs w:val="32"/>
          <w:highlight w:val="none"/>
          <w:lang w:val="en-US" w:eastAsia="zh-CN"/>
        </w:rPr>
        <w:t>表</w:t>
      </w:r>
      <w:r>
        <w:rPr>
          <w:rFonts w:hint="eastAsia" w:hAnsi="宋体"/>
          <w:b/>
          <w:color w:val="auto"/>
          <w:sz w:val="32"/>
          <w:szCs w:val="32"/>
          <w:highlight w:val="none"/>
          <w:lang w:eastAsia="zh-CN"/>
        </w:rPr>
        <w:t>每页</w:t>
      </w:r>
      <w:r>
        <w:rPr>
          <w:rFonts w:hint="eastAsia" w:hAnsi="宋体"/>
          <w:b/>
          <w:color w:val="auto"/>
          <w:sz w:val="32"/>
          <w:szCs w:val="32"/>
          <w:highlight w:val="none"/>
          <w:lang w:val="zh-CN"/>
        </w:rPr>
        <w:t>必须加盖</w:t>
      </w:r>
      <w:r>
        <w:rPr>
          <w:rFonts w:hint="eastAsia" w:hAnsi="宋体"/>
          <w:b/>
          <w:color w:val="auto"/>
          <w:sz w:val="32"/>
          <w:szCs w:val="32"/>
          <w:highlight w:val="none"/>
        </w:rPr>
        <w:t>磋商供应商</w:t>
      </w:r>
      <w:r>
        <w:rPr>
          <w:rFonts w:hint="eastAsia" w:hAnsi="宋体"/>
          <w:b/>
          <w:color w:val="auto"/>
          <w:sz w:val="32"/>
          <w:szCs w:val="32"/>
          <w:highlight w:val="none"/>
          <w:lang w:val="zh-CN"/>
        </w:rPr>
        <w:t>的公章</w:t>
      </w:r>
      <w:r>
        <w:rPr>
          <w:rFonts w:hint="eastAsia" w:hAnsi="宋体"/>
          <w:b/>
          <w:color w:val="auto"/>
          <w:sz w:val="32"/>
          <w:szCs w:val="32"/>
          <w:highlight w:val="none"/>
          <w:lang w:val="zh-CN" w:eastAsia="zh-CN"/>
        </w:rPr>
        <w:t>（或</w:t>
      </w:r>
      <w:r>
        <w:rPr>
          <w:rFonts w:hint="eastAsia" w:hAnsi="宋体"/>
          <w:b/>
          <w:color w:val="auto"/>
          <w:sz w:val="32"/>
          <w:szCs w:val="32"/>
          <w:highlight w:val="none"/>
          <w:lang w:val="zh-CN"/>
        </w:rPr>
        <w:t>CA电子公章</w:t>
      </w:r>
      <w:r>
        <w:rPr>
          <w:rFonts w:hint="eastAsia" w:hAnsi="宋体"/>
          <w:b/>
          <w:color w:val="auto"/>
          <w:sz w:val="32"/>
          <w:szCs w:val="32"/>
          <w:highlight w:val="none"/>
          <w:lang w:val="zh-CN" w:eastAsia="zh-CN"/>
        </w:rPr>
        <w:t>）</w:t>
      </w:r>
      <w:r>
        <w:rPr>
          <w:rFonts w:hint="eastAsia" w:hAnsi="宋体"/>
          <w:b/>
          <w:color w:val="auto"/>
          <w:sz w:val="32"/>
          <w:szCs w:val="32"/>
          <w:highlight w:val="none"/>
        </w:rPr>
        <w:t>）</w:t>
      </w:r>
    </w:p>
    <w:p>
      <w:pPr>
        <w:pStyle w:val="20"/>
        <w:widowControl w:val="0"/>
        <w:spacing w:before="0" w:beforeAutospacing="0" w:after="0" w:afterAutospacing="0" w:line="360" w:lineRule="auto"/>
        <w:jc w:val="both"/>
        <w:outlineLvl w:val="1"/>
        <w:rPr>
          <w:b/>
          <w:color w:val="auto"/>
          <w:kern w:val="2"/>
          <w:szCs w:val="20"/>
          <w:highlight w:val="none"/>
          <w:lang w:bidi="ar"/>
        </w:rPr>
      </w:pPr>
    </w:p>
    <w:p>
      <w:pPr>
        <w:pStyle w:val="20"/>
        <w:widowControl w:val="0"/>
        <w:spacing w:before="0" w:beforeAutospacing="0" w:after="0" w:afterAutospacing="0" w:line="360" w:lineRule="auto"/>
        <w:jc w:val="both"/>
        <w:outlineLvl w:val="1"/>
        <w:rPr>
          <w:b/>
          <w:color w:val="auto"/>
          <w:kern w:val="2"/>
          <w:szCs w:val="20"/>
          <w:highlight w:val="none"/>
          <w:lang w:bidi="ar"/>
        </w:rPr>
      </w:pPr>
    </w:p>
    <w:p>
      <w:pPr>
        <w:pStyle w:val="20"/>
        <w:widowControl w:val="0"/>
        <w:spacing w:before="0" w:beforeAutospacing="0" w:after="0" w:afterAutospacing="0" w:line="360" w:lineRule="auto"/>
        <w:jc w:val="both"/>
        <w:outlineLvl w:val="1"/>
        <w:rPr>
          <w:b/>
          <w:color w:val="auto"/>
          <w:kern w:val="2"/>
          <w:szCs w:val="20"/>
          <w:highlight w:val="none"/>
          <w:lang w:bidi="ar"/>
        </w:rPr>
      </w:pPr>
    </w:p>
    <w:p>
      <w:pPr>
        <w:pStyle w:val="20"/>
        <w:widowControl w:val="0"/>
        <w:spacing w:before="0" w:beforeAutospacing="0" w:after="0" w:afterAutospacing="0" w:line="360" w:lineRule="auto"/>
        <w:jc w:val="both"/>
        <w:outlineLvl w:val="1"/>
        <w:rPr>
          <w:b/>
          <w:color w:val="auto"/>
          <w:kern w:val="2"/>
          <w:szCs w:val="20"/>
          <w:highlight w:val="none"/>
          <w:lang w:bidi="ar"/>
        </w:rPr>
      </w:pPr>
    </w:p>
    <w:p>
      <w:pPr>
        <w:pStyle w:val="20"/>
        <w:widowControl w:val="0"/>
        <w:spacing w:before="0" w:beforeAutospacing="0" w:after="0" w:afterAutospacing="0" w:line="360" w:lineRule="auto"/>
        <w:jc w:val="both"/>
        <w:outlineLvl w:val="1"/>
        <w:rPr>
          <w:b/>
          <w:color w:val="auto"/>
          <w:kern w:val="2"/>
          <w:szCs w:val="20"/>
          <w:highlight w:val="none"/>
          <w:lang w:bidi="ar"/>
        </w:rPr>
      </w:pPr>
    </w:p>
    <w:p>
      <w:pPr>
        <w:pStyle w:val="20"/>
        <w:widowControl w:val="0"/>
        <w:spacing w:before="0" w:beforeAutospacing="0" w:after="0" w:afterAutospacing="0" w:line="360" w:lineRule="auto"/>
        <w:jc w:val="both"/>
        <w:outlineLvl w:val="1"/>
        <w:rPr>
          <w:b/>
          <w:color w:val="auto"/>
          <w:kern w:val="2"/>
          <w:szCs w:val="20"/>
          <w:highlight w:val="none"/>
          <w:lang w:bidi="ar"/>
        </w:rPr>
      </w:pPr>
    </w:p>
    <w:p>
      <w:pPr>
        <w:pStyle w:val="20"/>
        <w:widowControl w:val="0"/>
        <w:spacing w:before="0" w:beforeAutospacing="0" w:after="0" w:afterAutospacing="0" w:line="360" w:lineRule="auto"/>
        <w:jc w:val="both"/>
        <w:outlineLvl w:val="1"/>
        <w:rPr>
          <w:b/>
          <w:color w:val="auto"/>
          <w:kern w:val="2"/>
          <w:szCs w:val="20"/>
          <w:highlight w:val="none"/>
          <w:lang w:bidi="ar"/>
        </w:rPr>
      </w:pPr>
    </w:p>
    <w:p>
      <w:pPr>
        <w:pStyle w:val="20"/>
        <w:widowControl w:val="0"/>
        <w:spacing w:before="0" w:beforeAutospacing="0" w:after="0" w:afterAutospacing="0" w:line="360" w:lineRule="auto"/>
        <w:jc w:val="both"/>
        <w:outlineLvl w:val="1"/>
        <w:rPr>
          <w:b/>
          <w:color w:val="auto"/>
          <w:kern w:val="2"/>
          <w:szCs w:val="20"/>
          <w:highlight w:val="none"/>
          <w:lang w:bidi="ar"/>
        </w:rPr>
      </w:pPr>
    </w:p>
    <w:p>
      <w:pPr>
        <w:pStyle w:val="20"/>
        <w:widowControl w:val="0"/>
        <w:spacing w:before="0" w:beforeAutospacing="0" w:after="0" w:afterAutospacing="0" w:line="360" w:lineRule="auto"/>
        <w:jc w:val="both"/>
        <w:outlineLvl w:val="1"/>
        <w:rPr>
          <w:b/>
          <w:color w:val="auto"/>
          <w:kern w:val="2"/>
          <w:szCs w:val="20"/>
          <w:highlight w:val="none"/>
          <w:lang w:bidi="ar"/>
        </w:rPr>
      </w:pPr>
    </w:p>
    <w:p>
      <w:pPr>
        <w:pStyle w:val="20"/>
        <w:widowControl w:val="0"/>
        <w:spacing w:before="0" w:beforeAutospacing="0" w:after="0" w:afterAutospacing="0" w:line="360" w:lineRule="auto"/>
        <w:jc w:val="both"/>
        <w:outlineLvl w:val="1"/>
        <w:rPr>
          <w:b/>
          <w:color w:val="auto"/>
          <w:kern w:val="2"/>
          <w:szCs w:val="20"/>
          <w:highlight w:val="none"/>
          <w:lang w:bidi="ar"/>
        </w:rPr>
      </w:pPr>
    </w:p>
    <w:p>
      <w:pPr>
        <w:pStyle w:val="20"/>
        <w:widowControl w:val="0"/>
        <w:spacing w:before="0" w:beforeAutospacing="0" w:after="0" w:afterAutospacing="0" w:line="360" w:lineRule="auto"/>
        <w:jc w:val="both"/>
        <w:outlineLvl w:val="1"/>
        <w:rPr>
          <w:b/>
          <w:color w:val="auto"/>
          <w:kern w:val="2"/>
          <w:szCs w:val="20"/>
          <w:highlight w:val="none"/>
          <w:lang w:bidi="ar"/>
        </w:rPr>
      </w:pPr>
    </w:p>
    <w:p>
      <w:pPr>
        <w:pStyle w:val="20"/>
        <w:widowControl w:val="0"/>
        <w:spacing w:before="0" w:beforeAutospacing="0" w:after="0" w:afterAutospacing="0" w:line="360" w:lineRule="auto"/>
        <w:jc w:val="both"/>
        <w:outlineLvl w:val="1"/>
        <w:rPr>
          <w:b/>
          <w:color w:val="auto"/>
          <w:kern w:val="2"/>
          <w:szCs w:val="20"/>
          <w:highlight w:val="none"/>
          <w:lang w:bidi="ar"/>
        </w:rPr>
      </w:pPr>
    </w:p>
    <w:p>
      <w:pPr>
        <w:pStyle w:val="20"/>
        <w:widowControl w:val="0"/>
        <w:spacing w:before="0" w:beforeAutospacing="0" w:after="0" w:afterAutospacing="0" w:line="360" w:lineRule="auto"/>
        <w:jc w:val="both"/>
        <w:outlineLvl w:val="1"/>
        <w:rPr>
          <w:b/>
          <w:color w:val="auto"/>
          <w:kern w:val="2"/>
          <w:szCs w:val="20"/>
          <w:highlight w:val="none"/>
          <w:lang w:bidi="ar"/>
        </w:rPr>
      </w:pPr>
    </w:p>
    <w:p>
      <w:pPr>
        <w:pStyle w:val="20"/>
        <w:widowControl w:val="0"/>
        <w:spacing w:before="0" w:beforeAutospacing="0" w:after="0" w:afterAutospacing="0" w:line="360" w:lineRule="auto"/>
        <w:jc w:val="both"/>
        <w:outlineLvl w:val="1"/>
        <w:rPr>
          <w:b/>
          <w:color w:val="auto"/>
          <w:kern w:val="2"/>
          <w:szCs w:val="20"/>
          <w:highlight w:val="none"/>
          <w:lang w:bidi="ar"/>
        </w:rPr>
      </w:pPr>
    </w:p>
    <w:p>
      <w:pPr>
        <w:pStyle w:val="20"/>
        <w:widowControl w:val="0"/>
        <w:spacing w:before="0" w:beforeAutospacing="0" w:after="0" w:afterAutospacing="0" w:line="360" w:lineRule="auto"/>
        <w:jc w:val="both"/>
        <w:outlineLvl w:val="1"/>
        <w:rPr>
          <w:b/>
          <w:color w:val="auto"/>
          <w:kern w:val="2"/>
          <w:szCs w:val="20"/>
          <w:highlight w:val="none"/>
          <w:lang w:bidi="ar"/>
        </w:rPr>
      </w:pPr>
    </w:p>
    <w:p>
      <w:pPr>
        <w:pStyle w:val="20"/>
        <w:widowControl w:val="0"/>
        <w:spacing w:before="0" w:beforeAutospacing="0" w:after="0" w:afterAutospacing="0" w:line="360" w:lineRule="auto"/>
        <w:jc w:val="both"/>
        <w:outlineLvl w:val="1"/>
        <w:rPr>
          <w:b/>
          <w:color w:val="auto"/>
          <w:kern w:val="2"/>
          <w:szCs w:val="20"/>
          <w:highlight w:val="none"/>
          <w:lang w:bidi="ar"/>
        </w:rPr>
      </w:pPr>
    </w:p>
    <w:p>
      <w:pPr>
        <w:pStyle w:val="20"/>
        <w:widowControl w:val="0"/>
        <w:spacing w:before="0" w:beforeAutospacing="0" w:after="0" w:afterAutospacing="0" w:line="360" w:lineRule="auto"/>
        <w:jc w:val="both"/>
        <w:outlineLvl w:val="1"/>
        <w:rPr>
          <w:b/>
          <w:color w:val="auto"/>
          <w:kern w:val="2"/>
          <w:szCs w:val="20"/>
          <w:highlight w:val="none"/>
          <w:lang w:bidi="ar"/>
        </w:rPr>
      </w:pPr>
    </w:p>
    <w:p>
      <w:pPr>
        <w:pStyle w:val="20"/>
        <w:widowControl w:val="0"/>
        <w:spacing w:before="0" w:beforeAutospacing="0" w:after="0" w:afterAutospacing="0" w:line="360" w:lineRule="auto"/>
        <w:jc w:val="both"/>
        <w:outlineLvl w:val="1"/>
        <w:rPr>
          <w:b/>
          <w:color w:val="auto"/>
          <w:kern w:val="2"/>
          <w:szCs w:val="20"/>
          <w:highlight w:val="none"/>
          <w:lang w:bidi="ar"/>
        </w:rPr>
      </w:pPr>
    </w:p>
    <w:p>
      <w:pPr>
        <w:pStyle w:val="20"/>
        <w:widowControl w:val="0"/>
        <w:spacing w:before="0" w:beforeAutospacing="0" w:after="0" w:afterAutospacing="0" w:line="360" w:lineRule="auto"/>
        <w:jc w:val="both"/>
        <w:outlineLvl w:val="1"/>
        <w:rPr>
          <w:b/>
          <w:color w:val="auto"/>
          <w:kern w:val="2"/>
          <w:szCs w:val="20"/>
          <w:highlight w:val="none"/>
          <w:lang w:bidi="ar"/>
        </w:rPr>
      </w:pPr>
    </w:p>
    <w:p>
      <w:pPr>
        <w:rPr>
          <w:b/>
          <w:color w:val="auto"/>
          <w:kern w:val="2"/>
          <w:szCs w:val="20"/>
          <w:highlight w:val="none"/>
          <w:lang w:bidi="ar"/>
        </w:rPr>
      </w:pPr>
      <w:r>
        <w:rPr>
          <w:b/>
          <w:color w:val="auto"/>
          <w:kern w:val="2"/>
          <w:szCs w:val="20"/>
          <w:highlight w:val="none"/>
          <w:lang w:bidi="ar"/>
        </w:rPr>
        <w:br w:type="page"/>
      </w:r>
    </w:p>
    <w:p>
      <w:pPr>
        <w:pStyle w:val="20"/>
        <w:widowControl w:val="0"/>
        <w:spacing w:before="0" w:beforeAutospacing="0" w:after="0" w:afterAutospacing="0" w:line="360" w:lineRule="auto"/>
        <w:jc w:val="both"/>
        <w:outlineLvl w:val="1"/>
        <w:rPr>
          <w:rFonts w:hint="default" w:ascii="宋体" w:hAnsi="宋体" w:eastAsia="宋体" w:cs="宋体"/>
          <w:i/>
          <w:iCs/>
          <w:color w:val="auto"/>
          <w:sz w:val="21"/>
          <w:szCs w:val="21"/>
          <w:highlight w:val="none"/>
          <w:lang w:val="en-US" w:eastAsia="zh-CN"/>
        </w:rPr>
      </w:pPr>
      <w:r>
        <w:rPr>
          <w:b/>
          <w:color w:val="auto"/>
          <w:kern w:val="2"/>
          <w:szCs w:val="20"/>
          <w:highlight w:val="none"/>
          <w:lang w:bidi="ar"/>
        </w:rPr>
        <w:t>附件</w:t>
      </w:r>
      <w:r>
        <w:rPr>
          <w:rFonts w:hint="eastAsia"/>
          <w:b/>
          <w:color w:val="auto"/>
          <w:kern w:val="2"/>
          <w:szCs w:val="20"/>
          <w:highlight w:val="none"/>
          <w:lang w:eastAsia="zh-CN" w:bidi="ar"/>
        </w:rPr>
        <w:t>十</w:t>
      </w:r>
      <w:r>
        <w:rPr>
          <w:rFonts w:hint="eastAsia"/>
          <w:b/>
          <w:color w:val="auto"/>
          <w:kern w:val="2"/>
          <w:szCs w:val="20"/>
          <w:highlight w:val="none"/>
          <w:lang w:val="en-US" w:eastAsia="zh-CN" w:bidi="ar"/>
        </w:rPr>
        <w:t>六</w:t>
      </w:r>
      <w:r>
        <w:rPr>
          <w:b/>
          <w:color w:val="auto"/>
          <w:kern w:val="2"/>
          <w:szCs w:val="20"/>
          <w:highlight w:val="none"/>
          <w:lang w:bidi="ar"/>
        </w:rPr>
        <w:t>：</w:t>
      </w:r>
      <w:bookmarkEnd w:id="2765"/>
      <w:bookmarkEnd w:id="2766"/>
      <w:r>
        <w:rPr>
          <w:rFonts w:hint="eastAsia" w:eastAsia="宋体"/>
          <w:b/>
          <w:color w:val="auto"/>
          <w:kern w:val="2"/>
          <w:szCs w:val="20"/>
          <w:highlight w:val="none"/>
          <w:lang w:val="en-US" w:eastAsia="zh-CN" w:bidi="ar"/>
        </w:rPr>
        <w:t xml:space="preserve">           </w:t>
      </w:r>
      <w:r>
        <w:rPr>
          <w:rFonts w:hint="eastAsia" w:ascii="宋体" w:hAnsi="宋体" w:eastAsia="宋体" w:cs="宋体"/>
          <w:b/>
          <w:bCs/>
          <w:color w:val="auto"/>
          <w:sz w:val="21"/>
          <w:szCs w:val="21"/>
          <w:highlight w:val="none"/>
        </w:rPr>
        <w:t>政府采购活动现</w:t>
      </w:r>
      <w:r>
        <w:rPr>
          <w:rFonts w:hint="eastAsia" w:ascii="宋体" w:hAnsi="宋体" w:eastAsia="宋体" w:cs="宋体"/>
          <w:b/>
          <w:color w:val="auto"/>
          <w:sz w:val="21"/>
          <w:szCs w:val="21"/>
          <w:highlight w:val="none"/>
        </w:rPr>
        <w:t>场确认声明书</w:t>
      </w:r>
      <w:r>
        <w:rPr>
          <w:rFonts w:hint="eastAsia" w:ascii="宋体" w:hAnsi="宋体" w:eastAsia="宋体" w:cs="宋体"/>
          <w:b/>
          <w:color w:val="auto"/>
          <w:sz w:val="21"/>
          <w:szCs w:val="21"/>
          <w:highlight w:val="none"/>
          <w:lang w:eastAsia="zh-CN"/>
        </w:rPr>
        <w:t>（</w:t>
      </w:r>
      <w:r>
        <w:rPr>
          <w:rFonts w:hint="eastAsia" w:hAnsi="宋体" w:cs="宋体"/>
          <w:b/>
          <w:color w:val="auto"/>
          <w:sz w:val="21"/>
          <w:szCs w:val="21"/>
          <w:highlight w:val="none"/>
          <w:lang w:eastAsia="zh-CN"/>
        </w:rPr>
        <w:t>被</w:t>
      </w:r>
      <w:r>
        <w:rPr>
          <w:rFonts w:hint="eastAsia" w:ascii="宋体" w:hAnsi="宋体" w:eastAsia="宋体" w:cs="宋体"/>
          <w:b/>
          <w:color w:val="auto"/>
          <w:sz w:val="21"/>
          <w:szCs w:val="21"/>
          <w:highlight w:val="none"/>
          <w:lang w:eastAsia="zh-CN"/>
        </w:rPr>
        <w:t>授权人）</w:t>
      </w:r>
      <w:r>
        <w:rPr>
          <w:rFonts w:hint="eastAsia" w:eastAsia="宋体" w:cs="宋体"/>
          <w:b/>
          <w:color w:val="auto"/>
          <w:sz w:val="21"/>
          <w:szCs w:val="21"/>
          <w:highlight w:val="none"/>
          <w:lang w:val="en-US" w:eastAsia="zh-CN"/>
        </w:rPr>
        <w:t xml:space="preserve"> </w:t>
      </w:r>
      <w:r>
        <w:rPr>
          <w:rFonts w:hint="eastAsia" w:eastAsia="宋体" w:cs="宋体"/>
          <w:b/>
          <w:i/>
          <w:iCs/>
          <w:color w:val="auto"/>
          <w:sz w:val="21"/>
          <w:szCs w:val="21"/>
          <w:highlight w:val="none"/>
          <w:lang w:val="en-US" w:eastAsia="zh-CN"/>
        </w:rPr>
        <w:t>二选一</w:t>
      </w:r>
    </w:p>
    <w:p>
      <w:pPr>
        <w:pStyle w:val="44"/>
        <w:widowControl w:val="0"/>
        <w:snapToGrid w:val="0"/>
        <w:spacing w:line="500" w:lineRule="exact"/>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eastAsia="zh-CN"/>
        </w:rPr>
        <w:t>台州瑞腾工程管理有限公司</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（采购组织机构名称）：</w:t>
      </w:r>
    </w:p>
    <w:p>
      <w:pPr>
        <w:pStyle w:val="44"/>
        <w:widowControl w:val="0"/>
        <w:snapToGrid w:val="0"/>
        <w:spacing w:line="500" w:lineRule="exact"/>
        <w:ind w:firstLine="444"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u w:val="single"/>
        </w:rPr>
        <w:t>（单位）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hAnsi="宋体" w:cs="宋体"/>
          <w:color w:val="auto"/>
          <w:spacing w:val="6"/>
          <w:sz w:val="21"/>
          <w:szCs w:val="21"/>
          <w:highlight w:val="none"/>
          <w:u w:val="single"/>
          <w:lang w:eastAsia="zh-CN"/>
        </w:rPr>
        <w:t>2024年省级挂牌治理道路交通事故多发点段（S322临石线K71+600永安路口）整治工程</w:t>
      </w:r>
      <w:r>
        <w:rPr>
          <w:rFonts w:hint="eastAsia" w:ascii="宋体" w:hAnsi="宋体" w:eastAsia="宋体" w:cs="宋体"/>
          <w:color w:val="auto"/>
          <w:spacing w:val="6"/>
          <w:sz w:val="21"/>
          <w:szCs w:val="21"/>
          <w:highlight w:val="none"/>
          <w:u w:val="single"/>
          <w:lang w:eastAsia="zh-CN"/>
        </w:rPr>
        <w:t xml:space="preserve"> </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 xml:space="preserve">TZRT(采购）-24009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45"/>
        <w:widowControl/>
        <w:numPr>
          <w:ilvl w:val="0"/>
          <w:numId w:val="11"/>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本单位与采购人之间 </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45"/>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pPr>
        <w:pStyle w:val="45"/>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pPr>
        <w:pStyle w:val="45"/>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44"/>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44"/>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44"/>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44"/>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44"/>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44"/>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44"/>
        <w:widowControl w:val="0"/>
        <w:snapToGrid w:val="0"/>
        <w:spacing w:line="500" w:lineRule="exact"/>
        <w:jc w:val="both"/>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44"/>
        <w:widowControl w:val="0"/>
        <w:snapToGri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44"/>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45"/>
        <w:widowControl/>
        <w:numPr>
          <w:ilvl w:val="0"/>
          <w:numId w:val="12"/>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严格遵守政府采购法律法规和现场纪律。</w:t>
      </w:r>
    </w:p>
    <w:p>
      <w:pPr>
        <w:pStyle w:val="45"/>
        <w:widowControl/>
        <w:numPr>
          <w:ilvl w:val="0"/>
          <w:numId w:val="12"/>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我发现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pPr>
        <w:pStyle w:val="44"/>
        <w:widowControl w:val="0"/>
        <w:snapToGri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供应商代表签名：</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2024年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pPr>
        <w:pStyle w:val="8"/>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注：1、本表非</w:t>
      </w:r>
      <w:r>
        <w:rPr>
          <w:rFonts w:hint="eastAsia" w:ascii="宋体" w:hAnsi="宋体" w:eastAsia="宋体" w:cs="宋体"/>
          <w:b w:val="0"/>
          <w:bCs/>
          <w:color w:val="auto"/>
          <w:highlight w:val="none"/>
          <w:lang w:val="en-US" w:eastAsia="zh-CN"/>
        </w:rPr>
        <w:t>响应</w:t>
      </w:r>
      <w:r>
        <w:rPr>
          <w:rFonts w:hint="eastAsia" w:ascii="宋体" w:hAnsi="宋体" w:eastAsia="宋体" w:cs="宋体"/>
          <w:b w:val="0"/>
          <w:bCs/>
          <w:color w:val="auto"/>
          <w:highlight w:val="none"/>
        </w:rPr>
        <w:t>文件的组成内容，</w:t>
      </w:r>
      <w:r>
        <w:rPr>
          <w:rFonts w:hint="eastAsia" w:ascii="宋体" w:hAnsi="宋体" w:eastAsia="宋体" w:cs="宋体"/>
          <w:b w:val="0"/>
          <w:bCs/>
          <w:color w:val="auto"/>
          <w:highlight w:val="none"/>
          <w:lang w:val="en-US" w:eastAsia="zh-CN"/>
        </w:rPr>
        <w:t>无</w:t>
      </w:r>
      <w:r>
        <w:rPr>
          <w:rFonts w:hint="eastAsia" w:ascii="宋体" w:hAnsi="宋体" w:eastAsia="宋体" w:cs="宋体"/>
          <w:b w:val="0"/>
          <w:bCs/>
          <w:color w:val="auto"/>
          <w:highlight w:val="none"/>
        </w:rPr>
        <w:t>须在</w:t>
      </w:r>
      <w:r>
        <w:rPr>
          <w:rFonts w:hint="eastAsia" w:ascii="宋体" w:hAnsi="宋体" w:eastAsia="宋体" w:cs="宋体"/>
          <w:b w:val="0"/>
          <w:bCs/>
          <w:color w:val="auto"/>
          <w:highlight w:val="none"/>
          <w:lang w:val="en-US" w:eastAsia="zh-CN"/>
        </w:rPr>
        <w:t>响应</w:t>
      </w:r>
      <w:r>
        <w:rPr>
          <w:rFonts w:hint="eastAsia" w:ascii="宋体" w:hAnsi="宋体" w:eastAsia="宋体" w:cs="宋体"/>
          <w:b w:val="0"/>
          <w:bCs/>
          <w:color w:val="auto"/>
          <w:highlight w:val="none"/>
        </w:rPr>
        <w:t>文件中提供。</w:t>
      </w:r>
    </w:p>
    <w:p>
      <w:pPr>
        <w:pStyle w:val="8"/>
        <w:rPr>
          <w:rFonts w:hint="eastAsia" w:ascii="宋体" w:hAnsi="宋体" w:eastAsia="宋体" w:cs="宋体"/>
          <w:b/>
          <w:bCs/>
          <w:color w:val="auto"/>
          <w:sz w:val="21"/>
          <w:szCs w:val="21"/>
          <w:highlight w:val="none"/>
        </w:rPr>
      </w:pPr>
      <w:r>
        <w:rPr>
          <w:rFonts w:hint="eastAsia" w:ascii="宋体" w:hAnsi="宋体" w:eastAsia="宋体" w:cs="宋体"/>
          <w:b w:val="0"/>
          <w:bCs/>
          <w:color w:val="auto"/>
          <w:highlight w:val="none"/>
          <w:lang w:val="en-US" w:eastAsia="zh-CN"/>
        </w:rPr>
        <w:t xml:space="preserve">    </w:t>
      </w:r>
      <w:r>
        <w:rPr>
          <w:rFonts w:hint="eastAsia" w:ascii="宋体" w:hAnsi="宋体" w:eastAsia="宋体" w:cs="宋体"/>
          <w:b w:val="0"/>
          <w:bCs/>
          <w:color w:val="auto"/>
          <w:highlight w:val="none"/>
        </w:rPr>
        <w:t>2、</w:t>
      </w:r>
      <w:r>
        <w:rPr>
          <w:rFonts w:hint="eastAsia" w:ascii="宋体" w:hAnsi="宋体" w:eastAsia="宋体" w:cs="宋体"/>
          <w:b w:val="0"/>
          <w:bCs/>
          <w:color w:val="auto"/>
          <w:highlight w:val="none"/>
          <w:lang w:val="en-US" w:eastAsia="zh-CN"/>
        </w:rPr>
        <w:t>各供应商可提前打印本表，开标当日</w:t>
      </w:r>
      <w:r>
        <w:rPr>
          <w:rFonts w:hint="eastAsia" w:ascii="宋体" w:hAnsi="宋体" w:eastAsia="宋体" w:cs="宋体"/>
          <w:b w:val="0"/>
          <w:bCs/>
          <w:color w:val="auto"/>
          <w:highlight w:val="none"/>
        </w:rPr>
        <w:t>，</w:t>
      </w:r>
      <w:r>
        <w:rPr>
          <w:rFonts w:hint="eastAsia" w:ascii="宋体" w:hAnsi="宋体" w:eastAsia="宋体" w:cs="宋体"/>
          <w:b w:val="0"/>
          <w:bCs/>
          <w:color w:val="auto"/>
          <w:highlight w:val="none"/>
          <w:lang w:val="en-US" w:eastAsia="zh-CN"/>
        </w:rPr>
        <w:t>签署完毕后扫描上传至钉钉群</w:t>
      </w:r>
      <w:r>
        <w:rPr>
          <w:rFonts w:hint="eastAsia" w:ascii="宋体" w:hAnsi="宋体" w:eastAsia="宋体" w:cs="宋体"/>
          <w:b w:val="0"/>
          <w:bCs/>
          <w:color w:val="auto"/>
          <w:highlight w:val="none"/>
        </w:rPr>
        <w:t>。</w:t>
      </w: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pStyle w:val="44"/>
        <w:widowControl w:val="0"/>
        <w:snapToGrid w:val="0"/>
        <w:spacing w:line="5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政府采购活动现</w:t>
      </w:r>
      <w:r>
        <w:rPr>
          <w:rFonts w:hint="eastAsia" w:ascii="宋体" w:hAnsi="宋体" w:eastAsia="宋体" w:cs="宋体"/>
          <w:b/>
          <w:color w:val="auto"/>
          <w:sz w:val="21"/>
          <w:szCs w:val="21"/>
          <w:highlight w:val="none"/>
        </w:rPr>
        <w:t>场确认声明书</w:t>
      </w:r>
      <w:r>
        <w:rPr>
          <w:rFonts w:hint="eastAsia" w:ascii="宋体" w:hAnsi="宋体" w:eastAsia="宋体" w:cs="宋体"/>
          <w:b/>
          <w:color w:val="auto"/>
          <w:sz w:val="21"/>
          <w:szCs w:val="21"/>
          <w:highlight w:val="none"/>
          <w:lang w:eastAsia="zh-CN"/>
        </w:rPr>
        <w:t>（法人）</w:t>
      </w:r>
    </w:p>
    <w:p>
      <w:pPr>
        <w:pStyle w:val="44"/>
        <w:widowControl w:val="0"/>
        <w:snapToGrid w:val="0"/>
        <w:spacing w:line="500" w:lineRule="exact"/>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eastAsia="zh-CN"/>
        </w:rPr>
        <w:t>台州瑞腾工程管理有限公司</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（采购组织机构名称）：</w:t>
      </w:r>
    </w:p>
    <w:p>
      <w:pPr>
        <w:pStyle w:val="44"/>
        <w:widowControl w:val="0"/>
        <w:snapToGrid w:val="0"/>
        <w:spacing w:line="500" w:lineRule="exact"/>
        <w:ind w:firstLine="444"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u w:val="single"/>
        </w:rPr>
        <w:t>（单位）</w:t>
      </w:r>
      <w:r>
        <w:rPr>
          <w:rFonts w:hint="eastAsia" w:ascii="宋体" w:hAnsi="宋体" w:eastAsia="宋体" w:cs="宋体"/>
          <w:color w:val="auto"/>
          <w:spacing w:val="6"/>
          <w:sz w:val="21"/>
          <w:szCs w:val="21"/>
          <w:highlight w:val="none"/>
        </w:rPr>
        <w:t>负责人参加</w:t>
      </w:r>
      <w:r>
        <w:rPr>
          <w:rFonts w:hint="eastAsia" w:hAnsi="宋体" w:cs="宋体"/>
          <w:color w:val="auto"/>
          <w:spacing w:val="6"/>
          <w:sz w:val="21"/>
          <w:szCs w:val="21"/>
          <w:highlight w:val="none"/>
          <w:u w:val="single"/>
          <w:lang w:eastAsia="zh-CN"/>
        </w:rPr>
        <w:t>2024年省级挂牌治理道路交通事故多发点段（S322临石线K71+600永安路口）整治工程</w:t>
      </w:r>
      <w:r>
        <w:rPr>
          <w:rFonts w:hint="eastAsia" w:ascii="宋体" w:hAnsi="宋体" w:eastAsia="宋体" w:cs="宋体"/>
          <w:color w:val="auto"/>
          <w:spacing w:val="6"/>
          <w:sz w:val="21"/>
          <w:szCs w:val="21"/>
          <w:highlight w:val="none"/>
          <w:u w:val="single"/>
          <w:lang w:eastAsia="zh-CN"/>
        </w:rPr>
        <w:t xml:space="preserve"> </w:t>
      </w:r>
      <w:r>
        <w:rPr>
          <w:rFonts w:hint="eastAsia" w:ascii="宋体" w:hAnsi="宋体" w:eastAsia="宋体" w:cs="宋体"/>
          <w:color w:val="auto"/>
          <w:spacing w:val="6"/>
          <w:sz w:val="21"/>
          <w:szCs w:val="21"/>
          <w:highlight w:val="none"/>
        </w:rPr>
        <w:t>（编号</w:t>
      </w:r>
      <w:r>
        <w:rPr>
          <w:rFonts w:hint="eastAsia" w:ascii="宋体" w:hAnsi="宋体" w:eastAsia="宋体" w:cs="宋体"/>
          <w:color w:val="auto"/>
          <w:spacing w:val="6"/>
          <w:sz w:val="21"/>
          <w:szCs w:val="21"/>
          <w:highlight w:val="none"/>
          <w:u w:val="single"/>
        </w:rPr>
        <w:t>：</w:t>
      </w:r>
      <w:r>
        <w:rPr>
          <w:rFonts w:hint="eastAsia" w:hAnsi="宋体" w:cs="宋体"/>
          <w:color w:val="auto"/>
          <w:spacing w:val="6"/>
          <w:sz w:val="21"/>
          <w:szCs w:val="21"/>
          <w:highlight w:val="none"/>
          <w:u w:val="single"/>
          <w:lang w:eastAsia="zh-CN"/>
        </w:rPr>
        <w:t>TZRT(采购）-24009</w:t>
      </w:r>
      <w:r>
        <w:rPr>
          <w:rFonts w:hint="eastAsia" w:ascii="宋体" w:hAnsi="宋体" w:eastAsia="宋体" w:cs="宋体"/>
          <w:color w:val="auto"/>
          <w:spacing w:val="6"/>
          <w:sz w:val="21"/>
          <w:szCs w:val="21"/>
          <w:highlight w:val="none"/>
          <w:u w:val="single"/>
        </w:rPr>
        <w:t xml:space="preserve"> </w:t>
      </w:r>
      <w:r>
        <w:rPr>
          <w:rFonts w:hint="eastAsia" w:hAnsi="宋体" w:cs="宋体"/>
          <w:color w:val="auto"/>
          <w:spacing w:val="6"/>
          <w:sz w:val="21"/>
          <w:szCs w:val="21"/>
          <w:highlight w:val="none"/>
          <w:u w:val="single"/>
          <w:lang w:eastAsia="zh-CN"/>
        </w:rPr>
        <w:t xml:space="preserve"> </w:t>
      </w:r>
      <w:r>
        <w:rPr>
          <w:rFonts w:hint="eastAsia" w:ascii="宋体" w:hAnsi="宋体" w:eastAsia="宋体" w:cs="宋体"/>
          <w:color w:val="auto"/>
          <w:spacing w:val="6"/>
          <w:sz w:val="21"/>
          <w:szCs w:val="21"/>
          <w:highlight w:val="none"/>
        </w:rPr>
        <w:t xml:space="preserve">）政府采购活动，现就有关公平竞争事项郑重声明如下： </w:t>
      </w:r>
    </w:p>
    <w:p>
      <w:pPr>
        <w:pStyle w:val="45"/>
        <w:widowControl/>
        <w:numPr>
          <w:ilvl w:val="0"/>
          <w:numId w:val="11"/>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45"/>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pPr>
        <w:pStyle w:val="45"/>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pPr>
        <w:pStyle w:val="45"/>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44"/>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44"/>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44"/>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44"/>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44"/>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44"/>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44"/>
        <w:widowControl w:val="0"/>
        <w:snapToGrid w:val="0"/>
        <w:spacing w:line="500" w:lineRule="exact"/>
        <w:jc w:val="both"/>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44"/>
        <w:widowControl w:val="0"/>
        <w:snapToGri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44"/>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45"/>
        <w:widowControl/>
        <w:numPr>
          <w:ilvl w:val="0"/>
          <w:numId w:val="12"/>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严格遵守政府采购法律法规和现场纪律。</w:t>
      </w:r>
    </w:p>
    <w:p>
      <w:pPr>
        <w:pStyle w:val="45"/>
        <w:widowControl/>
        <w:numPr>
          <w:ilvl w:val="0"/>
          <w:numId w:val="12"/>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我发现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pPr>
        <w:pStyle w:val="44"/>
        <w:widowControl w:val="0"/>
        <w:snapToGrid w:val="0"/>
        <w:spacing w:line="500" w:lineRule="exact"/>
        <w:jc w:val="center"/>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供应商代表签名：</w:t>
      </w:r>
    </w:p>
    <w:p>
      <w:pPr>
        <w:jc w:val="righ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2024年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pPr>
        <w:pStyle w:val="6"/>
        <w:ind w:firstLine="0"/>
        <w:jc w:val="left"/>
        <w:rPr>
          <w:rFonts w:hint="eastAsia" w:ascii="宋体" w:hAnsi="宋体" w:eastAsia="宋体" w:cs="宋体"/>
          <w:b/>
          <w:color w:val="auto"/>
          <w:sz w:val="24"/>
          <w:szCs w:val="24"/>
          <w:highlight w:val="none"/>
          <w:lang w:val="zh-CN"/>
        </w:rPr>
      </w:pPr>
    </w:p>
    <w:p>
      <w:pPr>
        <w:pStyle w:val="8"/>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注：1、本表非</w:t>
      </w:r>
      <w:r>
        <w:rPr>
          <w:rFonts w:hint="eastAsia" w:ascii="宋体" w:hAnsi="宋体" w:eastAsia="宋体" w:cs="宋体"/>
          <w:b w:val="0"/>
          <w:bCs/>
          <w:color w:val="auto"/>
          <w:highlight w:val="none"/>
          <w:lang w:val="en-US" w:eastAsia="zh-CN"/>
        </w:rPr>
        <w:t>响应</w:t>
      </w:r>
      <w:r>
        <w:rPr>
          <w:rFonts w:hint="eastAsia" w:ascii="宋体" w:hAnsi="宋体" w:eastAsia="宋体" w:cs="宋体"/>
          <w:b w:val="0"/>
          <w:bCs/>
          <w:color w:val="auto"/>
          <w:highlight w:val="none"/>
        </w:rPr>
        <w:t>文件的组成内容，</w:t>
      </w:r>
      <w:r>
        <w:rPr>
          <w:rFonts w:hint="eastAsia" w:ascii="宋体" w:hAnsi="宋体" w:eastAsia="宋体" w:cs="宋体"/>
          <w:b w:val="0"/>
          <w:bCs/>
          <w:color w:val="auto"/>
          <w:highlight w:val="none"/>
          <w:lang w:val="en-US" w:eastAsia="zh-CN"/>
        </w:rPr>
        <w:t>无</w:t>
      </w:r>
      <w:r>
        <w:rPr>
          <w:rFonts w:hint="eastAsia" w:ascii="宋体" w:hAnsi="宋体" w:eastAsia="宋体" w:cs="宋体"/>
          <w:b w:val="0"/>
          <w:bCs/>
          <w:color w:val="auto"/>
          <w:highlight w:val="none"/>
        </w:rPr>
        <w:t>须在</w:t>
      </w:r>
      <w:r>
        <w:rPr>
          <w:rFonts w:hint="eastAsia" w:ascii="宋体" w:hAnsi="宋体" w:eastAsia="宋体" w:cs="宋体"/>
          <w:b w:val="0"/>
          <w:bCs/>
          <w:color w:val="auto"/>
          <w:highlight w:val="none"/>
          <w:lang w:val="en-US" w:eastAsia="zh-CN"/>
        </w:rPr>
        <w:t>响应</w:t>
      </w:r>
      <w:r>
        <w:rPr>
          <w:rFonts w:hint="eastAsia" w:ascii="宋体" w:hAnsi="宋体" w:eastAsia="宋体" w:cs="宋体"/>
          <w:b w:val="0"/>
          <w:bCs/>
          <w:color w:val="auto"/>
          <w:highlight w:val="none"/>
        </w:rPr>
        <w:t>文件中提供。</w:t>
      </w:r>
    </w:p>
    <w:p>
      <w:pPr>
        <w:pStyle w:val="8"/>
        <w:rPr>
          <w:rFonts w:hint="eastAsia" w:ascii="宋体" w:hAnsi="宋体" w:eastAsia="宋体" w:cs="宋体"/>
          <w:color w:val="auto"/>
          <w:highlight w:val="none"/>
        </w:rPr>
      </w:pPr>
      <w:r>
        <w:rPr>
          <w:rFonts w:hint="eastAsia" w:ascii="宋体" w:hAnsi="宋体" w:eastAsia="宋体" w:cs="宋体"/>
          <w:b w:val="0"/>
          <w:bCs/>
          <w:color w:val="auto"/>
          <w:highlight w:val="none"/>
          <w:lang w:val="en-US" w:eastAsia="zh-CN"/>
        </w:rPr>
        <w:t xml:space="preserve">    </w:t>
      </w:r>
      <w:r>
        <w:rPr>
          <w:rFonts w:hint="eastAsia" w:ascii="宋体" w:hAnsi="宋体" w:eastAsia="宋体" w:cs="宋体"/>
          <w:b w:val="0"/>
          <w:bCs/>
          <w:color w:val="auto"/>
          <w:highlight w:val="none"/>
        </w:rPr>
        <w:t>2、</w:t>
      </w:r>
      <w:r>
        <w:rPr>
          <w:rFonts w:hint="eastAsia" w:ascii="宋体" w:hAnsi="宋体" w:eastAsia="宋体" w:cs="宋体"/>
          <w:b w:val="0"/>
          <w:bCs/>
          <w:color w:val="auto"/>
          <w:highlight w:val="none"/>
          <w:lang w:val="en-US" w:eastAsia="zh-CN"/>
        </w:rPr>
        <w:t>各供应商可提前打印本表，开标当日</w:t>
      </w:r>
      <w:r>
        <w:rPr>
          <w:rFonts w:hint="eastAsia" w:ascii="宋体" w:hAnsi="宋体" w:eastAsia="宋体" w:cs="宋体"/>
          <w:b w:val="0"/>
          <w:bCs/>
          <w:color w:val="auto"/>
          <w:highlight w:val="none"/>
        </w:rPr>
        <w:t>，</w:t>
      </w:r>
      <w:r>
        <w:rPr>
          <w:rFonts w:hint="eastAsia" w:ascii="宋体" w:hAnsi="宋体" w:eastAsia="宋体" w:cs="宋体"/>
          <w:b w:val="0"/>
          <w:bCs/>
          <w:color w:val="auto"/>
          <w:highlight w:val="none"/>
          <w:lang w:val="en-US" w:eastAsia="zh-CN"/>
        </w:rPr>
        <w:t>签署完毕后扫描上传至钉钉群</w:t>
      </w:r>
      <w:r>
        <w:rPr>
          <w:rFonts w:hint="eastAsia" w:ascii="宋体" w:hAnsi="宋体" w:eastAsia="宋体" w:cs="宋体"/>
          <w:b w:val="0"/>
          <w:bCs/>
          <w:color w:val="auto"/>
          <w:highlight w:val="none"/>
        </w:rPr>
        <w:t>。</w:t>
      </w:r>
    </w:p>
    <w:bookmarkEnd w:id="2750"/>
    <w:bookmarkEnd w:id="2751"/>
    <w:bookmarkEnd w:id="2752"/>
    <w:bookmarkEnd w:id="2753"/>
    <w:bookmarkEnd w:id="2754"/>
    <w:bookmarkEnd w:id="2755"/>
    <w:bookmarkEnd w:id="2756"/>
    <w:p>
      <w:pPr>
        <w:pStyle w:val="6"/>
        <w:ind w:firstLine="0"/>
        <w:jc w:val="left"/>
        <w:rPr>
          <w:rFonts w:hint="eastAsia" w:ascii="宋体" w:hAnsi="宋体" w:eastAsia="宋体" w:cs="宋体"/>
          <w:b/>
          <w:color w:val="auto"/>
          <w:sz w:val="24"/>
          <w:szCs w:val="24"/>
          <w:highlight w:val="none"/>
          <w:lang w:val="zh-CN"/>
        </w:rPr>
      </w:pPr>
    </w:p>
    <w:sectPr>
      <w:footerReference r:id="rId7" w:type="default"/>
      <w:pgSz w:w="11906" w:h="16838"/>
      <w:pgMar w:top="1440" w:right="1440" w:bottom="1440" w:left="1440" w:header="851" w:footer="992" w:gutter="0"/>
      <w:pgNumType w:fmt="decimal" w:start="102"/>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ﾃ凝偲古･">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modern"/>
    <w:pitch w:val="default"/>
    <w:sig w:usb0="E00002FF" w:usb1="6AC7FDFB" w:usb2="00000012" w:usb3="00000000" w:csb0="4002009F" w:csb1="DFD70000"/>
  </w:font>
  <w:font w:name="smartSimSun">
    <w:altName w:val="宋体"/>
    <w:panose1 w:val="02010600030101010101"/>
    <w:charset w:val="86"/>
    <w:family w:val="auto"/>
    <w:pitch w:val="default"/>
    <w:sig w:usb0="00000000" w:usb1="00000000" w:usb2="00000010" w:usb3="00000000" w:csb0="00040001" w:csb1="00000000"/>
  </w:font>
  <w:font w:name="AYJYLK+">
    <w:altName w:val="Arial"/>
    <w:panose1 w:val="00000000000000000000"/>
    <w:charset w:val="00"/>
    <w:family w:val="swiss"/>
    <w:pitch w:val="default"/>
    <w:sig w:usb0="00000000" w:usb1="00000000" w:usb2="00000000" w:usb3="00000000" w:csb0="00000001" w:csb1="00000000"/>
  </w:font>
  <w:font w:name="SimSun-Identity-H">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eastAsia="宋体"/>
        <w:u w:val="single"/>
        <w:lang w:eastAsia="zh-CN"/>
      </w:rPr>
    </w:pPr>
    <w:r>
      <w:rPr>
        <w:rFonts w:hint="eastAsia" w:eastAsia="宋体"/>
        <w:u w:val="single"/>
        <w:lang w:eastAsia="zh-CN"/>
      </w:rPr>
      <w:t>台州瑞腾工程管理有限公司</w:t>
    </w:r>
  </w:p>
  <w:p>
    <w:pPr>
      <w:pStyle w:val="1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339966" w:sz="12" w:space="0"/>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C94A8"/>
    <w:multiLevelType w:val="singleLevel"/>
    <w:tmpl w:val="935C94A8"/>
    <w:lvl w:ilvl="0" w:tentative="0">
      <w:start w:val="5"/>
      <w:numFmt w:val="chineseCounting"/>
      <w:suff w:val="space"/>
      <w:lvlText w:val="第%1部分"/>
      <w:lvlJc w:val="left"/>
      <w:pPr>
        <w:ind w:left="2807" w:leftChars="0" w:firstLine="0" w:firstLineChars="0"/>
      </w:pPr>
      <w:rPr>
        <w:rFonts w:hint="eastAsia"/>
      </w:rPr>
    </w:lvl>
  </w:abstractNum>
  <w:abstractNum w:abstractNumId="1">
    <w:nsid w:val="9EF1FBD9"/>
    <w:multiLevelType w:val="singleLevel"/>
    <w:tmpl w:val="9EF1FBD9"/>
    <w:lvl w:ilvl="0" w:tentative="0">
      <w:start w:val="1"/>
      <w:numFmt w:val="decimal"/>
      <w:suff w:val="nothing"/>
      <w:lvlText w:val="（%1）"/>
      <w:lvlJc w:val="left"/>
      <w:pPr>
        <w:ind w:left="-60"/>
      </w:pPr>
    </w:lvl>
  </w:abstractNum>
  <w:abstractNum w:abstractNumId="2">
    <w:nsid w:val="DD172818"/>
    <w:multiLevelType w:val="multilevel"/>
    <w:tmpl w:val="DD17281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E569491F"/>
    <w:multiLevelType w:val="multilevel"/>
    <w:tmpl w:val="E569491F"/>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C7B43CE"/>
    <w:multiLevelType w:val="singleLevel"/>
    <w:tmpl w:val="1C7B43CE"/>
    <w:lvl w:ilvl="0" w:tentative="0">
      <w:start w:val="3"/>
      <w:numFmt w:val="decimal"/>
      <w:suff w:val="nothing"/>
      <w:lvlText w:val="（%1）"/>
      <w:lvlJc w:val="left"/>
    </w:lvl>
  </w:abstractNum>
  <w:abstractNum w:abstractNumId="5">
    <w:nsid w:val="1C7C4CD4"/>
    <w:multiLevelType w:val="singleLevel"/>
    <w:tmpl w:val="1C7C4CD4"/>
    <w:lvl w:ilvl="0" w:tentative="0">
      <w:start w:val="9"/>
      <w:numFmt w:val="chineseCounting"/>
      <w:suff w:val="nothing"/>
      <w:lvlText w:val="%1、"/>
      <w:lvlJc w:val="left"/>
      <w:rPr>
        <w:rFonts w:hint="eastAsia"/>
      </w:rPr>
    </w:lvl>
  </w:abstractNum>
  <w:abstractNum w:abstractNumId="6">
    <w:nsid w:val="1F51FC32"/>
    <w:multiLevelType w:val="singleLevel"/>
    <w:tmpl w:val="1F51FC32"/>
    <w:lvl w:ilvl="0" w:tentative="0">
      <w:start w:val="5"/>
      <w:numFmt w:val="chineseCounting"/>
      <w:suff w:val="nothing"/>
      <w:lvlText w:val="%1、"/>
      <w:lvlJc w:val="left"/>
      <w:rPr>
        <w:rFonts w:hint="eastAsia"/>
      </w:rPr>
    </w:lvl>
  </w:abstractNum>
  <w:abstractNum w:abstractNumId="7">
    <w:nsid w:val="2A6D0720"/>
    <w:multiLevelType w:val="singleLevel"/>
    <w:tmpl w:val="2A6D0720"/>
    <w:lvl w:ilvl="0" w:tentative="0">
      <w:start w:val="1"/>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rPr>
        <w:rFonts w:cs="Times New Roman"/>
      </w:rPr>
    </w:lvl>
  </w:abstractNum>
  <w:abstractNum w:abstractNumId="9">
    <w:nsid w:val="557FD3DA"/>
    <w:multiLevelType w:val="singleLevel"/>
    <w:tmpl w:val="557FD3DA"/>
    <w:lvl w:ilvl="0" w:tentative="0">
      <w:start w:val="3"/>
      <w:numFmt w:val="chineseCounting"/>
      <w:suff w:val="nothing"/>
      <w:lvlText w:val="%1、"/>
      <w:lvlJc w:val="left"/>
      <w:rPr>
        <w:rFonts w:cs="Times New Roman"/>
      </w:rPr>
    </w:lvl>
  </w:abstractNum>
  <w:abstractNum w:abstractNumId="10">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2">
    <w:abstractNumId w:val="3"/>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3">
    <w:abstractNumId w:val="6"/>
  </w:num>
  <w:num w:numId="4">
    <w:abstractNumId w:val="7"/>
  </w:num>
  <w:num w:numId="5">
    <w:abstractNumId w:val="5"/>
  </w:num>
  <w:num w:numId="6">
    <w:abstractNumId w:val="10"/>
    <w:lvlOverride w:ilvl="0">
      <w:startOverride w:val="1"/>
    </w:lvlOverride>
  </w:num>
  <w:num w:numId="7">
    <w:abstractNumId w:val="4"/>
  </w:num>
  <w:num w:numId="8">
    <w:abstractNumId w:val="1"/>
  </w:num>
  <w:num w:numId="9">
    <w:abstractNumId w:val="0"/>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M2QyZmU3MGViMDNlMGIzOTdmZmZjMDRjY2U2OGYifQ=="/>
  </w:docVars>
  <w:rsids>
    <w:rsidRoot w:val="00172A27"/>
    <w:rsid w:val="00733E26"/>
    <w:rsid w:val="007944E6"/>
    <w:rsid w:val="009349B7"/>
    <w:rsid w:val="00A40483"/>
    <w:rsid w:val="00DD5525"/>
    <w:rsid w:val="01176EA7"/>
    <w:rsid w:val="012313A8"/>
    <w:rsid w:val="012D66CB"/>
    <w:rsid w:val="014E2B12"/>
    <w:rsid w:val="01631721"/>
    <w:rsid w:val="017C6D0A"/>
    <w:rsid w:val="019307F8"/>
    <w:rsid w:val="01974B71"/>
    <w:rsid w:val="01A20482"/>
    <w:rsid w:val="01B37510"/>
    <w:rsid w:val="01CA3F1A"/>
    <w:rsid w:val="01F10F4B"/>
    <w:rsid w:val="02071C2B"/>
    <w:rsid w:val="020F7B7E"/>
    <w:rsid w:val="02182ED7"/>
    <w:rsid w:val="02704AC1"/>
    <w:rsid w:val="02714395"/>
    <w:rsid w:val="02AB2CA5"/>
    <w:rsid w:val="030A45AF"/>
    <w:rsid w:val="03100F08"/>
    <w:rsid w:val="034003D5"/>
    <w:rsid w:val="03597340"/>
    <w:rsid w:val="03667C72"/>
    <w:rsid w:val="036A59B4"/>
    <w:rsid w:val="03EC0177"/>
    <w:rsid w:val="04681FB9"/>
    <w:rsid w:val="047955DF"/>
    <w:rsid w:val="047F5600"/>
    <w:rsid w:val="04A86794"/>
    <w:rsid w:val="04CE20AC"/>
    <w:rsid w:val="05080FE1"/>
    <w:rsid w:val="05113C74"/>
    <w:rsid w:val="05834B0B"/>
    <w:rsid w:val="05942874"/>
    <w:rsid w:val="059B7316"/>
    <w:rsid w:val="05ED2381"/>
    <w:rsid w:val="0604671C"/>
    <w:rsid w:val="06047D48"/>
    <w:rsid w:val="06344057"/>
    <w:rsid w:val="06532730"/>
    <w:rsid w:val="06753A59"/>
    <w:rsid w:val="068B011B"/>
    <w:rsid w:val="06C33202"/>
    <w:rsid w:val="075E4C2B"/>
    <w:rsid w:val="07693C97"/>
    <w:rsid w:val="07854B6B"/>
    <w:rsid w:val="079E5501"/>
    <w:rsid w:val="07AD1777"/>
    <w:rsid w:val="07B45E98"/>
    <w:rsid w:val="07B54E4F"/>
    <w:rsid w:val="07ED44BE"/>
    <w:rsid w:val="07FE2B6F"/>
    <w:rsid w:val="081541D2"/>
    <w:rsid w:val="08455DB5"/>
    <w:rsid w:val="08534425"/>
    <w:rsid w:val="08601134"/>
    <w:rsid w:val="08A3464E"/>
    <w:rsid w:val="08A47272"/>
    <w:rsid w:val="08DB2EDC"/>
    <w:rsid w:val="08E21F8A"/>
    <w:rsid w:val="08F744CD"/>
    <w:rsid w:val="092F3E02"/>
    <w:rsid w:val="0935611C"/>
    <w:rsid w:val="093D1475"/>
    <w:rsid w:val="09772C97"/>
    <w:rsid w:val="09886B94"/>
    <w:rsid w:val="099472E7"/>
    <w:rsid w:val="09BA43E2"/>
    <w:rsid w:val="09C31987"/>
    <w:rsid w:val="09E43353"/>
    <w:rsid w:val="0ABB4D47"/>
    <w:rsid w:val="0ACE4A7B"/>
    <w:rsid w:val="0B304245"/>
    <w:rsid w:val="0B372E7E"/>
    <w:rsid w:val="0B583635"/>
    <w:rsid w:val="0BFC505D"/>
    <w:rsid w:val="0C9C4A94"/>
    <w:rsid w:val="0CD81BE1"/>
    <w:rsid w:val="0CEF5FF2"/>
    <w:rsid w:val="0D8B0A01"/>
    <w:rsid w:val="0E461019"/>
    <w:rsid w:val="0E492053"/>
    <w:rsid w:val="0EC0292C"/>
    <w:rsid w:val="0F88614D"/>
    <w:rsid w:val="0FB6788B"/>
    <w:rsid w:val="0FC24482"/>
    <w:rsid w:val="0FCE087C"/>
    <w:rsid w:val="0FD3668F"/>
    <w:rsid w:val="0FFB5583"/>
    <w:rsid w:val="10036F74"/>
    <w:rsid w:val="100D715A"/>
    <w:rsid w:val="105070ED"/>
    <w:rsid w:val="105E064F"/>
    <w:rsid w:val="10671757"/>
    <w:rsid w:val="109617D9"/>
    <w:rsid w:val="11401B02"/>
    <w:rsid w:val="116457F1"/>
    <w:rsid w:val="11E2683B"/>
    <w:rsid w:val="11F4113A"/>
    <w:rsid w:val="11F4478F"/>
    <w:rsid w:val="122F55A5"/>
    <w:rsid w:val="123815EE"/>
    <w:rsid w:val="128860FD"/>
    <w:rsid w:val="12D23E0C"/>
    <w:rsid w:val="131A3B73"/>
    <w:rsid w:val="132E5F05"/>
    <w:rsid w:val="134347E7"/>
    <w:rsid w:val="137B32C6"/>
    <w:rsid w:val="139148C8"/>
    <w:rsid w:val="13954387"/>
    <w:rsid w:val="13AB567E"/>
    <w:rsid w:val="13CE5AEB"/>
    <w:rsid w:val="14125491"/>
    <w:rsid w:val="14172FEE"/>
    <w:rsid w:val="142E4A09"/>
    <w:rsid w:val="143E77CB"/>
    <w:rsid w:val="144027CD"/>
    <w:rsid w:val="14CA2F5A"/>
    <w:rsid w:val="14F050B9"/>
    <w:rsid w:val="15346F7A"/>
    <w:rsid w:val="155B65CD"/>
    <w:rsid w:val="156F1EFC"/>
    <w:rsid w:val="159B19FD"/>
    <w:rsid w:val="15AE7FD9"/>
    <w:rsid w:val="15E433A4"/>
    <w:rsid w:val="15EB20BF"/>
    <w:rsid w:val="161522C0"/>
    <w:rsid w:val="162214C3"/>
    <w:rsid w:val="163767FA"/>
    <w:rsid w:val="163B4A6C"/>
    <w:rsid w:val="16C04CC9"/>
    <w:rsid w:val="16E80C72"/>
    <w:rsid w:val="16F47617"/>
    <w:rsid w:val="171F5C5B"/>
    <w:rsid w:val="174723BE"/>
    <w:rsid w:val="176D70D9"/>
    <w:rsid w:val="17832749"/>
    <w:rsid w:val="17EB6C6C"/>
    <w:rsid w:val="17F13B56"/>
    <w:rsid w:val="18B42823"/>
    <w:rsid w:val="18EF014F"/>
    <w:rsid w:val="19031D93"/>
    <w:rsid w:val="190B50EC"/>
    <w:rsid w:val="191F46F3"/>
    <w:rsid w:val="19401195"/>
    <w:rsid w:val="195E6FCA"/>
    <w:rsid w:val="19712658"/>
    <w:rsid w:val="1A3A17E5"/>
    <w:rsid w:val="1A497C7A"/>
    <w:rsid w:val="1A9B379E"/>
    <w:rsid w:val="1AC44158"/>
    <w:rsid w:val="1ADB4120"/>
    <w:rsid w:val="1B1C538E"/>
    <w:rsid w:val="1B4262CA"/>
    <w:rsid w:val="1B4810A6"/>
    <w:rsid w:val="1B862808"/>
    <w:rsid w:val="1B8767BD"/>
    <w:rsid w:val="1BB03C7D"/>
    <w:rsid w:val="1BB748E9"/>
    <w:rsid w:val="1BC31CAE"/>
    <w:rsid w:val="1C4C1CA3"/>
    <w:rsid w:val="1C8E7457"/>
    <w:rsid w:val="1CB02232"/>
    <w:rsid w:val="1CE0113E"/>
    <w:rsid w:val="1CFA16FF"/>
    <w:rsid w:val="1D047CC2"/>
    <w:rsid w:val="1D2C084C"/>
    <w:rsid w:val="1D6F1AEC"/>
    <w:rsid w:val="1D7356D8"/>
    <w:rsid w:val="1D850ACF"/>
    <w:rsid w:val="1DC51D0D"/>
    <w:rsid w:val="1DCF78BB"/>
    <w:rsid w:val="1DD261D8"/>
    <w:rsid w:val="1DDF4451"/>
    <w:rsid w:val="1DEA3522"/>
    <w:rsid w:val="1E116D00"/>
    <w:rsid w:val="1E127DF8"/>
    <w:rsid w:val="1E2E76AC"/>
    <w:rsid w:val="1EC65D3D"/>
    <w:rsid w:val="1ECC40A2"/>
    <w:rsid w:val="1ECF5AA7"/>
    <w:rsid w:val="1F13790C"/>
    <w:rsid w:val="1F6C5F0D"/>
    <w:rsid w:val="1F7C289F"/>
    <w:rsid w:val="1F881408"/>
    <w:rsid w:val="1F9279CD"/>
    <w:rsid w:val="1FA12306"/>
    <w:rsid w:val="1FC802F1"/>
    <w:rsid w:val="1FC80FBA"/>
    <w:rsid w:val="1FD245EA"/>
    <w:rsid w:val="202820DF"/>
    <w:rsid w:val="206D71B2"/>
    <w:rsid w:val="21260D15"/>
    <w:rsid w:val="214C2DAB"/>
    <w:rsid w:val="21582E98"/>
    <w:rsid w:val="21B63E98"/>
    <w:rsid w:val="21D43BB2"/>
    <w:rsid w:val="21FF70E4"/>
    <w:rsid w:val="224C6559"/>
    <w:rsid w:val="225C61C8"/>
    <w:rsid w:val="227B0906"/>
    <w:rsid w:val="2394794F"/>
    <w:rsid w:val="239D1C68"/>
    <w:rsid w:val="23E206DE"/>
    <w:rsid w:val="23E3514C"/>
    <w:rsid w:val="23EA4F23"/>
    <w:rsid w:val="23FB0C02"/>
    <w:rsid w:val="241E038C"/>
    <w:rsid w:val="24590C19"/>
    <w:rsid w:val="24672932"/>
    <w:rsid w:val="249917FE"/>
    <w:rsid w:val="25433BD1"/>
    <w:rsid w:val="256C0530"/>
    <w:rsid w:val="25B451DA"/>
    <w:rsid w:val="25D02FFD"/>
    <w:rsid w:val="264A07E2"/>
    <w:rsid w:val="2653327B"/>
    <w:rsid w:val="26672A31"/>
    <w:rsid w:val="26812F3F"/>
    <w:rsid w:val="26C2328E"/>
    <w:rsid w:val="26DB3502"/>
    <w:rsid w:val="26F16A89"/>
    <w:rsid w:val="2705317A"/>
    <w:rsid w:val="27732456"/>
    <w:rsid w:val="2774085F"/>
    <w:rsid w:val="279B0575"/>
    <w:rsid w:val="27BB1438"/>
    <w:rsid w:val="282E3E11"/>
    <w:rsid w:val="287D7F87"/>
    <w:rsid w:val="29226266"/>
    <w:rsid w:val="293A48C5"/>
    <w:rsid w:val="296879B2"/>
    <w:rsid w:val="29A23F11"/>
    <w:rsid w:val="29B66195"/>
    <w:rsid w:val="29F44D7C"/>
    <w:rsid w:val="2A023B41"/>
    <w:rsid w:val="2A036237"/>
    <w:rsid w:val="2AA026CA"/>
    <w:rsid w:val="2AC82E3D"/>
    <w:rsid w:val="2B28344D"/>
    <w:rsid w:val="2B493EEB"/>
    <w:rsid w:val="2B831EC5"/>
    <w:rsid w:val="2BDC3649"/>
    <w:rsid w:val="2C027583"/>
    <w:rsid w:val="2C651043"/>
    <w:rsid w:val="2C683D92"/>
    <w:rsid w:val="2C7147E5"/>
    <w:rsid w:val="2C9A6113"/>
    <w:rsid w:val="2CA376BD"/>
    <w:rsid w:val="2CB4112A"/>
    <w:rsid w:val="2CB70A4F"/>
    <w:rsid w:val="2CBB48E3"/>
    <w:rsid w:val="2CDC0671"/>
    <w:rsid w:val="2D51314E"/>
    <w:rsid w:val="2D772C9F"/>
    <w:rsid w:val="2DAD1E76"/>
    <w:rsid w:val="2DC01A0A"/>
    <w:rsid w:val="2DED3EDA"/>
    <w:rsid w:val="2DF21472"/>
    <w:rsid w:val="2E053C30"/>
    <w:rsid w:val="2E3A783F"/>
    <w:rsid w:val="2E474078"/>
    <w:rsid w:val="2E4C207C"/>
    <w:rsid w:val="2E5A4EE1"/>
    <w:rsid w:val="2E7C0C98"/>
    <w:rsid w:val="2E813A2E"/>
    <w:rsid w:val="2F2A48B6"/>
    <w:rsid w:val="2F5E78CC"/>
    <w:rsid w:val="2FA75BCE"/>
    <w:rsid w:val="2FBC0CDA"/>
    <w:rsid w:val="2FF879CE"/>
    <w:rsid w:val="300317B5"/>
    <w:rsid w:val="30077F63"/>
    <w:rsid w:val="302C5C1C"/>
    <w:rsid w:val="304F147C"/>
    <w:rsid w:val="30556F21"/>
    <w:rsid w:val="309335A5"/>
    <w:rsid w:val="31050ACB"/>
    <w:rsid w:val="31422566"/>
    <w:rsid w:val="314A61B8"/>
    <w:rsid w:val="314E2ED5"/>
    <w:rsid w:val="31582A8E"/>
    <w:rsid w:val="31BD07DA"/>
    <w:rsid w:val="31C51E2E"/>
    <w:rsid w:val="3200779C"/>
    <w:rsid w:val="32324DF0"/>
    <w:rsid w:val="328E6C09"/>
    <w:rsid w:val="32A36C20"/>
    <w:rsid w:val="32CC2D9E"/>
    <w:rsid w:val="32DB2990"/>
    <w:rsid w:val="333554DB"/>
    <w:rsid w:val="335B41DB"/>
    <w:rsid w:val="33744042"/>
    <w:rsid w:val="338B7ECF"/>
    <w:rsid w:val="33CA19D4"/>
    <w:rsid w:val="33F54E5A"/>
    <w:rsid w:val="34993154"/>
    <w:rsid w:val="34C14C6E"/>
    <w:rsid w:val="34F0546A"/>
    <w:rsid w:val="34F565DC"/>
    <w:rsid w:val="35002630"/>
    <w:rsid w:val="350E01C9"/>
    <w:rsid w:val="35362D56"/>
    <w:rsid w:val="3538296D"/>
    <w:rsid w:val="357419C0"/>
    <w:rsid w:val="35815FDC"/>
    <w:rsid w:val="35847960"/>
    <w:rsid w:val="35DE3514"/>
    <w:rsid w:val="35F5085E"/>
    <w:rsid w:val="36056AAB"/>
    <w:rsid w:val="36122CF7"/>
    <w:rsid w:val="362D7AA7"/>
    <w:rsid w:val="366A0CBE"/>
    <w:rsid w:val="366F0610"/>
    <w:rsid w:val="369029E5"/>
    <w:rsid w:val="36CC15BF"/>
    <w:rsid w:val="36F90F52"/>
    <w:rsid w:val="37031BBD"/>
    <w:rsid w:val="3716694A"/>
    <w:rsid w:val="371F767A"/>
    <w:rsid w:val="37385818"/>
    <w:rsid w:val="377D6D5D"/>
    <w:rsid w:val="3782477D"/>
    <w:rsid w:val="3813788B"/>
    <w:rsid w:val="382F421B"/>
    <w:rsid w:val="386761EB"/>
    <w:rsid w:val="39033E4D"/>
    <w:rsid w:val="3911775D"/>
    <w:rsid w:val="391A04E2"/>
    <w:rsid w:val="39553BA9"/>
    <w:rsid w:val="39686A85"/>
    <w:rsid w:val="396D5E5B"/>
    <w:rsid w:val="398805DD"/>
    <w:rsid w:val="39A9504D"/>
    <w:rsid w:val="39BE0A85"/>
    <w:rsid w:val="39C2243E"/>
    <w:rsid w:val="39D022CF"/>
    <w:rsid w:val="39ED0A25"/>
    <w:rsid w:val="3A133241"/>
    <w:rsid w:val="3A2C0A5F"/>
    <w:rsid w:val="3A6B22E9"/>
    <w:rsid w:val="3ADF3E50"/>
    <w:rsid w:val="3B123310"/>
    <w:rsid w:val="3B762441"/>
    <w:rsid w:val="3B7F4E52"/>
    <w:rsid w:val="3B9D29A9"/>
    <w:rsid w:val="3C2C24F3"/>
    <w:rsid w:val="3C3473CD"/>
    <w:rsid w:val="3C6A09EC"/>
    <w:rsid w:val="3CC01353"/>
    <w:rsid w:val="3CC1149A"/>
    <w:rsid w:val="3CEB19F3"/>
    <w:rsid w:val="3D023C2E"/>
    <w:rsid w:val="3D4F6AA6"/>
    <w:rsid w:val="3D5F318D"/>
    <w:rsid w:val="3DBA03C3"/>
    <w:rsid w:val="3DC2102F"/>
    <w:rsid w:val="3DD11929"/>
    <w:rsid w:val="3DE26608"/>
    <w:rsid w:val="3E0E4BB3"/>
    <w:rsid w:val="3E1E3F4F"/>
    <w:rsid w:val="3E56348B"/>
    <w:rsid w:val="3E693B97"/>
    <w:rsid w:val="3E79182A"/>
    <w:rsid w:val="3EAC495E"/>
    <w:rsid w:val="3ECF60F0"/>
    <w:rsid w:val="3EDC6F0D"/>
    <w:rsid w:val="3F1021BD"/>
    <w:rsid w:val="3F4B064E"/>
    <w:rsid w:val="3F6B653E"/>
    <w:rsid w:val="3F8A496B"/>
    <w:rsid w:val="3FFB2F15"/>
    <w:rsid w:val="401D07D4"/>
    <w:rsid w:val="40387CC5"/>
    <w:rsid w:val="40464190"/>
    <w:rsid w:val="405034BF"/>
    <w:rsid w:val="40796085"/>
    <w:rsid w:val="40A16C21"/>
    <w:rsid w:val="40E02836"/>
    <w:rsid w:val="410D2C27"/>
    <w:rsid w:val="411E510D"/>
    <w:rsid w:val="413468FB"/>
    <w:rsid w:val="41432DC5"/>
    <w:rsid w:val="41831C27"/>
    <w:rsid w:val="41A00A5C"/>
    <w:rsid w:val="41DE664A"/>
    <w:rsid w:val="426B3B02"/>
    <w:rsid w:val="42802F9E"/>
    <w:rsid w:val="42B31885"/>
    <w:rsid w:val="42DE16F8"/>
    <w:rsid w:val="43217136"/>
    <w:rsid w:val="432405C3"/>
    <w:rsid w:val="43352D46"/>
    <w:rsid w:val="446E6091"/>
    <w:rsid w:val="44D53400"/>
    <w:rsid w:val="44ED3F8B"/>
    <w:rsid w:val="451220D5"/>
    <w:rsid w:val="45334044"/>
    <w:rsid w:val="4561381A"/>
    <w:rsid w:val="45915881"/>
    <w:rsid w:val="45A46568"/>
    <w:rsid w:val="45B253F4"/>
    <w:rsid w:val="45C3727B"/>
    <w:rsid w:val="46336F9C"/>
    <w:rsid w:val="468E35AC"/>
    <w:rsid w:val="469C1DF3"/>
    <w:rsid w:val="46A22098"/>
    <w:rsid w:val="46AE3650"/>
    <w:rsid w:val="46B465B4"/>
    <w:rsid w:val="46C3483E"/>
    <w:rsid w:val="46FC543C"/>
    <w:rsid w:val="4735354C"/>
    <w:rsid w:val="47B37F9B"/>
    <w:rsid w:val="47B70889"/>
    <w:rsid w:val="48010421"/>
    <w:rsid w:val="480908C5"/>
    <w:rsid w:val="480C568B"/>
    <w:rsid w:val="481D4AC2"/>
    <w:rsid w:val="482A1636"/>
    <w:rsid w:val="48E21116"/>
    <w:rsid w:val="48EA3B26"/>
    <w:rsid w:val="49221512"/>
    <w:rsid w:val="494260A8"/>
    <w:rsid w:val="49746212"/>
    <w:rsid w:val="498875C7"/>
    <w:rsid w:val="499448E1"/>
    <w:rsid w:val="49964379"/>
    <w:rsid w:val="49A032B4"/>
    <w:rsid w:val="49A14300"/>
    <w:rsid w:val="4A1A0C7A"/>
    <w:rsid w:val="4A1C3938"/>
    <w:rsid w:val="4A2117CA"/>
    <w:rsid w:val="4A295307"/>
    <w:rsid w:val="4A4D25BF"/>
    <w:rsid w:val="4A562F7B"/>
    <w:rsid w:val="4A895CED"/>
    <w:rsid w:val="4ADE1912"/>
    <w:rsid w:val="4AEC1DD8"/>
    <w:rsid w:val="4AF61082"/>
    <w:rsid w:val="4B0A78E0"/>
    <w:rsid w:val="4B413ED2"/>
    <w:rsid w:val="4B4B2FA2"/>
    <w:rsid w:val="4BF03B4A"/>
    <w:rsid w:val="4C0F2222"/>
    <w:rsid w:val="4C484A70"/>
    <w:rsid w:val="4C76404F"/>
    <w:rsid w:val="4C9439F9"/>
    <w:rsid w:val="4CAC2C25"/>
    <w:rsid w:val="4CD21630"/>
    <w:rsid w:val="4CE55C2F"/>
    <w:rsid w:val="4CFD207A"/>
    <w:rsid w:val="4D873EBB"/>
    <w:rsid w:val="4DB72B71"/>
    <w:rsid w:val="4DEE715F"/>
    <w:rsid w:val="4DEF7664"/>
    <w:rsid w:val="4E19336F"/>
    <w:rsid w:val="4E2052B7"/>
    <w:rsid w:val="4E221BB7"/>
    <w:rsid w:val="4E6C6A45"/>
    <w:rsid w:val="4E7945CC"/>
    <w:rsid w:val="4E7E71EB"/>
    <w:rsid w:val="4EE417ED"/>
    <w:rsid w:val="4EE67C1A"/>
    <w:rsid w:val="4F0F4FF0"/>
    <w:rsid w:val="4F360812"/>
    <w:rsid w:val="4F3B332E"/>
    <w:rsid w:val="4F587A3C"/>
    <w:rsid w:val="4FA7451F"/>
    <w:rsid w:val="4FC41575"/>
    <w:rsid w:val="500A342C"/>
    <w:rsid w:val="508A42D8"/>
    <w:rsid w:val="509D0C89"/>
    <w:rsid w:val="50F33A6E"/>
    <w:rsid w:val="5155776B"/>
    <w:rsid w:val="51B5748E"/>
    <w:rsid w:val="51B740FC"/>
    <w:rsid w:val="51EC6467"/>
    <w:rsid w:val="522824AD"/>
    <w:rsid w:val="52437418"/>
    <w:rsid w:val="52B36E8D"/>
    <w:rsid w:val="52E066A2"/>
    <w:rsid w:val="530A729F"/>
    <w:rsid w:val="530B0116"/>
    <w:rsid w:val="532760A3"/>
    <w:rsid w:val="532C190B"/>
    <w:rsid w:val="53884282"/>
    <w:rsid w:val="539D280D"/>
    <w:rsid w:val="53B45BDE"/>
    <w:rsid w:val="53FF2A29"/>
    <w:rsid w:val="5429053C"/>
    <w:rsid w:val="5435659E"/>
    <w:rsid w:val="54482775"/>
    <w:rsid w:val="54556FA0"/>
    <w:rsid w:val="546C6344"/>
    <w:rsid w:val="54CD4A28"/>
    <w:rsid w:val="54E96D80"/>
    <w:rsid w:val="55250B98"/>
    <w:rsid w:val="55374AFD"/>
    <w:rsid w:val="555301CE"/>
    <w:rsid w:val="55850194"/>
    <w:rsid w:val="55D54B09"/>
    <w:rsid w:val="56371C22"/>
    <w:rsid w:val="5639439B"/>
    <w:rsid w:val="564B654C"/>
    <w:rsid w:val="56746522"/>
    <w:rsid w:val="56965119"/>
    <w:rsid w:val="56F546FF"/>
    <w:rsid w:val="5753390A"/>
    <w:rsid w:val="57713D91"/>
    <w:rsid w:val="57961A49"/>
    <w:rsid w:val="57D367F9"/>
    <w:rsid w:val="57DB3900"/>
    <w:rsid w:val="57E131DD"/>
    <w:rsid w:val="583849DE"/>
    <w:rsid w:val="58940E34"/>
    <w:rsid w:val="58A43CF2"/>
    <w:rsid w:val="59021179"/>
    <w:rsid w:val="59291924"/>
    <w:rsid w:val="5963251C"/>
    <w:rsid w:val="59F1329E"/>
    <w:rsid w:val="5A057B46"/>
    <w:rsid w:val="5A0D2948"/>
    <w:rsid w:val="5A0D7EFE"/>
    <w:rsid w:val="5A19426B"/>
    <w:rsid w:val="5ABB5F98"/>
    <w:rsid w:val="5AD53D45"/>
    <w:rsid w:val="5AD563E4"/>
    <w:rsid w:val="5AF3365C"/>
    <w:rsid w:val="5B074E2B"/>
    <w:rsid w:val="5B4C11A1"/>
    <w:rsid w:val="5B527A35"/>
    <w:rsid w:val="5B7D2D1C"/>
    <w:rsid w:val="5C130339"/>
    <w:rsid w:val="5C3D6937"/>
    <w:rsid w:val="5C7817E5"/>
    <w:rsid w:val="5CB5471F"/>
    <w:rsid w:val="5CC62510"/>
    <w:rsid w:val="5DDA2782"/>
    <w:rsid w:val="5DF20170"/>
    <w:rsid w:val="5E1E2982"/>
    <w:rsid w:val="5E6019ED"/>
    <w:rsid w:val="5E93343E"/>
    <w:rsid w:val="5F317755"/>
    <w:rsid w:val="5F386D52"/>
    <w:rsid w:val="5F926A29"/>
    <w:rsid w:val="5FA8056B"/>
    <w:rsid w:val="5FF946E6"/>
    <w:rsid w:val="600339F4"/>
    <w:rsid w:val="602006BF"/>
    <w:rsid w:val="603D5158"/>
    <w:rsid w:val="606C1599"/>
    <w:rsid w:val="60875C72"/>
    <w:rsid w:val="60AE3960"/>
    <w:rsid w:val="60C43183"/>
    <w:rsid w:val="60D263B9"/>
    <w:rsid w:val="60F8107F"/>
    <w:rsid w:val="61051AE2"/>
    <w:rsid w:val="6146003C"/>
    <w:rsid w:val="61555778"/>
    <w:rsid w:val="618013DD"/>
    <w:rsid w:val="61FE33DC"/>
    <w:rsid w:val="62513D75"/>
    <w:rsid w:val="627860AA"/>
    <w:rsid w:val="627A6CB0"/>
    <w:rsid w:val="62A80882"/>
    <w:rsid w:val="63132977"/>
    <w:rsid w:val="63696EF0"/>
    <w:rsid w:val="63B1367A"/>
    <w:rsid w:val="63D00B3E"/>
    <w:rsid w:val="63F3076B"/>
    <w:rsid w:val="64077F3F"/>
    <w:rsid w:val="641B13C6"/>
    <w:rsid w:val="641F13B8"/>
    <w:rsid w:val="642377E2"/>
    <w:rsid w:val="646B5B7C"/>
    <w:rsid w:val="649522CA"/>
    <w:rsid w:val="64D94D23"/>
    <w:rsid w:val="64F90D4B"/>
    <w:rsid w:val="65003694"/>
    <w:rsid w:val="655A58A0"/>
    <w:rsid w:val="6567317D"/>
    <w:rsid w:val="659D0E9B"/>
    <w:rsid w:val="65DE3B6B"/>
    <w:rsid w:val="65E01AD1"/>
    <w:rsid w:val="65E73470"/>
    <w:rsid w:val="663C7C5F"/>
    <w:rsid w:val="66914E24"/>
    <w:rsid w:val="66A90A17"/>
    <w:rsid w:val="66D63C10"/>
    <w:rsid w:val="6731630F"/>
    <w:rsid w:val="674566A0"/>
    <w:rsid w:val="67825B46"/>
    <w:rsid w:val="6796514D"/>
    <w:rsid w:val="67D6379C"/>
    <w:rsid w:val="67EE0AE5"/>
    <w:rsid w:val="68295169"/>
    <w:rsid w:val="683C1A5E"/>
    <w:rsid w:val="68E420C8"/>
    <w:rsid w:val="68EA27AA"/>
    <w:rsid w:val="69083E29"/>
    <w:rsid w:val="693C4753"/>
    <w:rsid w:val="695C22B9"/>
    <w:rsid w:val="69A43153"/>
    <w:rsid w:val="69A9560C"/>
    <w:rsid w:val="69E9153A"/>
    <w:rsid w:val="69E974C0"/>
    <w:rsid w:val="69F43372"/>
    <w:rsid w:val="6A657BAB"/>
    <w:rsid w:val="6A812CE1"/>
    <w:rsid w:val="6AAD6A36"/>
    <w:rsid w:val="6ABB0202"/>
    <w:rsid w:val="6AD72615"/>
    <w:rsid w:val="6AE37DCC"/>
    <w:rsid w:val="6AEB57B0"/>
    <w:rsid w:val="6B2F7D93"/>
    <w:rsid w:val="6B601BD5"/>
    <w:rsid w:val="6B6C68F1"/>
    <w:rsid w:val="6B6E41E6"/>
    <w:rsid w:val="6BD463A8"/>
    <w:rsid w:val="6BE40B7D"/>
    <w:rsid w:val="6BF55889"/>
    <w:rsid w:val="6C295B28"/>
    <w:rsid w:val="6C2B62E7"/>
    <w:rsid w:val="6C3B62C3"/>
    <w:rsid w:val="6C81461E"/>
    <w:rsid w:val="6CB73B9C"/>
    <w:rsid w:val="6CDA2D94"/>
    <w:rsid w:val="6CDB4F5F"/>
    <w:rsid w:val="6CE93F71"/>
    <w:rsid w:val="6CEF7F24"/>
    <w:rsid w:val="6D0A1917"/>
    <w:rsid w:val="6D0D4104"/>
    <w:rsid w:val="6D6261FE"/>
    <w:rsid w:val="6DD86E11"/>
    <w:rsid w:val="6DE33ED9"/>
    <w:rsid w:val="6DF606F4"/>
    <w:rsid w:val="6DFA6436"/>
    <w:rsid w:val="6E0E2D85"/>
    <w:rsid w:val="6E1D2124"/>
    <w:rsid w:val="6E380AD7"/>
    <w:rsid w:val="6E6B74F4"/>
    <w:rsid w:val="6E775CD9"/>
    <w:rsid w:val="6E7862F5"/>
    <w:rsid w:val="6E810905"/>
    <w:rsid w:val="6E8C0157"/>
    <w:rsid w:val="6EA56D16"/>
    <w:rsid w:val="6F1E7738"/>
    <w:rsid w:val="6F481423"/>
    <w:rsid w:val="6F5C285E"/>
    <w:rsid w:val="6F8F5C84"/>
    <w:rsid w:val="6FA24545"/>
    <w:rsid w:val="6FBD7AD9"/>
    <w:rsid w:val="6FE2478A"/>
    <w:rsid w:val="701B08E6"/>
    <w:rsid w:val="703033F7"/>
    <w:rsid w:val="703A4C3B"/>
    <w:rsid w:val="70506D0C"/>
    <w:rsid w:val="70A74C89"/>
    <w:rsid w:val="70AC235E"/>
    <w:rsid w:val="70D0428E"/>
    <w:rsid w:val="71076F57"/>
    <w:rsid w:val="710B582B"/>
    <w:rsid w:val="71320F23"/>
    <w:rsid w:val="71B63CB0"/>
    <w:rsid w:val="720F6228"/>
    <w:rsid w:val="7260347D"/>
    <w:rsid w:val="728E7EE3"/>
    <w:rsid w:val="72A36844"/>
    <w:rsid w:val="72B52388"/>
    <w:rsid w:val="72BF1536"/>
    <w:rsid w:val="73134B97"/>
    <w:rsid w:val="732D6CD9"/>
    <w:rsid w:val="7368497B"/>
    <w:rsid w:val="738826D9"/>
    <w:rsid w:val="738844E4"/>
    <w:rsid w:val="73AC78C7"/>
    <w:rsid w:val="73D6436E"/>
    <w:rsid w:val="73E61E94"/>
    <w:rsid w:val="743C5116"/>
    <w:rsid w:val="74B14D5A"/>
    <w:rsid w:val="74DF2758"/>
    <w:rsid w:val="74FF07D6"/>
    <w:rsid w:val="75A538D4"/>
    <w:rsid w:val="76226A73"/>
    <w:rsid w:val="764010A6"/>
    <w:rsid w:val="76592168"/>
    <w:rsid w:val="76AB0072"/>
    <w:rsid w:val="770001C0"/>
    <w:rsid w:val="771C10D4"/>
    <w:rsid w:val="77234719"/>
    <w:rsid w:val="77534E09"/>
    <w:rsid w:val="775F730A"/>
    <w:rsid w:val="77614BCA"/>
    <w:rsid w:val="77A94A29"/>
    <w:rsid w:val="77AB6C5B"/>
    <w:rsid w:val="77DC3D43"/>
    <w:rsid w:val="77E43CB3"/>
    <w:rsid w:val="77E96525"/>
    <w:rsid w:val="781520BE"/>
    <w:rsid w:val="78267E28"/>
    <w:rsid w:val="783C3AEF"/>
    <w:rsid w:val="78544995"/>
    <w:rsid w:val="786646C8"/>
    <w:rsid w:val="787E60A1"/>
    <w:rsid w:val="788460F7"/>
    <w:rsid w:val="78AC2A23"/>
    <w:rsid w:val="79130305"/>
    <w:rsid w:val="7AA03EC1"/>
    <w:rsid w:val="7AEB19DA"/>
    <w:rsid w:val="7BE6624C"/>
    <w:rsid w:val="7C0F2203"/>
    <w:rsid w:val="7C6931EA"/>
    <w:rsid w:val="7C694412"/>
    <w:rsid w:val="7CA00A65"/>
    <w:rsid w:val="7D1C352D"/>
    <w:rsid w:val="7D1E5C80"/>
    <w:rsid w:val="7D2232B3"/>
    <w:rsid w:val="7D5D078F"/>
    <w:rsid w:val="7D6815B2"/>
    <w:rsid w:val="7DA168CE"/>
    <w:rsid w:val="7DD358E3"/>
    <w:rsid w:val="7DD6561D"/>
    <w:rsid w:val="7E3A63DB"/>
    <w:rsid w:val="7E757901"/>
    <w:rsid w:val="7ECD47E1"/>
    <w:rsid w:val="7EFB0260"/>
    <w:rsid w:val="7F032C71"/>
    <w:rsid w:val="7F1C5161"/>
    <w:rsid w:val="7F2D2B0A"/>
    <w:rsid w:val="7F4C0275"/>
    <w:rsid w:val="7F7A3A66"/>
    <w:rsid w:val="7F94531A"/>
    <w:rsid w:val="7F996430"/>
    <w:rsid w:val="7FCA378E"/>
    <w:rsid w:val="7FCF70FE"/>
    <w:rsid w:val="7FD2342D"/>
    <w:rsid w:val="7FF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Calibri" w:cs="Times New Roman"/>
      <w:kern w:val="2"/>
      <w:sz w:val="36"/>
      <w:szCs w:val="24"/>
      <w:lang w:val="en-US" w:eastAsia="zh-CN" w:bidi="ar-SA"/>
    </w:rPr>
  </w:style>
  <w:style w:type="paragraph" w:styleId="3">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6">
    <w:name w:val="Default Paragraph Font"/>
    <w:link w:val="27"/>
    <w:autoRedefine/>
    <w:semiHidden/>
    <w:qFormat/>
    <w:uiPriority w:val="0"/>
    <w:rPr>
      <w:rFonts w:ascii="Verdana" w:hAnsi="Verdana" w:eastAsia="楷体_GB2312"/>
      <w:b/>
      <w:i/>
      <w:iCs/>
      <w:color w:val="000000"/>
      <w:kern w:val="0"/>
      <w:sz w:val="20"/>
      <w:szCs w:val="20"/>
      <w:lang w:eastAsia="en-US"/>
    </w:rPr>
  </w:style>
  <w:style w:type="table" w:default="1" w:styleId="2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next w:val="1"/>
    <w:autoRedefine/>
    <w:qFormat/>
    <w:uiPriority w:val="0"/>
    <w:rPr>
      <w:rFonts w:ascii="宋体" w:hAnsi="Courier New"/>
      <w:sz w:val="21"/>
      <w:szCs w:val="20"/>
    </w:rPr>
  </w:style>
  <w:style w:type="paragraph" w:styleId="6">
    <w:name w:val="Normal Indent"/>
    <w:basedOn w:val="1"/>
    <w:autoRedefine/>
    <w:qFormat/>
    <w:uiPriority w:val="0"/>
    <w:pPr>
      <w:ind w:firstLine="420"/>
    </w:pPr>
    <w:rPr>
      <w:sz w:val="21"/>
      <w:szCs w:val="20"/>
    </w:rPr>
  </w:style>
  <w:style w:type="paragraph" w:styleId="7">
    <w:name w:val="Body Text 3"/>
    <w:basedOn w:val="1"/>
    <w:autoRedefine/>
    <w:qFormat/>
    <w:uiPriority w:val="0"/>
    <w:pPr>
      <w:spacing w:after="120"/>
    </w:pPr>
    <w:rPr>
      <w:sz w:val="16"/>
      <w:szCs w:val="16"/>
    </w:rPr>
  </w:style>
  <w:style w:type="paragraph" w:styleId="8">
    <w:name w:val="Body Text"/>
    <w:basedOn w:val="1"/>
    <w:autoRedefine/>
    <w:qFormat/>
    <w:uiPriority w:val="0"/>
    <w:pPr>
      <w:spacing w:after="120" w:afterLines="0"/>
    </w:pPr>
    <w:rPr>
      <w:rFonts w:ascii="Calibri" w:hAnsi="Calibri"/>
      <w:sz w:val="21"/>
      <w:szCs w:val="22"/>
    </w:rPr>
  </w:style>
  <w:style w:type="paragraph" w:styleId="9">
    <w:name w:val="Body Text Indent"/>
    <w:basedOn w:val="1"/>
    <w:next w:val="1"/>
    <w:autoRedefine/>
    <w:qFormat/>
    <w:uiPriority w:val="0"/>
    <w:pPr>
      <w:adjustRightInd w:val="0"/>
      <w:spacing w:line="500" w:lineRule="atLeast"/>
      <w:ind w:firstLine="210"/>
      <w:textAlignment w:val="baseline"/>
    </w:pPr>
    <w:rPr>
      <w:rFonts w:ascii="仿宋_GB2312" w:eastAsia="仿宋_GB2312"/>
      <w:kern w:val="0"/>
      <w:sz w:val="24"/>
      <w:szCs w:val="20"/>
    </w:rPr>
  </w:style>
  <w:style w:type="paragraph" w:styleId="10">
    <w:name w:val="toc 8"/>
    <w:basedOn w:val="1"/>
    <w:next w:val="1"/>
    <w:autoRedefine/>
    <w:unhideWhenUsed/>
    <w:qFormat/>
    <w:uiPriority w:val="39"/>
    <w:pPr>
      <w:ind w:left="2940" w:leftChars="1400"/>
    </w:pPr>
    <w:rPr>
      <w:rFonts w:ascii="Calibri" w:hAnsi="Calibri"/>
      <w:szCs w:val="22"/>
    </w:rPr>
  </w:style>
  <w:style w:type="paragraph" w:styleId="11">
    <w:name w:val="Date"/>
    <w:basedOn w:val="1"/>
    <w:next w:val="1"/>
    <w:autoRedefine/>
    <w:qFormat/>
    <w:uiPriority w:val="0"/>
    <w:pPr>
      <w:ind w:left="100" w:leftChars="2500"/>
    </w:p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tabs>
        <w:tab w:val="right" w:leader="dot" w:pos="9628"/>
      </w:tabs>
      <w:jc w:val="center"/>
    </w:pPr>
    <w:rPr>
      <w:b/>
      <w:sz w:val="52"/>
      <w:szCs w:val="52"/>
    </w:rPr>
  </w:style>
  <w:style w:type="paragraph" w:styleId="15">
    <w:name w:val="toc 4"/>
    <w:basedOn w:val="1"/>
    <w:next w:val="1"/>
    <w:autoRedefine/>
    <w:qFormat/>
    <w:uiPriority w:val="0"/>
    <w:pPr>
      <w:ind w:left="630"/>
      <w:jc w:val="left"/>
    </w:pPr>
    <w:rPr>
      <w:sz w:val="18"/>
      <w:szCs w:val="18"/>
    </w:rPr>
  </w:style>
  <w:style w:type="paragraph" w:styleId="16">
    <w:name w:val="footnote text"/>
    <w:basedOn w:val="1"/>
    <w:autoRedefine/>
    <w:unhideWhenUsed/>
    <w:qFormat/>
    <w:uiPriority w:val="0"/>
    <w:pPr>
      <w:snapToGrid w:val="0"/>
      <w:spacing w:beforeLines="0" w:afterLines="0"/>
      <w:jc w:val="left"/>
    </w:pPr>
    <w:rPr>
      <w:rFonts w:hint="default" w:ascii="Times New Roman" w:hAnsi="Times New Roman" w:eastAsia="仿宋_GB2312"/>
      <w:sz w:val="18"/>
      <w:szCs w:val="24"/>
    </w:rPr>
  </w:style>
  <w:style w:type="paragraph" w:styleId="17">
    <w:name w:val="toc 6"/>
    <w:basedOn w:val="1"/>
    <w:next w:val="1"/>
    <w:autoRedefine/>
    <w:qFormat/>
    <w:uiPriority w:val="0"/>
    <w:pPr>
      <w:ind w:left="1000" w:leftChars="1000"/>
    </w:pPr>
  </w:style>
  <w:style w:type="paragraph" w:styleId="18">
    <w:name w:val="Body Text Indent 3"/>
    <w:basedOn w:val="1"/>
    <w:autoRedefine/>
    <w:qFormat/>
    <w:uiPriority w:val="0"/>
    <w:pPr>
      <w:spacing w:after="120" w:afterLines="0"/>
      <w:ind w:left="420" w:leftChars="200"/>
    </w:pPr>
    <w:rPr>
      <w:sz w:val="16"/>
      <w:szCs w:val="16"/>
    </w:rPr>
  </w:style>
  <w:style w:type="paragraph" w:styleId="19">
    <w:name w:val="toc 2"/>
    <w:basedOn w:val="1"/>
    <w:next w:val="1"/>
    <w:autoRedefine/>
    <w:qFormat/>
    <w:uiPriority w:val="0"/>
    <w:pPr>
      <w:ind w:left="420" w:leftChars="200"/>
    </w:pPr>
  </w:style>
  <w:style w:type="paragraph" w:styleId="20">
    <w:name w:val="Normal (Web)"/>
    <w:basedOn w:val="1"/>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styleId="21">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2">
    <w:name w:val="Body Text First Indent"/>
    <w:basedOn w:val="8"/>
    <w:next w:val="17"/>
    <w:autoRedefine/>
    <w:qFormat/>
    <w:uiPriority w:val="0"/>
    <w:pPr>
      <w:ind w:firstLine="420" w:firstLineChars="100"/>
    </w:pPr>
  </w:style>
  <w:style w:type="paragraph" w:styleId="23">
    <w:name w:val="Body Text First Indent 2"/>
    <w:basedOn w:val="9"/>
    <w:next w:val="22"/>
    <w:autoRedefine/>
    <w:qFormat/>
    <w:uiPriority w:val="0"/>
    <w:pPr>
      <w:autoSpaceDE w:val="0"/>
      <w:autoSpaceDN w:val="0"/>
      <w:adjustRightInd w:val="0"/>
      <w:spacing w:after="120"/>
      <w:ind w:left="420" w:leftChars="200" w:firstLine="420" w:firstLineChars="200"/>
      <w:jc w:val="left"/>
      <w:textAlignment w:val="baseline"/>
    </w:pPr>
    <w:rPr>
      <w:rFonts w:ascii="宋体"/>
      <w:kern w:val="0"/>
      <w:sz w:val="34"/>
    </w:rPr>
  </w:style>
  <w:style w:type="table" w:styleId="25">
    <w:name w:val="Table Grid"/>
    <w:basedOn w:val="24"/>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Char"/>
    <w:basedOn w:val="1"/>
    <w:link w:val="26"/>
    <w:autoRedefine/>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character" w:styleId="28">
    <w:name w:val="Strong"/>
    <w:basedOn w:val="26"/>
    <w:autoRedefine/>
    <w:qFormat/>
    <w:uiPriority w:val="0"/>
  </w:style>
  <w:style w:type="character" w:styleId="29">
    <w:name w:val="page number"/>
    <w:basedOn w:val="26"/>
    <w:autoRedefine/>
    <w:qFormat/>
    <w:uiPriority w:val="0"/>
  </w:style>
  <w:style w:type="character" w:styleId="30">
    <w:name w:val="Hyperlink"/>
    <w:basedOn w:val="26"/>
    <w:autoRedefine/>
    <w:qFormat/>
    <w:uiPriority w:val="0"/>
    <w:rPr>
      <w:color w:val="0000FF"/>
      <w:u w:val="single"/>
    </w:rPr>
  </w:style>
  <w:style w:type="character" w:styleId="31">
    <w:name w:val="footnote reference"/>
    <w:autoRedefine/>
    <w:unhideWhenUsed/>
    <w:qFormat/>
    <w:uiPriority w:val="0"/>
    <w:rPr>
      <w:rFonts w:hint="default"/>
      <w:sz w:val="24"/>
      <w:szCs w:val="24"/>
      <w:vertAlign w:val="superscript"/>
    </w:rPr>
  </w:style>
  <w:style w:type="paragraph" w:customStyle="1" w:styleId="32">
    <w:name w:val="Default"/>
    <w:autoRedefine/>
    <w:unhideWhenUsed/>
    <w:qFormat/>
    <w:uiPriority w:val="0"/>
    <w:pPr>
      <w:widowControl w:val="0"/>
      <w:autoSpaceDE w:val="0"/>
      <w:autoSpaceDN w:val="0"/>
      <w:adjustRightInd w:val="0"/>
      <w:spacing w:beforeLines="0" w:afterLines="0"/>
    </w:pPr>
    <w:rPr>
      <w:rFonts w:hint="default" w:ascii="宋体" w:hAnsi="Times New Roman" w:eastAsia="宋体" w:cs="宋体"/>
      <w:color w:val="000000"/>
      <w:sz w:val="24"/>
      <w:szCs w:val="24"/>
      <w:lang w:val="en-US" w:eastAsia="zh-CN" w:bidi="ar-SA"/>
    </w:rPr>
  </w:style>
  <w:style w:type="paragraph" w:customStyle="1" w:styleId="33">
    <w:name w:val="目录 71"/>
    <w:next w:val="1"/>
    <w:autoRedefine/>
    <w:unhideWhenUsed/>
    <w:qFormat/>
    <w:uiPriority w:val="0"/>
    <w:pPr>
      <w:wordWrap w:val="0"/>
      <w:spacing w:beforeLines="0" w:afterLines="0"/>
      <w:ind w:left="2550"/>
      <w:jc w:val="both"/>
    </w:pPr>
    <w:rPr>
      <w:rFonts w:hint="default" w:ascii="Calibri" w:hAnsi="Calibri" w:eastAsia="宋体" w:cs="Times New Roman"/>
      <w:sz w:val="21"/>
      <w:szCs w:val="24"/>
      <w:lang w:val="en-US" w:eastAsia="zh-CN" w:bidi="ar-SA"/>
    </w:rPr>
  </w:style>
  <w:style w:type="paragraph" w:customStyle="1" w:styleId="34">
    <w:name w:val="[Normal]"/>
    <w:autoRedefine/>
    <w:qFormat/>
    <w:uiPriority w:val="0"/>
    <w:rPr>
      <w:rFonts w:ascii="宋体" w:hAnsi="宋体" w:eastAsia="宋体" w:cs="Times New Roman"/>
      <w:sz w:val="24"/>
      <w:szCs w:val="22"/>
      <w:lang w:val="en-US" w:eastAsia="en-US" w:bidi="ar-SA"/>
    </w:rPr>
  </w:style>
  <w:style w:type="paragraph" w:customStyle="1" w:styleId="35">
    <w:name w:val="首行缩进"/>
    <w:basedOn w:val="1"/>
    <w:autoRedefine/>
    <w:qFormat/>
    <w:uiPriority w:val="0"/>
    <w:rPr>
      <w:lang w:val="zh-CN"/>
    </w:rPr>
  </w:style>
  <w:style w:type="paragraph" w:customStyle="1" w:styleId="36">
    <w:name w:val="TOC Heading"/>
    <w:next w:val="1"/>
    <w:autoRedefine/>
    <w:qFormat/>
    <w:uiPriority w:val="0"/>
    <w:pPr>
      <w:wordWrap w:val="0"/>
    </w:pPr>
    <w:rPr>
      <w:rFonts w:ascii="Calibri" w:hAnsi="Calibri" w:eastAsia="宋体" w:cs="Times New Roman"/>
      <w:sz w:val="32"/>
      <w:lang w:val="en-US" w:eastAsia="zh-CN" w:bidi="ar-SA"/>
    </w:rPr>
  </w:style>
  <w:style w:type="paragraph" w:customStyle="1" w:styleId="37">
    <w:name w:val="表格文字"/>
    <w:basedOn w:val="1"/>
    <w:next w:val="8"/>
    <w:autoRedefine/>
    <w:qFormat/>
    <w:uiPriority w:val="0"/>
    <w:pPr>
      <w:spacing w:before="25" w:after="25"/>
      <w:jc w:val="left"/>
    </w:pPr>
    <w:rPr>
      <w:bCs/>
      <w:spacing w:val="10"/>
      <w:kern w:val="0"/>
      <w:sz w:val="24"/>
      <w:szCs w:val="20"/>
    </w:rPr>
  </w:style>
  <w:style w:type="paragraph" w:customStyle="1" w:styleId="38">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39">
    <w:name w:val="正文1"/>
    <w:basedOn w:val="1"/>
    <w:autoRedefine/>
    <w:qFormat/>
    <w:uiPriority w:val="0"/>
    <w:pPr>
      <w:spacing w:line="360" w:lineRule="auto"/>
      <w:ind w:firstLine="200" w:firstLineChars="200"/>
      <w:jc w:val="left"/>
    </w:pPr>
    <w:rPr>
      <w:rFonts w:ascii="宋体" w:hAnsi="宋体"/>
      <w:color w:val="000000"/>
      <w:kern w:val="0"/>
      <w:sz w:val="24"/>
      <w:szCs w:val="20"/>
    </w:rPr>
  </w:style>
  <w:style w:type="paragraph" w:customStyle="1" w:styleId="40">
    <w:name w:val="列出段落"/>
    <w:basedOn w:val="1"/>
    <w:autoRedefine/>
    <w:qFormat/>
    <w:uiPriority w:val="0"/>
    <w:pPr>
      <w:ind w:firstLine="420" w:firstLineChars="200"/>
    </w:pPr>
    <w:rPr>
      <w:rFonts w:ascii="Calibri" w:hAnsi="Calibri"/>
      <w:sz w:val="21"/>
      <w:szCs w:val="22"/>
    </w:rPr>
  </w:style>
  <w:style w:type="paragraph" w:customStyle="1" w:styleId="41">
    <w:name w:val="表格内容"/>
    <w:basedOn w:val="1"/>
    <w:autoRedefine/>
    <w:qFormat/>
    <w:uiPriority w:val="2"/>
    <w:pPr>
      <w:widowControl/>
      <w:jc w:val="center"/>
    </w:pPr>
    <w:rPr>
      <w:kern w:val="0"/>
      <w:sz w:val="24"/>
      <w:szCs w:val="28"/>
    </w:rPr>
  </w:style>
  <w:style w:type="paragraph" w:customStyle="1" w:styleId="42">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autoRedefine/>
    <w:qFormat/>
    <w:uiPriority w:val="0"/>
    <w:pPr>
      <w:widowControl w:val="0"/>
      <w:jc w:val="both"/>
    </w:pPr>
    <w:rPr>
      <w:rFonts w:ascii="Calibri" w:hAnsi="Calibri" w:eastAsia="Calibri" w:cs="Times New Roman"/>
      <w:kern w:val="2"/>
      <w:sz w:val="21"/>
      <w:szCs w:val="24"/>
      <w:lang w:val="en-US" w:eastAsia="zh-CN" w:bidi="ar-SA"/>
    </w:rPr>
  </w:style>
  <w:style w:type="paragraph" w:customStyle="1" w:styleId="44">
    <w:name w:val="Plain Text1"/>
    <w:basedOn w:val="45"/>
    <w:autoRedefine/>
    <w:qFormat/>
    <w:uiPriority w:val="99"/>
    <w:pPr>
      <w:widowControl/>
      <w:jc w:val="left"/>
    </w:pPr>
    <w:rPr>
      <w:rFonts w:ascii="宋体" w:hAnsi="Courier New"/>
    </w:rPr>
  </w:style>
  <w:style w:type="paragraph" w:customStyle="1" w:styleId="45">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6">
    <w:name w:val="reader-word-layer reader-word-s3-4"/>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7">
    <w:name w:val="font51"/>
    <w:basedOn w:val="26"/>
    <w:autoRedefine/>
    <w:qFormat/>
    <w:uiPriority w:val="0"/>
    <w:rPr>
      <w:rFonts w:hint="eastAsia" w:ascii="宋体" w:hAnsi="宋体" w:eastAsia="宋体" w:cs="宋体"/>
      <w:color w:val="000000"/>
      <w:sz w:val="18"/>
      <w:szCs w:val="18"/>
      <w:u w:val="none"/>
    </w:rPr>
  </w:style>
  <w:style w:type="paragraph" w:customStyle="1" w:styleId="48">
    <w:name w:val="内文正文"/>
    <w:basedOn w:val="2"/>
    <w:autoRedefine/>
    <w:qFormat/>
    <w:uiPriority w:val="99"/>
    <w:pPr>
      <w:adjustRightInd w:val="0"/>
      <w:snapToGrid w:val="0"/>
      <w:spacing w:line="400" w:lineRule="exact"/>
      <w:ind w:firstLine="200" w:firstLineChars="200"/>
    </w:pPr>
    <w:rPr>
      <w:rFonts w:ascii="Arial" w:hAnsi="Arial"/>
      <w:color w:val="000000"/>
      <w:szCs w:val="21"/>
    </w:rPr>
  </w:style>
  <w:style w:type="paragraph" w:customStyle="1" w:styleId="49">
    <w:name w:val="Normal Indent1"/>
    <w:basedOn w:val="1"/>
    <w:autoRedefine/>
    <w:qFormat/>
    <w:uiPriority w:val="0"/>
    <w:pPr>
      <w:ind w:firstLine="420" w:firstLineChars="200"/>
    </w:pPr>
  </w:style>
  <w:style w:type="paragraph" w:customStyle="1" w:styleId="50">
    <w:name w:val="批注框文本1"/>
    <w:basedOn w:val="1"/>
    <w:autoRedefine/>
    <w:qFormat/>
    <w:uiPriority w:val="99"/>
    <w:rPr>
      <w:rFonts w:ascii="Calibri" w:hAnsi="Calibri"/>
      <w:sz w:val="18"/>
      <w:szCs w:val="18"/>
    </w:rPr>
  </w:style>
  <w:style w:type="paragraph" w:styleId="51">
    <w:name w:val="List Paragraph"/>
    <w:basedOn w:val="1"/>
    <w:autoRedefine/>
    <w:qFormat/>
    <w:uiPriority w:val="34"/>
    <w:pPr>
      <w:ind w:firstLine="420" w:firstLineChars="200"/>
    </w:pPr>
    <w:rPr>
      <w:szCs w:val="22"/>
    </w:rPr>
  </w:style>
  <w:style w:type="paragraph" w:customStyle="1" w:styleId="5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
    <w:name w:val="样式 标题 3 + (中文) 黑体 小四 非加粗 段前: 7.8 磅 段后: 0 磅 行距: 固定值 20 磅"/>
    <w:basedOn w:val="5"/>
    <w:autoRedefine/>
    <w:qFormat/>
    <w:uiPriority w:val="0"/>
    <w:pPr>
      <w:spacing w:before="0" w:after="0" w:line="400" w:lineRule="exact"/>
    </w:pPr>
    <w:rPr>
      <w:rFonts w:eastAsia="黑体" w:cs="宋体"/>
      <w:b w:val="0"/>
      <w:sz w:val="24"/>
      <w:szCs w:val="20"/>
    </w:rPr>
  </w:style>
  <w:style w:type="paragraph" w:customStyle="1" w:styleId="54">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55">
    <w:name w:val="样式 标题 3 + Arial"/>
    <w:basedOn w:val="5"/>
    <w:autoRedefine/>
    <w:qFormat/>
    <w:uiPriority w:val="0"/>
    <w:pPr>
      <w:spacing w:beforeLines="100" w:after="0" w:line="360" w:lineRule="auto"/>
    </w:pPr>
    <w:rPr>
      <w:rFonts w:ascii="Arial" w:hAnsi="Arial"/>
      <w:sz w:val="24"/>
    </w:rPr>
  </w:style>
  <w:style w:type="paragraph" w:customStyle="1" w:styleId="56">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57">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目录 92"/>
    <w:next w:val="1"/>
    <w:autoRedefine/>
    <w:qFormat/>
    <w:uiPriority w:val="0"/>
    <w:pPr>
      <w:wordWrap w:val="0"/>
      <w:ind w:left="2975"/>
      <w:jc w:val="both"/>
    </w:pPr>
    <w:rPr>
      <w:rFonts w:ascii="Times New Roman" w:hAnsi="Times New Roman" w:eastAsia="宋体" w:cs="Times New Roman"/>
      <w:sz w:val="21"/>
      <w:lang w:val="en-US" w:eastAsia="zh-CN" w:bidi="ar-SA"/>
    </w:rPr>
  </w:style>
  <w:style w:type="character" w:customStyle="1" w:styleId="60">
    <w:name w:val="15"/>
    <w:basedOn w:val="26"/>
    <w:autoRedefine/>
    <w:qFormat/>
    <w:uiPriority w:val="0"/>
    <w:rPr>
      <w:rFonts w:hint="eastAsia" w:ascii="等线" w:hAnsi="等线" w:eastAsia="等线" w:cs="等线"/>
    </w:rPr>
  </w:style>
  <w:style w:type="paragraph" w:customStyle="1" w:styleId="6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character" w:customStyle="1" w:styleId="64">
    <w:name w:val="font11"/>
    <w:basedOn w:val="26"/>
    <w:autoRedefine/>
    <w:qFormat/>
    <w:uiPriority w:val="0"/>
    <w:rPr>
      <w:rFonts w:hint="eastAsia" w:ascii="宋体" w:hAnsi="宋体" w:eastAsia="宋体"/>
      <w:color w:val="000000"/>
      <w:sz w:val="18"/>
      <w:szCs w:val="18"/>
      <w:u w:val="none"/>
    </w:rPr>
  </w:style>
  <w:style w:type="paragraph" w:customStyle="1" w:styleId="65">
    <w:name w:val="Table Text"/>
    <w:basedOn w:val="1"/>
    <w:autoRedefine/>
    <w:semiHidden/>
    <w:qFormat/>
    <w:uiPriority w:val="0"/>
    <w:rPr>
      <w:rFonts w:ascii="微软雅黑" w:hAnsi="微软雅黑" w:eastAsia="微软雅黑" w:cs="微软雅黑"/>
      <w:sz w:val="18"/>
      <w:szCs w:val="18"/>
      <w:lang w:val="en-US" w:eastAsia="en-US" w:bidi="ar-SA"/>
    </w:rPr>
  </w:style>
  <w:style w:type="table" w:customStyle="1" w:styleId="66">
    <w:name w:val="Table Normal"/>
    <w:autoRedefine/>
    <w:semiHidden/>
    <w:unhideWhenUsed/>
    <w:qFormat/>
    <w:uiPriority w:val="0"/>
    <w:tblPr>
      <w:tblCellMar>
        <w:top w:w="0" w:type="dxa"/>
        <w:left w:w="0" w:type="dxa"/>
        <w:bottom w:w="0" w:type="dxa"/>
        <w:right w:w="0" w:type="dxa"/>
      </w:tblCellMar>
    </w:tblPr>
  </w:style>
  <w:style w:type="paragraph" w:customStyle="1" w:styleId="67">
    <w:name w:val="Table Paragraph"/>
    <w:basedOn w:val="1"/>
    <w:autoRedefine/>
    <w:qFormat/>
    <w:uiPriority w:val="1"/>
    <w:pPr>
      <w:autoSpaceDE w:val="0"/>
      <w:autoSpaceDN w:val="0"/>
      <w:adjustRightInd w:val="0"/>
      <w:jc w:val="left"/>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149</Pages>
  <Words>42744</Words>
  <Characters>44864</Characters>
  <Lines>1</Lines>
  <Paragraphs>1</Paragraphs>
  <TotalTime>19</TotalTime>
  <ScaleCrop>false</ScaleCrop>
  <LinksUpToDate>false</LinksUpToDate>
  <CharactersWithSpaces>49265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2020-08-10T07:26:00Z</dcterms:created>
  <dc:creator>Administrator</dc:creator>
  <cp:lastModifiedBy>WPS_1602815280</cp:lastModifiedBy>
  <cp:lastPrinted>2024-04-30T05:46:15Z</cp:lastPrinted>
  <dcterms:modified xsi:type="dcterms:W3CDTF">2024-04-30T05:47:04Z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491FBE8A5C7A46DCA97A30FCE7EE273E_13</vt:lpwstr>
  </property>
</Properties>
</file>