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宋体" w:hAnsi="宋体" w:cs="宋体"/>
          <w:b/>
          <w:bCs/>
          <w:spacing w:val="36"/>
          <w:sz w:val="84"/>
          <w:szCs w:val="84"/>
        </w:rPr>
      </w:pPr>
      <w:bookmarkStart w:id="267" w:name="_GoBack"/>
      <w:bookmarkEnd w:id="267"/>
      <w:r>
        <w:rPr>
          <w:rFonts w:hint="eastAsia" w:ascii="宋体" w:hAnsi="宋体" w:cs="宋体"/>
          <w:b/>
          <w:bCs/>
          <w:spacing w:val="36"/>
          <w:sz w:val="84"/>
          <w:szCs w:val="84"/>
        </w:rPr>
        <w:t xml:space="preserve"> </w:t>
      </w:r>
    </w:p>
    <w:p>
      <w:pPr>
        <w:adjustRightInd w:val="0"/>
        <w:snapToGrid w:val="0"/>
        <w:rPr>
          <w:rFonts w:hint="eastAsia" w:ascii="宋体" w:hAnsi="宋体" w:cs="宋体"/>
          <w:b/>
          <w:bCs/>
          <w:color w:val="auto"/>
          <w:spacing w:val="36"/>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cs="宋体"/>
          <w:b/>
          <w:bCs/>
          <w:color w:val="auto"/>
          <w:sz w:val="72"/>
          <w:szCs w:val="72"/>
        </w:rPr>
      </w:pPr>
      <w:r>
        <w:rPr>
          <w:rFonts w:hint="eastAsia" w:ascii="宋体" w:hAnsi="宋体" w:cs="宋体"/>
          <w:b/>
          <w:bCs/>
          <w:color w:val="auto"/>
          <w:sz w:val="72"/>
          <w:szCs w:val="72"/>
        </w:rPr>
        <w:t>仙居县政府采购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cs="宋体"/>
          <w:b/>
          <w:bCs/>
          <w:color w:val="auto"/>
          <w:kern w:val="0"/>
          <w:sz w:val="72"/>
          <w:szCs w:val="72"/>
        </w:rPr>
      </w:pPr>
      <w:r>
        <w:rPr>
          <w:rFonts w:hint="eastAsia" w:ascii="宋体" w:hAnsi="宋体" w:cs="宋体"/>
          <w:b/>
          <w:bCs/>
          <w:color w:val="auto"/>
          <w:sz w:val="72"/>
          <w:szCs w:val="72"/>
        </w:rPr>
        <w:t>招标文件</w:t>
      </w:r>
    </w:p>
    <w:p>
      <w:pPr>
        <w:spacing w:line="480" w:lineRule="auto"/>
        <w:rPr>
          <w:rFonts w:hint="eastAsia" w:ascii="宋体" w:hAnsi="宋体" w:cs="宋体"/>
          <w:color w:val="auto"/>
        </w:rPr>
      </w:pPr>
    </w:p>
    <w:tbl>
      <w:tblPr>
        <w:tblStyle w:val="39"/>
        <w:tblW w:w="0" w:type="auto"/>
        <w:jc w:val="center"/>
        <w:tblLayout w:type="fixed"/>
        <w:tblCellMar>
          <w:top w:w="0" w:type="dxa"/>
          <w:left w:w="108" w:type="dxa"/>
          <w:bottom w:w="0" w:type="dxa"/>
          <w:right w:w="108" w:type="dxa"/>
        </w:tblCellMar>
      </w:tblPr>
      <w:tblGrid>
        <w:gridCol w:w="1946"/>
        <w:gridCol w:w="5302"/>
      </w:tblGrid>
      <w:tr>
        <w:tblPrEx>
          <w:tblCellMar>
            <w:top w:w="0" w:type="dxa"/>
            <w:left w:w="108" w:type="dxa"/>
            <w:bottom w:w="0" w:type="dxa"/>
            <w:right w:w="108" w:type="dxa"/>
          </w:tblCellMar>
        </w:tblPrEx>
        <w:trPr>
          <w:trHeight w:val="851" w:hRule="atLeast"/>
          <w:jc w:val="center"/>
        </w:trPr>
        <w:tc>
          <w:tcPr>
            <w:tcW w:w="1946" w:type="dxa"/>
            <w:noWrap w:val="0"/>
            <w:vAlign w:val="center"/>
          </w:tcPr>
          <w:p>
            <w:pPr>
              <w:rPr>
                <w:rFonts w:hint="eastAsia" w:ascii="宋体" w:hAnsi="宋体" w:cs="宋体"/>
                <w:color w:val="auto"/>
                <w:szCs w:val="36"/>
              </w:rPr>
            </w:pPr>
            <w:bookmarkStart w:id="0" w:name="_Toc493956012"/>
            <w:bookmarkStart w:id="1" w:name="_Toc493928402"/>
            <w:r>
              <w:rPr>
                <w:rFonts w:hint="eastAsia" w:ascii="宋体" w:hAnsi="宋体" w:cs="宋体"/>
                <w:color w:val="auto"/>
                <w:szCs w:val="36"/>
              </w:rPr>
              <w:t>项目编号：</w:t>
            </w:r>
            <w:bookmarkEnd w:id="0"/>
            <w:bookmarkEnd w:id="1"/>
          </w:p>
        </w:tc>
        <w:tc>
          <w:tcPr>
            <w:tcW w:w="5302" w:type="dxa"/>
            <w:noWrap w:val="0"/>
            <w:vAlign w:val="center"/>
          </w:tcPr>
          <w:p>
            <w:pPr>
              <w:rPr>
                <w:rFonts w:hint="eastAsia" w:ascii="宋体" w:hAnsi="宋体" w:eastAsia="宋体" w:cs="宋体"/>
                <w:color w:val="auto"/>
                <w:szCs w:val="36"/>
                <w:lang w:eastAsia="zh-CN"/>
              </w:rPr>
            </w:pPr>
            <w:r>
              <w:rPr>
                <w:rFonts w:hint="eastAsia" w:ascii="宋体" w:hAnsi="宋体" w:cs="宋体"/>
                <w:color w:val="auto"/>
                <w:szCs w:val="36"/>
              </w:rPr>
              <w:t>XJCG-2019-GK00</w:t>
            </w:r>
            <w:r>
              <w:rPr>
                <w:rFonts w:hint="eastAsia" w:ascii="宋体" w:hAnsi="宋体" w:cs="宋体"/>
                <w:color w:val="auto"/>
                <w:szCs w:val="36"/>
                <w:lang w:val="en-US" w:eastAsia="zh-CN"/>
              </w:rPr>
              <w:t>6</w:t>
            </w:r>
          </w:p>
        </w:tc>
      </w:tr>
      <w:tr>
        <w:tblPrEx>
          <w:tblCellMar>
            <w:top w:w="0" w:type="dxa"/>
            <w:left w:w="108" w:type="dxa"/>
            <w:bottom w:w="0" w:type="dxa"/>
            <w:right w:w="108" w:type="dxa"/>
          </w:tblCellMar>
        </w:tblPrEx>
        <w:trPr>
          <w:trHeight w:val="851" w:hRule="atLeast"/>
          <w:jc w:val="center"/>
        </w:trPr>
        <w:tc>
          <w:tcPr>
            <w:tcW w:w="1946" w:type="dxa"/>
            <w:noWrap w:val="0"/>
            <w:vAlign w:val="center"/>
          </w:tcPr>
          <w:p>
            <w:pPr>
              <w:rPr>
                <w:rFonts w:hint="eastAsia" w:ascii="宋体" w:hAnsi="宋体" w:cs="宋体"/>
                <w:color w:val="auto"/>
                <w:szCs w:val="36"/>
              </w:rPr>
            </w:pPr>
            <w:bookmarkStart w:id="2" w:name="_Toc493928404"/>
            <w:bookmarkStart w:id="3" w:name="_Toc493956014"/>
            <w:r>
              <w:rPr>
                <w:rFonts w:hint="eastAsia" w:ascii="宋体" w:hAnsi="宋体" w:cs="宋体"/>
                <w:color w:val="auto"/>
                <w:szCs w:val="36"/>
              </w:rPr>
              <w:t>项目名称：</w:t>
            </w:r>
            <w:bookmarkEnd w:id="2"/>
            <w:bookmarkEnd w:id="3"/>
          </w:p>
        </w:tc>
        <w:tc>
          <w:tcPr>
            <w:tcW w:w="5302" w:type="dxa"/>
            <w:noWrap w:val="0"/>
            <w:vAlign w:val="center"/>
          </w:tcPr>
          <w:p>
            <w:pPr>
              <w:rPr>
                <w:rFonts w:hint="eastAsia" w:ascii="宋体" w:hAnsi="宋体" w:eastAsia="宋体" w:cs="宋体"/>
                <w:color w:val="auto"/>
                <w:szCs w:val="36"/>
                <w:lang w:eastAsia="zh-CN"/>
              </w:rPr>
            </w:pPr>
            <w:r>
              <w:rPr>
                <w:rFonts w:hint="eastAsia" w:ascii="宋体" w:hAnsi="宋体" w:cs="宋体"/>
                <w:color w:val="auto"/>
                <w:szCs w:val="36"/>
                <w:lang w:eastAsia="zh-CN"/>
              </w:rPr>
              <w:t>仙居县2019年雪亮工程服务</w:t>
            </w:r>
          </w:p>
        </w:tc>
      </w:tr>
      <w:tr>
        <w:tblPrEx>
          <w:tblCellMar>
            <w:top w:w="0" w:type="dxa"/>
            <w:left w:w="108" w:type="dxa"/>
            <w:bottom w:w="0" w:type="dxa"/>
            <w:right w:w="108" w:type="dxa"/>
          </w:tblCellMar>
        </w:tblPrEx>
        <w:trPr>
          <w:trHeight w:val="851" w:hRule="atLeast"/>
          <w:jc w:val="center"/>
        </w:trPr>
        <w:tc>
          <w:tcPr>
            <w:tcW w:w="1946" w:type="dxa"/>
            <w:noWrap w:val="0"/>
            <w:vAlign w:val="center"/>
          </w:tcPr>
          <w:p>
            <w:pPr>
              <w:rPr>
                <w:rFonts w:hint="eastAsia" w:ascii="宋体" w:hAnsi="宋体" w:cs="宋体"/>
                <w:color w:val="auto"/>
                <w:szCs w:val="36"/>
              </w:rPr>
            </w:pPr>
            <w:bookmarkStart w:id="4" w:name="_Toc493928406"/>
            <w:bookmarkStart w:id="5" w:name="_Toc493956016"/>
            <w:r>
              <w:rPr>
                <w:rFonts w:hint="eastAsia" w:ascii="宋体" w:hAnsi="宋体" w:cs="宋体"/>
                <w:color w:val="auto"/>
                <w:szCs w:val="36"/>
              </w:rPr>
              <w:t>采 购 人：</w:t>
            </w:r>
            <w:bookmarkEnd w:id="4"/>
            <w:bookmarkEnd w:id="5"/>
          </w:p>
        </w:tc>
        <w:tc>
          <w:tcPr>
            <w:tcW w:w="5302" w:type="dxa"/>
            <w:noWrap w:val="0"/>
            <w:vAlign w:val="center"/>
          </w:tcPr>
          <w:p>
            <w:pPr>
              <w:rPr>
                <w:rFonts w:hint="eastAsia" w:ascii="宋体" w:hAnsi="宋体" w:cs="宋体"/>
                <w:color w:val="auto"/>
                <w:szCs w:val="36"/>
              </w:rPr>
            </w:pPr>
            <w:r>
              <w:rPr>
                <w:rFonts w:hint="eastAsia" w:ascii="宋体" w:hAnsi="宋体" w:cs="宋体"/>
                <w:color w:val="auto"/>
                <w:szCs w:val="36"/>
              </w:rPr>
              <w:t>仙居县公安局</w:t>
            </w:r>
          </w:p>
        </w:tc>
      </w:tr>
    </w:tbl>
    <w:p>
      <w:pPr>
        <w:spacing w:line="480" w:lineRule="auto"/>
        <w:rPr>
          <w:rFonts w:hint="eastAsia" w:ascii="宋体" w:hAnsi="宋体" w:cs="宋体"/>
          <w:color w:val="auto"/>
        </w:rPr>
      </w:pPr>
    </w:p>
    <w:p>
      <w:pPr>
        <w:spacing w:line="480" w:lineRule="auto"/>
        <w:rPr>
          <w:rFonts w:hint="eastAsia" w:ascii="宋体" w:hAnsi="宋体" w:cs="宋体"/>
          <w:color w:val="auto"/>
        </w:rPr>
      </w:pPr>
    </w:p>
    <w:p>
      <w:pPr>
        <w:autoSpaceDE w:val="0"/>
        <w:autoSpaceDN w:val="0"/>
        <w:jc w:val="center"/>
        <w:textAlignment w:val="bottom"/>
        <w:rPr>
          <w:rFonts w:hint="eastAsia" w:ascii="宋体" w:hAnsi="宋体" w:cs="宋体"/>
          <w:b/>
          <w:color w:val="auto"/>
        </w:rPr>
      </w:pPr>
    </w:p>
    <w:p>
      <w:pPr>
        <w:autoSpaceDE w:val="0"/>
        <w:autoSpaceDN w:val="0"/>
        <w:jc w:val="center"/>
        <w:textAlignment w:val="bottom"/>
        <w:rPr>
          <w:rFonts w:hint="eastAsia" w:ascii="宋体" w:hAnsi="宋体" w:cs="宋体"/>
          <w:b/>
          <w:color w:val="auto"/>
        </w:rPr>
      </w:pPr>
      <w:r>
        <w:rPr>
          <w:rFonts w:hint="eastAsia" w:ascii="宋体" w:hAnsi="宋体" w:cs="宋体"/>
          <w:b/>
          <w:color w:val="auto"/>
        </w:rPr>
        <w:t>仙居县政府采购中心</w:t>
      </w:r>
    </w:p>
    <w:p>
      <w:pPr>
        <w:pStyle w:val="29"/>
        <w:rPr>
          <w:rFonts w:hint="eastAsia" w:ascii="宋体" w:hAnsi="宋体" w:cs="宋体"/>
          <w:color w:val="auto"/>
          <w:sz w:val="24"/>
          <w:szCs w:val="24"/>
        </w:rPr>
      </w:pPr>
      <w:bookmarkStart w:id="6" w:name="EB870566188af54901a7735b8d26637a4d"/>
    </w:p>
    <w:p>
      <w:pPr>
        <w:pStyle w:val="29"/>
        <w:rPr>
          <w:rFonts w:hint="eastAsia" w:ascii="宋体" w:hAnsi="宋体" w:cs="宋体"/>
          <w:color w:val="auto"/>
        </w:rPr>
      </w:pPr>
      <w:r>
        <w:rPr>
          <w:rFonts w:hint="eastAsia" w:ascii="宋体" w:hAnsi="宋体" w:cs="宋体"/>
          <w:color w:val="auto"/>
          <w:sz w:val="36"/>
          <w:szCs w:val="22"/>
        </w:rPr>
        <w:t>2019年</w:t>
      </w:r>
      <w:r>
        <w:rPr>
          <w:rFonts w:hint="eastAsia" w:ascii="宋体" w:hAnsi="宋体" w:cs="宋体"/>
          <w:color w:val="auto"/>
          <w:sz w:val="36"/>
          <w:szCs w:val="22"/>
          <w:lang w:val="en-US" w:eastAsia="zh-CN"/>
        </w:rPr>
        <w:t>8</w:t>
      </w:r>
      <w:r>
        <w:rPr>
          <w:rFonts w:hint="eastAsia" w:ascii="宋体" w:hAnsi="宋体" w:cs="宋体"/>
          <w:color w:val="auto"/>
          <w:sz w:val="36"/>
          <w:szCs w:val="22"/>
        </w:rPr>
        <w:t>月</w:t>
      </w:r>
      <w:bookmarkEnd w:id="6"/>
    </w:p>
    <w:p>
      <w:pPr>
        <w:tabs>
          <w:tab w:val="center" w:pos="4666"/>
        </w:tabs>
        <w:jc w:val="left"/>
        <w:rPr>
          <w:rFonts w:hint="eastAsia" w:ascii="宋体" w:hAnsi="宋体" w:cs="宋体"/>
          <w:color w:val="auto"/>
        </w:rPr>
        <w:sectPr>
          <w:headerReference r:id="rId4" w:type="first"/>
          <w:footerReference r:id="rId7" w:type="first"/>
          <w:headerReference r:id="rId3" w:type="default"/>
          <w:footerReference r:id="rId5" w:type="default"/>
          <w:footerReference r:id="rId6" w:type="even"/>
          <w:pgSz w:w="11906" w:h="16838"/>
          <w:pgMar w:top="1440" w:right="1133" w:bottom="1440" w:left="1440" w:header="851" w:footer="992" w:gutter="0"/>
          <w:pgNumType w:start="1"/>
          <w:cols w:space="720" w:num="1"/>
          <w:titlePg/>
          <w:docGrid w:linePitch="312" w:charSpace="0"/>
        </w:sectPr>
      </w:pPr>
    </w:p>
    <w:p>
      <w:pPr>
        <w:pStyle w:val="29"/>
        <w:rPr>
          <w:rFonts w:hint="eastAsia" w:ascii="宋体" w:hAnsi="宋体" w:cs="宋体"/>
          <w:color w:val="auto"/>
          <w:sz w:val="36"/>
          <w:szCs w:val="36"/>
        </w:rPr>
      </w:pPr>
    </w:p>
    <w:p>
      <w:pPr>
        <w:pStyle w:val="29"/>
        <w:rPr>
          <w:rFonts w:hint="eastAsia" w:ascii="宋体" w:hAnsi="宋体" w:cs="宋体"/>
          <w:color w:val="auto"/>
          <w:sz w:val="36"/>
          <w:szCs w:val="36"/>
        </w:rPr>
      </w:pPr>
    </w:p>
    <w:p>
      <w:pPr>
        <w:pStyle w:val="29"/>
        <w:rPr>
          <w:rFonts w:hint="eastAsia" w:ascii="宋体" w:hAnsi="宋体" w:cs="宋体"/>
          <w:color w:val="auto"/>
          <w:sz w:val="36"/>
          <w:szCs w:val="36"/>
        </w:rPr>
      </w:pPr>
    </w:p>
    <w:p>
      <w:pPr>
        <w:pStyle w:val="29"/>
        <w:rPr>
          <w:rFonts w:hint="eastAsia" w:ascii="宋体" w:hAnsi="宋体" w:cs="宋体"/>
          <w:color w:val="auto"/>
          <w:sz w:val="36"/>
          <w:szCs w:val="36"/>
        </w:rPr>
      </w:pPr>
      <w:r>
        <w:rPr>
          <w:rFonts w:hint="eastAsia" w:ascii="宋体" w:hAnsi="宋体" w:cs="宋体"/>
          <w:color w:val="auto"/>
          <w:sz w:val="36"/>
          <w:szCs w:val="36"/>
        </w:rPr>
        <w:t>目      录</w:t>
      </w:r>
    </w:p>
    <w:p>
      <w:pPr>
        <w:rPr>
          <w:rFonts w:hint="eastAsia" w:ascii="宋体" w:hAnsi="宋体" w:cs="宋体"/>
          <w:color w:val="auto"/>
          <w:szCs w:val="36"/>
        </w:rPr>
      </w:pPr>
    </w:p>
    <w:p>
      <w:pPr>
        <w:rPr>
          <w:rFonts w:hint="eastAsia" w:ascii="宋体" w:hAnsi="宋体" w:cs="宋体"/>
          <w:color w:val="auto"/>
          <w:szCs w:val="36"/>
        </w:rPr>
      </w:pPr>
    </w:p>
    <w:p>
      <w:pPr>
        <w:spacing w:line="360" w:lineRule="auto"/>
        <w:ind w:left="360"/>
        <w:rPr>
          <w:rFonts w:hint="eastAsia" w:ascii="宋体" w:hAnsi="宋体" w:cs="宋体"/>
          <w:b/>
          <w:color w:val="auto"/>
          <w:sz w:val="28"/>
          <w:szCs w:val="28"/>
        </w:rPr>
      </w:pPr>
      <w:bookmarkStart w:id="7" w:name="_Toc306901419"/>
      <w:r>
        <w:rPr>
          <w:rFonts w:hint="eastAsia" w:ascii="宋体" w:hAnsi="宋体" w:cs="宋体"/>
          <w:b/>
          <w:color w:val="auto"/>
          <w:sz w:val="28"/>
          <w:szCs w:val="28"/>
        </w:rPr>
        <w:t>第一章  公开招标采购公告</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第二章  投标人须知</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第三章  评标办法及评分标准</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第四章  公开招标需求</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第五章  拟签订的合同文本</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第六章  投标文件格式附件</w:t>
      </w:r>
    </w:p>
    <w:p>
      <w:pPr>
        <w:adjustRightInd w:val="0"/>
        <w:snapToGrid w:val="0"/>
        <w:spacing w:line="480" w:lineRule="exact"/>
        <w:jc w:val="center"/>
        <w:outlineLvl w:val="0"/>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tabs>
          <w:tab w:val="center" w:pos="4513"/>
        </w:tabs>
        <w:jc w:val="left"/>
        <w:rPr>
          <w:rFonts w:hint="eastAsia" w:ascii="宋体" w:hAnsi="宋体" w:cs="宋体"/>
          <w:color w:val="auto"/>
        </w:rPr>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pgNumType w:start="1"/>
          <w:cols w:space="720" w:num="1"/>
          <w:docGrid w:linePitch="312" w:charSpace="0"/>
        </w:sectPr>
      </w:pPr>
      <w:r>
        <w:rPr>
          <w:rFonts w:hint="eastAsia" w:ascii="宋体" w:hAnsi="宋体" w:cs="宋体"/>
          <w:b/>
          <w:color w:val="auto"/>
          <w:sz w:val="30"/>
          <w:szCs w:val="30"/>
        </w:rPr>
        <w:tab/>
      </w:r>
    </w:p>
    <w:p>
      <w:pPr>
        <w:adjustRightInd w:val="0"/>
        <w:snapToGrid w:val="0"/>
        <w:spacing w:line="480" w:lineRule="exact"/>
        <w:jc w:val="center"/>
        <w:outlineLvl w:val="0"/>
        <w:rPr>
          <w:rFonts w:hint="eastAsia" w:ascii="宋体" w:hAnsi="宋体" w:cs="宋体"/>
          <w:b/>
          <w:color w:val="auto"/>
          <w:szCs w:val="36"/>
        </w:rPr>
      </w:pPr>
      <w:r>
        <w:rPr>
          <w:rFonts w:hint="eastAsia" w:ascii="宋体" w:hAnsi="宋体" w:cs="宋体"/>
          <w:b/>
          <w:color w:val="auto"/>
          <w:szCs w:val="36"/>
        </w:rPr>
        <w:t xml:space="preserve">第一章 </w:t>
      </w:r>
      <w:bookmarkEnd w:id="7"/>
      <w:r>
        <w:rPr>
          <w:rFonts w:hint="eastAsia" w:ascii="宋体" w:hAnsi="宋体" w:cs="宋体"/>
          <w:b/>
          <w:color w:val="auto"/>
          <w:szCs w:val="36"/>
        </w:rPr>
        <w:t>公开招标采购公告</w:t>
      </w:r>
    </w:p>
    <w:p>
      <w:pPr>
        <w:adjustRightInd w:val="0"/>
        <w:snapToGrid w:val="0"/>
        <w:spacing w:line="360" w:lineRule="auto"/>
        <w:jc w:val="center"/>
        <w:outlineLvl w:val="0"/>
        <w:rPr>
          <w:rFonts w:hint="eastAsia" w:ascii="宋体" w:hAnsi="宋体" w:cs="宋体"/>
          <w:color w:val="auto"/>
          <w:kern w:val="0"/>
          <w:sz w:val="24"/>
        </w:rPr>
      </w:pPr>
    </w:p>
    <w:p>
      <w:pPr>
        <w:widowControl/>
        <w:spacing w:before="60" w:after="60" w:line="360" w:lineRule="auto"/>
        <w:ind w:left="60" w:right="60" w:firstLine="540"/>
        <w:jc w:val="left"/>
        <w:rPr>
          <w:rFonts w:hint="eastAsia" w:ascii="宋体" w:hAnsi="宋体" w:cs="宋体"/>
          <w:color w:val="auto"/>
          <w:kern w:val="0"/>
          <w:sz w:val="24"/>
        </w:rPr>
      </w:pPr>
      <w:r>
        <w:rPr>
          <w:rFonts w:hint="eastAsia" w:ascii="宋体" w:hAnsi="宋体" w:cs="宋体"/>
          <w:color w:val="auto"/>
          <w:kern w:val="0"/>
          <w:sz w:val="24"/>
        </w:rPr>
        <w:t>根据《中华人民共和国政府采购法》、《中华人民共和国政府采购法实施条例》和财政部令第87号《政府采购货物和服务招标投标管理办法》等有关规定，受采购人委托，现就</w:t>
      </w:r>
      <w:r>
        <w:rPr>
          <w:rFonts w:hint="eastAsia" w:ascii="宋体" w:hAnsi="宋体" w:cs="宋体"/>
          <w:color w:val="auto"/>
          <w:kern w:val="0"/>
          <w:sz w:val="24"/>
          <w:lang w:eastAsia="zh-CN"/>
        </w:rPr>
        <w:t>仙居县2019年雪亮工程服务</w:t>
      </w:r>
      <w:r>
        <w:rPr>
          <w:rFonts w:hint="eastAsia" w:ascii="宋体" w:hAnsi="宋体" w:cs="宋体"/>
          <w:color w:val="auto"/>
          <w:kern w:val="0"/>
          <w:sz w:val="24"/>
        </w:rPr>
        <w:t>项目进行公开招标采购，欢迎合格供应商前来投标。</w:t>
      </w:r>
    </w:p>
    <w:p>
      <w:pPr>
        <w:widowControl/>
        <w:numPr>
          <w:ilvl w:val="0"/>
          <w:numId w:val="5"/>
        </w:numPr>
        <w:spacing w:before="60" w:after="60" w:line="360" w:lineRule="auto"/>
        <w:ind w:firstLine="482" w:firstLineChars="200"/>
        <w:jc w:val="left"/>
        <w:outlineLvl w:val="0"/>
        <w:rPr>
          <w:rFonts w:hint="eastAsia" w:ascii="宋体" w:hAnsi="宋体" w:cs="宋体"/>
          <w:bCs/>
          <w:color w:val="auto"/>
          <w:kern w:val="0"/>
          <w:sz w:val="24"/>
        </w:rPr>
      </w:pPr>
      <w:bookmarkStart w:id="8" w:name="_Toc217998399"/>
      <w:bookmarkStart w:id="9" w:name="_Toc218007228"/>
      <w:bookmarkStart w:id="10" w:name="_Toc237138373"/>
      <w:bookmarkStart w:id="11" w:name="_Toc218007959"/>
      <w:bookmarkStart w:id="12" w:name="_Toc237079649"/>
      <w:bookmarkStart w:id="13" w:name="_Toc301444164"/>
      <w:bookmarkStart w:id="14" w:name="_Toc237656250"/>
      <w:bookmarkStart w:id="15" w:name="_Toc240724364"/>
      <w:bookmarkStart w:id="16" w:name="_Toc248896024"/>
      <w:bookmarkStart w:id="17" w:name="_Toc239128656"/>
      <w:bookmarkStart w:id="18" w:name="_Toc238443285"/>
      <w:bookmarkStart w:id="19" w:name="_Toc248896331"/>
      <w:bookmarkStart w:id="20" w:name="_Toc255459621"/>
      <w:bookmarkStart w:id="21" w:name="_Toc277078921"/>
      <w:bookmarkStart w:id="22" w:name="_Toc302983069"/>
      <w:bookmarkStart w:id="23" w:name="_Toc261001136"/>
      <w:bookmarkStart w:id="24" w:name="_Toc306901421"/>
      <w:bookmarkStart w:id="25" w:name="_Toc248896172"/>
      <w:bookmarkStart w:id="26" w:name="_Toc255821799"/>
      <w:bookmarkStart w:id="27" w:name="_Toc290043085"/>
      <w:bookmarkStart w:id="28" w:name="_Toc292375873"/>
      <w:bookmarkStart w:id="29" w:name="_Toc255819805"/>
      <w:bookmarkStart w:id="30" w:name="_Toc240724029"/>
      <w:bookmarkStart w:id="31" w:name="_Toc283973049"/>
      <w:bookmarkStart w:id="32" w:name="_Toc261001044"/>
      <w:r>
        <w:rPr>
          <w:rFonts w:hint="eastAsia" w:ascii="宋体" w:hAnsi="宋体" w:cs="宋体"/>
          <w:b/>
          <w:color w:val="auto"/>
          <w:kern w:val="0"/>
          <w:sz w:val="24"/>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237656251"/>
      <w:bookmarkStart w:id="34" w:name="_Toc238443286"/>
      <w:bookmarkStart w:id="35" w:name="_Toc237138374"/>
      <w:bookmarkStart w:id="36" w:name="_Toc237079650"/>
      <w:bookmarkStart w:id="37" w:name="_Toc240724030"/>
      <w:bookmarkStart w:id="38" w:name="_Toc240724180"/>
      <w:bookmarkStart w:id="39" w:name="_Toc248896025"/>
      <w:bookmarkStart w:id="40" w:name="_Toc248896332"/>
      <w:bookmarkStart w:id="41" w:name="_Toc240724365"/>
      <w:bookmarkStart w:id="42" w:name="_Toc248896173"/>
      <w:bookmarkStart w:id="43" w:name="_Toc255459622"/>
      <w:bookmarkStart w:id="44" w:name="_Toc255819806"/>
      <w:bookmarkStart w:id="45" w:name="_Toc255821800"/>
      <w:bookmarkStart w:id="46" w:name="_Toc239128657"/>
      <w:bookmarkStart w:id="47" w:name="_Toc283973050"/>
      <w:bookmarkStart w:id="48" w:name="_Toc277078922"/>
      <w:bookmarkStart w:id="49" w:name="_Toc301444165"/>
      <w:bookmarkStart w:id="50" w:name="_Toc261001045"/>
      <w:bookmarkStart w:id="51" w:name="_Toc292375874"/>
      <w:bookmarkStart w:id="52" w:name="_Toc290043086"/>
      <w:bookmarkStart w:id="53" w:name="_Toc302983070"/>
      <w:bookmarkStart w:id="54" w:name="_Toc261001137"/>
      <w:bookmarkStart w:id="55" w:name="_Toc306901422"/>
      <w:r>
        <w:rPr>
          <w:rFonts w:hint="eastAsia" w:ascii="宋体" w:hAnsi="宋体" w:cs="宋体"/>
          <w:bCs/>
          <w:color w:val="auto"/>
          <w:kern w:val="0"/>
          <w:sz w:val="24"/>
          <w:lang w:eastAsia="zh-CN"/>
        </w:rPr>
        <w:t>XJCG-2019-GK006</w:t>
      </w:r>
    </w:p>
    <w:p>
      <w:pPr>
        <w:widowControl/>
        <w:numPr>
          <w:ilvl w:val="0"/>
          <w:numId w:val="5"/>
        </w:numPr>
        <w:spacing w:before="60" w:after="60" w:line="360" w:lineRule="auto"/>
        <w:ind w:firstLine="482" w:firstLineChars="200"/>
        <w:jc w:val="left"/>
        <w:outlineLvl w:val="0"/>
        <w:rPr>
          <w:rFonts w:hint="eastAsia" w:ascii="宋体" w:hAnsi="宋体" w:cs="宋体"/>
          <w:bCs/>
          <w:color w:val="auto"/>
          <w:kern w:val="0"/>
          <w:sz w:val="24"/>
        </w:rPr>
      </w:pPr>
      <w:r>
        <w:rPr>
          <w:rFonts w:hint="eastAsia" w:ascii="宋体" w:hAnsi="宋体" w:cs="宋体"/>
          <w:b/>
          <w:color w:val="auto"/>
          <w:kern w:val="0"/>
          <w:sz w:val="24"/>
        </w:rPr>
        <w:t>采购组织类型：</w:t>
      </w:r>
      <w:bookmarkStart w:id="56" w:name="B09_采购组织类型"/>
      <w:r>
        <w:rPr>
          <w:rFonts w:hint="eastAsia" w:ascii="宋体" w:hAnsi="宋体" w:cs="宋体"/>
          <w:bCs/>
          <w:color w:val="auto"/>
          <w:kern w:val="0"/>
          <w:sz w:val="24"/>
        </w:rPr>
        <w:t>政府集中采购</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widowControl/>
        <w:spacing w:before="60" w:after="60" w:line="360" w:lineRule="auto"/>
        <w:ind w:firstLine="482" w:firstLineChars="200"/>
        <w:jc w:val="left"/>
        <w:outlineLvl w:val="0"/>
        <w:rPr>
          <w:rFonts w:hint="eastAsia" w:ascii="宋体" w:hAnsi="宋体" w:cs="宋体"/>
          <w:b/>
          <w:color w:val="auto"/>
          <w:kern w:val="0"/>
          <w:sz w:val="24"/>
        </w:rPr>
      </w:pPr>
      <w:bookmarkStart w:id="57" w:name="_Toc240724031"/>
      <w:bookmarkStart w:id="58" w:name="_Toc237079651"/>
      <w:bookmarkStart w:id="59" w:name="_Toc239128658"/>
      <w:bookmarkStart w:id="60" w:name="_Toc248896333"/>
      <w:bookmarkStart w:id="61" w:name="_Toc255819807"/>
      <w:bookmarkStart w:id="62" w:name="_Toc238443287"/>
      <w:bookmarkStart w:id="63" w:name="_Toc248896026"/>
      <w:bookmarkStart w:id="64" w:name="_Toc302983071"/>
      <w:bookmarkStart w:id="65" w:name="_Toc306901423"/>
      <w:bookmarkStart w:id="66" w:name="_Toc283973051"/>
      <w:bookmarkStart w:id="67" w:name="_Toc255821801"/>
      <w:bookmarkStart w:id="68" w:name="_Toc255459623"/>
      <w:bookmarkStart w:id="69" w:name="_Toc248896174"/>
      <w:bookmarkStart w:id="70" w:name="_Toc277078923"/>
      <w:bookmarkStart w:id="71" w:name="_Toc218007229"/>
      <w:bookmarkStart w:id="72" w:name="_Toc237138375"/>
      <w:bookmarkStart w:id="73" w:name="_Toc218007960"/>
      <w:bookmarkStart w:id="74" w:name="_Toc237656252"/>
      <w:bookmarkStart w:id="75" w:name="_Toc240724366"/>
      <w:bookmarkStart w:id="76" w:name="_Toc217998400"/>
      <w:bookmarkStart w:id="77" w:name="_Toc240724181"/>
      <w:bookmarkStart w:id="78" w:name="_Toc261001046"/>
      <w:bookmarkStart w:id="79" w:name="_Toc290043087"/>
      <w:bookmarkStart w:id="80" w:name="_Toc292375875"/>
      <w:bookmarkStart w:id="81" w:name="_Toc301444166"/>
      <w:bookmarkStart w:id="82" w:name="_Toc261001138"/>
      <w:r>
        <w:rPr>
          <w:rFonts w:hint="eastAsia" w:ascii="宋体" w:hAnsi="宋体" w:cs="宋体"/>
          <w:b/>
          <w:color w:val="auto"/>
          <w:kern w:val="0"/>
          <w:sz w:val="24"/>
        </w:rPr>
        <w:t>三、招标项目概况:</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B10_招标内容"/>
      <w:bookmarkEnd w:id="83"/>
      <w:bookmarkStart w:id="84" w:name="_Toc240724367"/>
      <w:bookmarkStart w:id="85" w:name="_Toc248896027"/>
      <w:bookmarkStart w:id="86" w:name="_Toc248896175"/>
      <w:bookmarkStart w:id="87" w:name="_Toc248896334"/>
      <w:bookmarkStart w:id="88" w:name="_Toc255459624"/>
      <w:bookmarkStart w:id="89" w:name="_Toc237656253"/>
      <w:bookmarkStart w:id="90" w:name="_Toc292375877"/>
      <w:bookmarkStart w:id="91" w:name="_Toc255821802"/>
      <w:bookmarkStart w:id="92" w:name="_Toc255819808"/>
      <w:bookmarkStart w:id="93" w:name="_Toc218007230"/>
      <w:bookmarkStart w:id="94" w:name="_Toc283973056"/>
      <w:bookmarkStart w:id="95" w:name="_Toc302983073"/>
      <w:bookmarkStart w:id="96" w:name="_Toc218007961"/>
      <w:bookmarkStart w:id="97" w:name="_Toc237138376"/>
      <w:bookmarkStart w:id="98" w:name="_Toc290043091"/>
      <w:bookmarkStart w:id="99" w:name="_Toc277078924"/>
      <w:bookmarkStart w:id="100" w:name="_Toc261001047"/>
      <w:bookmarkStart w:id="101" w:name="_Toc261001139"/>
      <w:bookmarkStart w:id="102" w:name="_Toc238443288"/>
      <w:bookmarkStart w:id="103" w:name="_Toc239128659"/>
      <w:bookmarkStart w:id="104" w:name="_Toc237079652"/>
      <w:bookmarkStart w:id="105" w:name="_Toc240724182"/>
      <w:bookmarkStart w:id="106" w:name="_Toc240724032"/>
      <w:bookmarkStart w:id="107" w:name="_Toc306901425"/>
      <w:bookmarkStart w:id="108" w:name="_Toc301444168"/>
      <w:bookmarkStart w:id="109" w:name="_Toc217998401"/>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95"/>
        <w:gridCol w:w="1395"/>
        <w:gridCol w:w="1395"/>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35" w:type="dxa"/>
            <w:noWrap w:val="0"/>
            <w:vAlign w:val="center"/>
          </w:tcPr>
          <w:p>
            <w:pPr>
              <w:tabs>
                <w:tab w:val="left" w:pos="8280"/>
              </w:tabs>
              <w:autoSpaceDE w:val="0"/>
              <w:autoSpaceDN w:val="0"/>
              <w:adjustRightInd w:val="0"/>
              <w:ind w:right="25"/>
              <w:jc w:val="center"/>
              <w:rPr>
                <w:rFonts w:hint="eastAsia" w:ascii="宋体" w:hAnsi="宋体" w:cs="宋体"/>
                <w:b/>
                <w:bCs w:val="0"/>
                <w:color w:val="auto"/>
                <w:sz w:val="24"/>
              </w:rPr>
            </w:pPr>
            <w:r>
              <w:rPr>
                <w:rFonts w:hint="eastAsia" w:ascii="宋体" w:hAnsi="宋体" w:cs="宋体"/>
                <w:b/>
                <w:bCs w:val="0"/>
                <w:color w:val="auto"/>
                <w:sz w:val="24"/>
              </w:rPr>
              <w:t>标项序号</w:t>
            </w:r>
          </w:p>
        </w:tc>
        <w:tc>
          <w:tcPr>
            <w:tcW w:w="795" w:type="dxa"/>
            <w:noWrap w:val="0"/>
            <w:vAlign w:val="center"/>
          </w:tcPr>
          <w:p>
            <w:pPr>
              <w:tabs>
                <w:tab w:val="left" w:pos="8280"/>
              </w:tabs>
              <w:autoSpaceDE w:val="0"/>
              <w:autoSpaceDN w:val="0"/>
              <w:adjustRightInd w:val="0"/>
              <w:ind w:right="25"/>
              <w:jc w:val="center"/>
              <w:rPr>
                <w:rFonts w:hint="eastAsia" w:ascii="宋体" w:hAnsi="宋体" w:cs="宋体"/>
                <w:b/>
                <w:bCs w:val="0"/>
                <w:color w:val="auto"/>
                <w:sz w:val="24"/>
              </w:rPr>
            </w:pPr>
            <w:r>
              <w:rPr>
                <w:rFonts w:hint="eastAsia" w:ascii="宋体" w:hAnsi="宋体" w:cs="宋体"/>
                <w:b/>
                <w:bCs w:val="0"/>
                <w:color w:val="auto"/>
                <w:sz w:val="24"/>
              </w:rPr>
              <w:t>标项名称</w:t>
            </w:r>
          </w:p>
        </w:tc>
        <w:tc>
          <w:tcPr>
            <w:tcW w:w="1395" w:type="dxa"/>
            <w:noWrap w:val="0"/>
            <w:vAlign w:val="center"/>
          </w:tcPr>
          <w:p>
            <w:pPr>
              <w:tabs>
                <w:tab w:val="left" w:pos="8280"/>
              </w:tabs>
              <w:autoSpaceDE w:val="0"/>
              <w:autoSpaceDN w:val="0"/>
              <w:adjustRightInd w:val="0"/>
              <w:ind w:right="25" w:firstLine="120" w:firstLineChars="50"/>
              <w:jc w:val="center"/>
              <w:rPr>
                <w:rFonts w:hint="eastAsia" w:ascii="宋体" w:hAnsi="宋体" w:cs="宋体"/>
                <w:b/>
                <w:bCs w:val="0"/>
                <w:color w:val="auto"/>
                <w:sz w:val="24"/>
              </w:rPr>
            </w:pPr>
            <w:r>
              <w:rPr>
                <w:rFonts w:hint="eastAsia" w:ascii="宋体" w:hAnsi="宋体" w:cs="宋体"/>
                <w:b/>
                <w:bCs w:val="0"/>
                <w:color w:val="auto"/>
                <w:sz w:val="24"/>
              </w:rPr>
              <w:t>预算金额（万元）</w:t>
            </w:r>
          </w:p>
        </w:tc>
        <w:tc>
          <w:tcPr>
            <w:tcW w:w="1395" w:type="dxa"/>
            <w:noWrap w:val="0"/>
            <w:vAlign w:val="center"/>
          </w:tcPr>
          <w:p>
            <w:pPr>
              <w:tabs>
                <w:tab w:val="left" w:pos="8280"/>
              </w:tabs>
              <w:autoSpaceDE w:val="0"/>
              <w:autoSpaceDN w:val="0"/>
              <w:adjustRightInd w:val="0"/>
              <w:ind w:right="25" w:firstLine="120" w:firstLineChars="50"/>
              <w:jc w:val="center"/>
              <w:rPr>
                <w:rFonts w:hint="eastAsia" w:ascii="宋体" w:hAnsi="宋体" w:cs="宋体"/>
                <w:b/>
                <w:bCs w:val="0"/>
                <w:color w:val="auto"/>
                <w:sz w:val="24"/>
              </w:rPr>
            </w:pPr>
          </w:p>
          <w:p>
            <w:pPr>
              <w:tabs>
                <w:tab w:val="left" w:pos="8280"/>
              </w:tabs>
              <w:autoSpaceDE w:val="0"/>
              <w:autoSpaceDN w:val="0"/>
              <w:adjustRightInd w:val="0"/>
              <w:ind w:right="25" w:firstLine="120" w:firstLineChars="50"/>
              <w:jc w:val="center"/>
              <w:rPr>
                <w:rFonts w:hint="eastAsia" w:ascii="宋体" w:hAnsi="宋体" w:cs="宋体"/>
                <w:b/>
                <w:bCs w:val="0"/>
                <w:color w:val="auto"/>
                <w:sz w:val="24"/>
              </w:rPr>
            </w:pPr>
            <w:r>
              <w:rPr>
                <w:rFonts w:hint="eastAsia" w:ascii="宋体" w:hAnsi="宋体" w:cs="宋体"/>
                <w:b/>
                <w:bCs w:val="0"/>
                <w:color w:val="auto"/>
                <w:sz w:val="24"/>
              </w:rPr>
              <w:t>最高限价（万元）</w:t>
            </w:r>
          </w:p>
          <w:p>
            <w:pPr>
              <w:tabs>
                <w:tab w:val="left" w:pos="8280"/>
              </w:tabs>
              <w:autoSpaceDE w:val="0"/>
              <w:autoSpaceDN w:val="0"/>
              <w:adjustRightInd w:val="0"/>
              <w:ind w:right="25" w:firstLine="120" w:firstLineChars="50"/>
              <w:jc w:val="center"/>
              <w:rPr>
                <w:rFonts w:hint="eastAsia" w:ascii="宋体" w:hAnsi="宋体" w:cs="宋体"/>
                <w:b/>
                <w:bCs w:val="0"/>
                <w:color w:val="auto"/>
                <w:sz w:val="24"/>
              </w:rPr>
            </w:pPr>
          </w:p>
        </w:tc>
        <w:tc>
          <w:tcPr>
            <w:tcW w:w="5383" w:type="dxa"/>
            <w:noWrap w:val="0"/>
            <w:vAlign w:val="center"/>
          </w:tcPr>
          <w:p>
            <w:pPr>
              <w:tabs>
                <w:tab w:val="left" w:pos="8280"/>
              </w:tabs>
              <w:autoSpaceDE w:val="0"/>
              <w:autoSpaceDN w:val="0"/>
              <w:adjustRightInd w:val="0"/>
              <w:ind w:right="25" w:firstLine="120" w:firstLineChars="50"/>
              <w:jc w:val="center"/>
              <w:rPr>
                <w:rFonts w:hint="eastAsia" w:ascii="宋体" w:hAnsi="宋体" w:eastAsia="宋体" w:cs="宋体"/>
                <w:b/>
                <w:bCs w:val="0"/>
                <w:color w:val="auto"/>
                <w:sz w:val="24"/>
                <w:lang w:val="en-US" w:eastAsia="zh-CN"/>
              </w:rPr>
            </w:pPr>
            <w:r>
              <w:rPr>
                <w:rFonts w:hint="eastAsia" w:ascii="宋体" w:hAnsi="宋体" w:cs="宋体"/>
                <w:b/>
                <w:bCs w:val="0"/>
                <w:color w:val="auto"/>
                <w:sz w:val="24"/>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35" w:type="dxa"/>
            <w:noWrap w:val="0"/>
            <w:vAlign w:val="center"/>
          </w:tcPr>
          <w:p>
            <w:pPr>
              <w:tabs>
                <w:tab w:val="left" w:pos="8280"/>
              </w:tabs>
              <w:autoSpaceDE w:val="0"/>
              <w:autoSpaceDN w:val="0"/>
              <w:adjustRightInd w:val="0"/>
              <w:ind w:right="25"/>
              <w:jc w:val="center"/>
              <w:rPr>
                <w:rFonts w:hint="eastAsia" w:ascii="宋体" w:hAnsi="宋体" w:cs="宋体"/>
                <w:b w:val="0"/>
                <w:bCs/>
                <w:color w:val="auto"/>
                <w:sz w:val="24"/>
              </w:rPr>
            </w:pPr>
            <w:r>
              <w:rPr>
                <w:rFonts w:hint="eastAsia" w:ascii="宋体" w:hAnsi="宋体" w:cs="宋体"/>
                <w:b w:val="0"/>
                <w:bCs/>
                <w:color w:val="auto"/>
                <w:sz w:val="24"/>
              </w:rPr>
              <w:t>1</w:t>
            </w:r>
          </w:p>
        </w:tc>
        <w:tc>
          <w:tcPr>
            <w:tcW w:w="795" w:type="dxa"/>
            <w:vMerge w:val="restart"/>
            <w:noWrap w:val="0"/>
            <w:vAlign w:val="center"/>
          </w:tcPr>
          <w:p>
            <w:pPr>
              <w:widowControl/>
              <w:jc w:val="center"/>
              <w:rPr>
                <w:rFonts w:hint="eastAsia" w:ascii="宋体" w:hAnsi="宋体" w:eastAsia="宋体" w:cs="宋体"/>
                <w:b w:val="0"/>
                <w:bCs/>
                <w:color w:val="auto"/>
                <w:sz w:val="24"/>
                <w:lang w:eastAsia="zh-CN"/>
              </w:rPr>
            </w:pPr>
            <w:r>
              <w:rPr>
                <w:rFonts w:hint="eastAsia" w:ascii="宋体" w:hAnsi="宋体" w:cs="宋体"/>
                <w:b w:val="0"/>
                <w:bCs/>
                <w:color w:val="auto"/>
                <w:sz w:val="24"/>
                <w:lang w:eastAsia="zh-CN"/>
              </w:rPr>
              <w:t>仙居县2019年雪亮工程服务</w:t>
            </w:r>
          </w:p>
        </w:tc>
        <w:tc>
          <w:tcPr>
            <w:tcW w:w="1395" w:type="dxa"/>
            <w:noWrap w:val="0"/>
            <w:vAlign w:val="center"/>
          </w:tcPr>
          <w:p>
            <w:pPr>
              <w:tabs>
                <w:tab w:val="left" w:pos="8280"/>
              </w:tabs>
              <w:autoSpaceDE w:val="0"/>
              <w:autoSpaceDN w:val="0"/>
              <w:adjustRightInd w:val="0"/>
              <w:ind w:right="25" w:rightChars="0"/>
              <w:jc w:val="center"/>
              <w:rPr>
                <w:rFonts w:hint="eastAsia" w:ascii="宋体" w:hAnsi="宋体" w:cs="宋体"/>
                <w:b w:val="0"/>
                <w:bCs/>
                <w:color w:val="auto"/>
                <w:sz w:val="24"/>
                <w:lang w:val="en-US"/>
              </w:rPr>
            </w:pPr>
            <w:r>
              <w:rPr>
                <w:rFonts w:hint="eastAsia" w:ascii="宋体"/>
                <w:b w:val="0"/>
                <w:bCs/>
                <w:color w:val="auto"/>
                <w:sz w:val="24"/>
                <w:szCs w:val="24"/>
                <w:lang w:val="en-US" w:eastAsia="zh-CN"/>
              </w:rPr>
              <w:t>1557</w:t>
            </w:r>
          </w:p>
        </w:tc>
        <w:tc>
          <w:tcPr>
            <w:tcW w:w="1395" w:type="dxa"/>
            <w:noWrap w:val="0"/>
            <w:vAlign w:val="center"/>
          </w:tcPr>
          <w:p>
            <w:pPr>
              <w:widowControl/>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1555</w:t>
            </w:r>
          </w:p>
        </w:tc>
        <w:tc>
          <w:tcPr>
            <w:tcW w:w="5383" w:type="dxa"/>
            <w:noWrap w:val="0"/>
            <w:vAlign w:val="center"/>
          </w:tcPr>
          <w:p>
            <w:pPr>
              <w:tabs>
                <w:tab w:val="left" w:pos="8280"/>
              </w:tabs>
              <w:autoSpaceDE w:val="0"/>
              <w:autoSpaceDN w:val="0"/>
              <w:adjustRightInd w:val="0"/>
              <w:ind w:right="25" w:rightChars="0"/>
              <w:jc w:val="left"/>
              <w:rPr>
                <w:rFonts w:ascii="宋体" w:hAnsi="宋体" w:cs="宋体"/>
                <w:b w:val="0"/>
                <w:bCs/>
                <w:color w:val="auto"/>
                <w:sz w:val="24"/>
              </w:rPr>
            </w:pPr>
            <w:r>
              <w:rPr>
                <w:rFonts w:hint="eastAsia" w:ascii="宋体"/>
                <w:b w:val="0"/>
                <w:bCs/>
                <w:color w:val="auto"/>
                <w:sz w:val="21"/>
                <w:szCs w:val="21"/>
                <w:lang w:val="en-US" w:eastAsia="zh-CN"/>
              </w:rPr>
              <w:t>购买</w:t>
            </w:r>
            <w:r>
              <w:rPr>
                <w:rFonts w:hint="eastAsia" w:ascii="宋体"/>
                <w:b w:val="0"/>
                <w:bCs/>
                <w:color w:val="auto"/>
                <w:sz w:val="21"/>
                <w:szCs w:val="21"/>
              </w:rPr>
              <w:t>900W超高清智能车辆卡口数据251路,后台可切换人脸卡口及道路微卡口的自带补光视频流及人脸或微卡口数据服务217路,半球人脸卡口</w:t>
            </w:r>
            <w:r>
              <w:rPr>
                <w:rFonts w:hint="eastAsia" w:ascii="宋体"/>
                <w:b w:val="0"/>
                <w:bCs/>
                <w:color w:val="auto"/>
                <w:sz w:val="21"/>
                <w:szCs w:val="21"/>
                <w:lang w:eastAsia="zh-CN"/>
              </w:rPr>
              <w:t>服务</w:t>
            </w:r>
            <w:r>
              <w:rPr>
                <w:rFonts w:hint="eastAsia" w:ascii="宋体"/>
                <w:b w:val="0"/>
                <w:bCs/>
                <w:color w:val="auto"/>
                <w:sz w:val="21"/>
                <w:szCs w:val="21"/>
              </w:rPr>
              <w:t>3路，仙居县雪亮工程公共安全视频图像共享总平台服务一套。区域覆盖为城区三个街道</w:t>
            </w:r>
            <w:r>
              <w:rPr>
                <w:rFonts w:hint="eastAsia" w:ascii="宋体"/>
                <w:b w:val="0"/>
                <w:bCs/>
                <w:color w:val="auto"/>
                <w:sz w:val="21"/>
                <w:szCs w:val="21"/>
                <w:lang w:eastAsia="zh-CN"/>
              </w:rPr>
              <w:t>（</w:t>
            </w:r>
            <w:r>
              <w:rPr>
                <w:rFonts w:hint="eastAsia" w:ascii="宋体"/>
                <w:b w:val="0"/>
                <w:bCs/>
                <w:color w:val="auto"/>
                <w:sz w:val="21"/>
                <w:szCs w:val="21"/>
              </w:rPr>
              <w:t>福应街道、南峰街道、安洲街道</w:t>
            </w:r>
            <w:r>
              <w:rPr>
                <w:rFonts w:hint="eastAsia" w:ascii="宋体"/>
                <w:b w:val="0"/>
                <w:bCs/>
                <w:color w:val="auto"/>
                <w:sz w:val="21"/>
                <w:szCs w:val="21"/>
                <w:lang w:eastAsia="zh-CN"/>
              </w:rPr>
              <w:t>）</w:t>
            </w:r>
            <w:r>
              <w:rPr>
                <w:rFonts w:hint="eastAsia" w:ascii="宋体"/>
                <w:b w:val="0"/>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735" w:type="dxa"/>
            <w:noWrap w:val="0"/>
            <w:vAlign w:val="center"/>
          </w:tcPr>
          <w:p>
            <w:pPr>
              <w:tabs>
                <w:tab w:val="left" w:pos="8280"/>
              </w:tabs>
              <w:autoSpaceDE w:val="0"/>
              <w:autoSpaceDN w:val="0"/>
              <w:adjustRightInd w:val="0"/>
              <w:ind w:right="25"/>
              <w:jc w:val="center"/>
              <w:rPr>
                <w:rFonts w:hint="eastAsia" w:ascii="宋体" w:hAnsi="宋体" w:cs="宋体"/>
                <w:b w:val="0"/>
                <w:bCs/>
                <w:color w:val="auto"/>
                <w:sz w:val="24"/>
              </w:rPr>
            </w:pPr>
            <w:r>
              <w:rPr>
                <w:rFonts w:hint="eastAsia" w:ascii="宋体" w:hAnsi="宋体" w:cs="宋体"/>
                <w:b w:val="0"/>
                <w:bCs/>
                <w:color w:val="auto"/>
                <w:sz w:val="24"/>
              </w:rPr>
              <w:t>2</w:t>
            </w:r>
          </w:p>
        </w:tc>
        <w:tc>
          <w:tcPr>
            <w:tcW w:w="795" w:type="dxa"/>
            <w:vMerge w:val="continue"/>
            <w:noWrap w:val="0"/>
            <w:vAlign w:val="center"/>
          </w:tcPr>
          <w:p>
            <w:pPr>
              <w:widowControl/>
              <w:jc w:val="center"/>
              <w:rPr>
                <w:rFonts w:hint="eastAsia" w:ascii="宋体" w:hAnsi="宋体" w:cs="宋体"/>
                <w:b w:val="0"/>
                <w:bCs/>
                <w:color w:val="auto"/>
                <w:sz w:val="24"/>
              </w:rPr>
            </w:pPr>
          </w:p>
        </w:tc>
        <w:tc>
          <w:tcPr>
            <w:tcW w:w="1395" w:type="dxa"/>
            <w:noWrap w:val="0"/>
            <w:vAlign w:val="center"/>
          </w:tcPr>
          <w:p>
            <w:pPr>
              <w:tabs>
                <w:tab w:val="left" w:pos="8280"/>
              </w:tabs>
              <w:autoSpaceDE w:val="0"/>
              <w:autoSpaceDN w:val="0"/>
              <w:adjustRightInd w:val="0"/>
              <w:ind w:right="25" w:rightChars="0"/>
              <w:jc w:val="center"/>
              <w:rPr>
                <w:rFonts w:hint="eastAsia" w:ascii="宋体" w:hAnsi="宋体" w:cs="宋体"/>
                <w:b w:val="0"/>
                <w:bCs/>
                <w:color w:val="auto"/>
                <w:sz w:val="24"/>
                <w:lang w:val="en-US"/>
              </w:rPr>
            </w:pPr>
            <w:r>
              <w:rPr>
                <w:rFonts w:hint="eastAsia" w:ascii="宋体"/>
                <w:b w:val="0"/>
                <w:bCs/>
                <w:color w:val="auto"/>
                <w:sz w:val="24"/>
                <w:szCs w:val="24"/>
                <w:lang w:val="en-US" w:eastAsia="zh-CN"/>
              </w:rPr>
              <w:t>1682</w:t>
            </w:r>
          </w:p>
        </w:tc>
        <w:tc>
          <w:tcPr>
            <w:tcW w:w="1395" w:type="dxa"/>
            <w:noWrap w:val="0"/>
            <w:vAlign w:val="center"/>
          </w:tcPr>
          <w:p>
            <w:pPr>
              <w:widowControl/>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1680</w:t>
            </w:r>
          </w:p>
        </w:tc>
        <w:tc>
          <w:tcPr>
            <w:tcW w:w="5383" w:type="dxa"/>
            <w:noWrap w:val="0"/>
            <w:vAlign w:val="center"/>
          </w:tcPr>
          <w:p>
            <w:pPr>
              <w:widowControl/>
              <w:jc w:val="left"/>
              <w:rPr>
                <w:rFonts w:ascii="宋体" w:hAnsi="宋体" w:cs="宋体"/>
                <w:b w:val="0"/>
                <w:bCs/>
                <w:color w:val="auto"/>
                <w:sz w:val="21"/>
                <w:szCs w:val="21"/>
              </w:rPr>
            </w:pPr>
            <w:r>
              <w:rPr>
                <w:rFonts w:hint="eastAsia" w:ascii="宋体"/>
                <w:b w:val="0"/>
                <w:bCs/>
                <w:color w:val="auto"/>
                <w:sz w:val="21"/>
                <w:szCs w:val="21"/>
                <w:lang w:val="en-US" w:eastAsia="zh-CN"/>
              </w:rPr>
              <w:t>购买</w:t>
            </w:r>
            <w:r>
              <w:rPr>
                <w:rFonts w:hint="eastAsia" w:ascii="宋体"/>
                <w:b w:val="0"/>
                <w:bCs/>
                <w:color w:val="auto"/>
                <w:sz w:val="21"/>
                <w:szCs w:val="21"/>
              </w:rPr>
              <w:t>900W超高清智能车辆卡口数据94路,</w:t>
            </w:r>
            <w:r>
              <w:rPr>
                <w:rFonts w:hint="eastAsia" w:ascii="宋体"/>
                <w:b w:val="0"/>
                <w:bCs/>
                <w:color w:val="auto"/>
                <w:sz w:val="21"/>
                <w:szCs w:val="21"/>
                <w:lang w:eastAsia="zh-CN"/>
              </w:rPr>
              <w:t>后台</w:t>
            </w:r>
            <w:r>
              <w:rPr>
                <w:rFonts w:hint="eastAsia" w:ascii="宋体"/>
                <w:b w:val="0"/>
                <w:bCs/>
                <w:color w:val="auto"/>
                <w:sz w:val="21"/>
                <w:szCs w:val="21"/>
              </w:rPr>
              <w:t>可切换人脸卡口及道路微卡口的自带补光</w:t>
            </w:r>
            <w:r>
              <w:rPr>
                <w:rFonts w:hint="eastAsia" w:ascii="宋体"/>
                <w:b w:val="0"/>
                <w:bCs/>
                <w:color w:val="auto"/>
                <w:sz w:val="21"/>
                <w:szCs w:val="21"/>
                <w:lang w:eastAsia="zh-CN"/>
              </w:rPr>
              <w:t>带云台</w:t>
            </w:r>
            <w:r>
              <w:rPr>
                <w:rFonts w:hint="eastAsia" w:ascii="宋体"/>
                <w:b w:val="0"/>
                <w:bCs/>
                <w:color w:val="auto"/>
                <w:sz w:val="21"/>
                <w:szCs w:val="21"/>
              </w:rPr>
              <w:t>视频流及人脸或微卡口数据服务349路,半球人脸卡口</w:t>
            </w:r>
            <w:r>
              <w:rPr>
                <w:rFonts w:hint="eastAsia" w:ascii="宋体"/>
                <w:b w:val="0"/>
                <w:bCs/>
                <w:color w:val="auto"/>
                <w:sz w:val="21"/>
                <w:szCs w:val="21"/>
                <w:lang w:eastAsia="zh-CN"/>
              </w:rPr>
              <w:t>服务</w:t>
            </w:r>
            <w:r>
              <w:rPr>
                <w:rFonts w:hint="eastAsia" w:ascii="宋体"/>
                <w:b w:val="0"/>
                <w:bCs/>
                <w:color w:val="auto"/>
                <w:sz w:val="21"/>
                <w:szCs w:val="21"/>
              </w:rPr>
              <w:t>2路，星光级高空</w:t>
            </w:r>
            <w:r>
              <w:rPr>
                <w:rFonts w:hint="eastAsia" w:ascii="宋体"/>
                <w:b w:val="0"/>
                <w:bCs/>
                <w:color w:val="auto"/>
                <w:sz w:val="21"/>
                <w:szCs w:val="21"/>
                <w:lang w:eastAsia="zh-CN"/>
              </w:rPr>
              <w:t>瞭望数据</w:t>
            </w:r>
            <w:r>
              <w:rPr>
                <w:rFonts w:hint="eastAsia" w:ascii="宋体"/>
                <w:b w:val="0"/>
                <w:bCs/>
                <w:color w:val="auto"/>
                <w:sz w:val="21"/>
                <w:szCs w:val="21"/>
              </w:rPr>
              <w:t>3路，4G移动人脸车辆布控球</w:t>
            </w:r>
            <w:r>
              <w:rPr>
                <w:rFonts w:hint="eastAsia" w:ascii="宋体"/>
                <w:b w:val="0"/>
                <w:bCs/>
                <w:color w:val="auto"/>
                <w:sz w:val="21"/>
                <w:szCs w:val="21"/>
                <w:lang w:eastAsia="zh-CN"/>
              </w:rPr>
              <w:t>服务</w:t>
            </w:r>
            <w:r>
              <w:rPr>
                <w:rFonts w:hint="eastAsia" w:ascii="宋体"/>
                <w:b w:val="0"/>
                <w:bCs/>
                <w:color w:val="auto"/>
                <w:sz w:val="21"/>
                <w:szCs w:val="21"/>
              </w:rPr>
              <w:t>10路，SIM卡码及MAC采集数据服务</w:t>
            </w:r>
            <w:r>
              <w:rPr>
                <w:rFonts w:hint="eastAsia" w:ascii="宋体"/>
                <w:b w:val="0"/>
                <w:bCs/>
                <w:color w:val="auto"/>
                <w:sz w:val="21"/>
                <w:szCs w:val="21"/>
                <w:lang w:val="en-US" w:eastAsia="zh-CN"/>
              </w:rPr>
              <w:t>40</w:t>
            </w:r>
            <w:r>
              <w:rPr>
                <w:rFonts w:hint="eastAsia" w:ascii="宋体"/>
                <w:b w:val="0"/>
                <w:bCs/>
                <w:color w:val="auto"/>
                <w:sz w:val="21"/>
                <w:szCs w:val="21"/>
              </w:rPr>
              <w:t>路</w:t>
            </w:r>
            <w:r>
              <w:rPr>
                <w:rFonts w:hint="eastAsia" w:ascii="宋体"/>
                <w:b w:val="0"/>
                <w:bCs/>
                <w:color w:val="auto"/>
                <w:sz w:val="21"/>
                <w:szCs w:val="21"/>
                <w:lang w:eastAsia="zh-CN"/>
              </w:rPr>
              <w:t>，天网视频作战侦查平台升级扩容</w:t>
            </w:r>
            <w:r>
              <w:rPr>
                <w:rFonts w:hint="eastAsia" w:ascii="宋体"/>
                <w:b w:val="0"/>
                <w:bCs/>
                <w:color w:val="auto"/>
                <w:sz w:val="21"/>
                <w:szCs w:val="21"/>
              </w:rPr>
              <w:t>服务及图像视频结构化处理二次分析平台服务各一套,</w:t>
            </w:r>
            <w:r>
              <w:rPr>
                <w:rFonts w:hint="eastAsia" w:ascii="宋体"/>
                <w:b w:val="0"/>
                <w:bCs/>
                <w:color w:val="auto"/>
                <w:sz w:val="21"/>
                <w:szCs w:val="21"/>
                <w:lang w:eastAsia="zh-CN"/>
              </w:rPr>
              <w:t>包括</w:t>
            </w:r>
            <w:r>
              <w:rPr>
                <w:rFonts w:hint="eastAsia" w:ascii="宋体"/>
                <w:b w:val="0"/>
                <w:bCs/>
                <w:color w:val="auto"/>
                <w:sz w:val="21"/>
                <w:szCs w:val="21"/>
              </w:rPr>
              <w:t>转码网关</w:t>
            </w:r>
            <w:r>
              <w:rPr>
                <w:rFonts w:hint="eastAsia" w:ascii="宋体"/>
                <w:b w:val="0"/>
                <w:bCs/>
                <w:color w:val="auto"/>
                <w:sz w:val="21"/>
                <w:szCs w:val="21"/>
                <w:lang w:eastAsia="zh-CN"/>
              </w:rPr>
              <w:t>及视频边界接入系统各</w:t>
            </w:r>
            <w:r>
              <w:rPr>
                <w:rFonts w:hint="eastAsia" w:ascii="宋体"/>
                <w:b w:val="0"/>
                <w:bCs/>
                <w:color w:val="auto"/>
                <w:sz w:val="21"/>
                <w:szCs w:val="21"/>
              </w:rPr>
              <w:t>一套</w:t>
            </w:r>
            <w:r>
              <w:rPr>
                <w:rFonts w:hint="eastAsia" w:ascii="宋体"/>
                <w:b w:val="0"/>
                <w:bCs/>
                <w:color w:val="auto"/>
                <w:sz w:val="21"/>
                <w:szCs w:val="21"/>
                <w:lang w:eastAsia="zh-CN"/>
              </w:rPr>
              <w:t>。</w:t>
            </w:r>
            <w:r>
              <w:rPr>
                <w:rFonts w:hint="eastAsia" w:ascii="宋体"/>
                <w:b w:val="0"/>
                <w:bCs/>
                <w:color w:val="auto"/>
                <w:sz w:val="21"/>
                <w:szCs w:val="21"/>
              </w:rPr>
              <w:t>区域覆盖为下各、大战、上张、双庙、朱溪、步路、官路等乡镇；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35" w:type="dxa"/>
            <w:noWrap w:val="0"/>
            <w:vAlign w:val="center"/>
          </w:tcPr>
          <w:p>
            <w:pPr>
              <w:tabs>
                <w:tab w:val="left" w:pos="8280"/>
              </w:tabs>
              <w:autoSpaceDE w:val="0"/>
              <w:autoSpaceDN w:val="0"/>
              <w:adjustRightInd w:val="0"/>
              <w:ind w:right="25"/>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3</w:t>
            </w:r>
          </w:p>
        </w:tc>
        <w:tc>
          <w:tcPr>
            <w:tcW w:w="795" w:type="dxa"/>
            <w:vMerge w:val="continue"/>
            <w:noWrap w:val="0"/>
            <w:vAlign w:val="center"/>
          </w:tcPr>
          <w:p>
            <w:pPr>
              <w:widowControl/>
              <w:jc w:val="center"/>
              <w:rPr>
                <w:rFonts w:hint="eastAsia" w:ascii="宋体" w:hAnsi="宋体" w:cs="宋体"/>
                <w:b w:val="0"/>
                <w:bCs/>
                <w:color w:val="auto"/>
                <w:sz w:val="24"/>
              </w:rPr>
            </w:pPr>
          </w:p>
        </w:tc>
        <w:tc>
          <w:tcPr>
            <w:tcW w:w="1395" w:type="dxa"/>
            <w:noWrap w:val="0"/>
            <w:vAlign w:val="center"/>
          </w:tcPr>
          <w:p>
            <w:pPr>
              <w:tabs>
                <w:tab w:val="left" w:pos="8280"/>
              </w:tabs>
              <w:autoSpaceDE w:val="0"/>
              <w:autoSpaceDN w:val="0"/>
              <w:adjustRightInd w:val="0"/>
              <w:ind w:right="25" w:rightChars="0"/>
              <w:jc w:val="center"/>
              <w:rPr>
                <w:rFonts w:hint="eastAsia" w:ascii="宋体" w:hAnsi="宋体" w:cs="宋体"/>
                <w:b w:val="0"/>
                <w:bCs/>
                <w:color w:val="auto"/>
                <w:sz w:val="24"/>
                <w:lang w:val="en-US"/>
              </w:rPr>
            </w:pPr>
            <w:r>
              <w:rPr>
                <w:rFonts w:hint="eastAsia" w:ascii="宋体"/>
                <w:b w:val="0"/>
                <w:bCs/>
                <w:color w:val="auto"/>
                <w:sz w:val="24"/>
                <w:szCs w:val="24"/>
                <w:lang w:val="en-US" w:eastAsia="zh-CN"/>
              </w:rPr>
              <w:t>1597</w:t>
            </w:r>
          </w:p>
        </w:tc>
        <w:tc>
          <w:tcPr>
            <w:tcW w:w="1395" w:type="dxa"/>
            <w:noWrap w:val="0"/>
            <w:vAlign w:val="center"/>
          </w:tcPr>
          <w:p>
            <w:pPr>
              <w:widowControl/>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1595</w:t>
            </w:r>
          </w:p>
        </w:tc>
        <w:tc>
          <w:tcPr>
            <w:tcW w:w="5383" w:type="dxa"/>
            <w:noWrap w:val="0"/>
            <w:vAlign w:val="center"/>
          </w:tcPr>
          <w:p>
            <w:pPr>
              <w:widowControl/>
              <w:jc w:val="left"/>
              <w:rPr>
                <w:rFonts w:hint="eastAsia" w:ascii="宋体" w:hAnsi="宋体" w:cs="宋体"/>
                <w:b w:val="0"/>
                <w:bCs/>
                <w:color w:val="auto"/>
                <w:sz w:val="21"/>
                <w:szCs w:val="21"/>
              </w:rPr>
            </w:pPr>
            <w:r>
              <w:rPr>
                <w:rFonts w:hint="eastAsia" w:ascii="宋体"/>
                <w:b w:val="0"/>
                <w:bCs/>
                <w:color w:val="auto"/>
                <w:sz w:val="21"/>
                <w:szCs w:val="21"/>
                <w:lang w:val="en-US" w:eastAsia="zh-CN"/>
              </w:rPr>
              <w:t>购买</w:t>
            </w:r>
            <w:r>
              <w:rPr>
                <w:rFonts w:hint="eastAsia" w:ascii="宋体"/>
                <w:b w:val="0"/>
                <w:bCs/>
                <w:color w:val="auto"/>
                <w:sz w:val="21"/>
                <w:szCs w:val="21"/>
              </w:rPr>
              <w:t xml:space="preserve"> 900W超高清智能车辆卡口数据168路,后台可切换人脸卡口及道路微卡口的自带补光视频流及人脸或微卡口数据服务582路,半球人脸卡口</w:t>
            </w:r>
            <w:r>
              <w:rPr>
                <w:rFonts w:hint="eastAsia" w:ascii="宋体"/>
                <w:b w:val="0"/>
                <w:bCs/>
                <w:color w:val="auto"/>
                <w:sz w:val="21"/>
                <w:szCs w:val="21"/>
                <w:lang w:eastAsia="zh-CN"/>
              </w:rPr>
              <w:t>服务</w:t>
            </w:r>
            <w:r>
              <w:rPr>
                <w:rFonts w:hint="eastAsia" w:ascii="宋体"/>
                <w:b w:val="0"/>
                <w:bCs/>
                <w:color w:val="auto"/>
                <w:sz w:val="21"/>
                <w:szCs w:val="21"/>
              </w:rPr>
              <w:t>2路，完全能无缝对接台州市公安局人脸比对平台系统的仙居县动态视频流人像识别比对系统数据服务6</w:t>
            </w:r>
            <w:r>
              <w:rPr>
                <w:rFonts w:hint="eastAsia" w:ascii="宋体"/>
                <w:b w:val="0"/>
                <w:bCs/>
                <w:color w:val="auto"/>
                <w:sz w:val="21"/>
                <w:szCs w:val="21"/>
                <w:lang w:val="en-US" w:eastAsia="zh-CN"/>
              </w:rPr>
              <w:t>4</w:t>
            </w:r>
            <w:r>
              <w:rPr>
                <w:rFonts w:hint="eastAsia" w:ascii="宋体"/>
                <w:b w:val="0"/>
                <w:bCs/>
                <w:color w:val="auto"/>
                <w:sz w:val="21"/>
                <w:szCs w:val="21"/>
              </w:rPr>
              <w:t>0路,区域覆盖为田市、白塔、淡竹、皤滩、埠头、横溪、湫山等乡镇；</w:t>
            </w:r>
          </w:p>
        </w:tc>
      </w:tr>
    </w:tbl>
    <w:p>
      <w:pPr>
        <w:widowControl/>
        <w:numPr>
          <w:ilvl w:val="0"/>
          <w:numId w:val="0"/>
        </w:numPr>
        <w:spacing w:before="60" w:after="60" w:line="360" w:lineRule="auto"/>
        <w:ind w:firstLine="482" w:firstLineChars="200"/>
        <w:jc w:val="left"/>
        <w:outlineLvl w:val="0"/>
        <w:rPr>
          <w:rFonts w:hint="eastAsia" w:ascii="宋体" w:hAnsi="宋体" w:cs="宋体"/>
          <w:b/>
          <w:color w:val="auto"/>
          <w:kern w:val="0"/>
          <w:sz w:val="24"/>
        </w:rPr>
      </w:pPr>
      <w:r>
        <w:rPr>
          <w:rFonts w:hint="eastAsia" w:ascii="宋体" w:hAnsi="宋体" w:cs="宋体"/>
          <w:b/>
          <w:color w:val="auto"/>
          <w:kern w:val="0"/>
          <w:sz w:val="24"/>
          <w:lang w:val="en-US" w:eastAsia="zh-CN"/>
        </w:rPr>
        <w:t>四、</w:t>
      </w:r>
      <w:r>
        <w:rPr>
          <w:rFonts w:hint="eastAsia" w:ascii="宋体" w:hAnsi="宋体" w:cs="宋体"/>
          <w:b/>
          <w:color w:val="auto"/>
          <w:kern w:val="0"/>
          <w:sz w:val="24"/>
        </w:rPr>
        <w:t>投标供应商资格要求:</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Start w:id="110" w:name="_Toc218007962"/>
      <w:bookmarkStart w:id="111" w:name="_Toc237079653"/>
      <w:bookmarkStart w:id="112" w:name="_Toc248896028"/>
      <w:bookmarkStart w:id="113" w:name="_Toc248896176"/>
      <w:bookmarkStart w:id="114" w:name="_Toc217998402"/>
      <w:bookmarkStart w:id="115" w:name="_Toc218007231"/>
      <w:bookmarkStart w:id="116" w:name="_Toc237138377"/>
      <w:bookmarkStart w:id="117" w:name="_Toc240724033"/>
      <w:bookmarkStart w:id="118" w:name="_Toc261001048"/>
      <w:bookmarkStart w:id="119" w:name="_Toc255821803"/>
      <w:bookmarkStart w:id="120" w:name="_Toc261001140"/>
      <w:bookmarkStart w:id="121" w:name="_Toc255459625"/>
      <w:bookmarkStart w:id="122" w:name="_Toc248896335"/>
      <w:bookmarkStart w:id="123" w:name="_Toc277078925"/>
      <w:bookmarkStart w:id="124" w:name="_Toc238443289"/>
      <w:bookmarkStart w:id="125" w:name="_Toc240724183"/>
      <w:bookmarkStart w:id="126" w:name="_Toc255819809"/>
      <w:bookmarkStart w:id="127" w:name="_Toc240724368"/>
      <w:bookmarkStart w:id="128" w:name="_Toc239128660"/>
      <w:bookmarkStart w:id="129" w:name="_Toc237656254"/>
    </w:p>
    <w:p>
      <w:pPr>
        <w:tabs>
          <w:tab w:val="left" w:pos="180"/>
          <w:tab w:val="left" w:pos="360"/>
          <w:tab w:val="left" w:pos="540"/>
          <w:tab w:val="left" w:pos="8280"/>
        </w:tabs>
        <w:autoSpaceDE w:val="0"/>
        <w:autoSpaceDN w:val="0"/>
        <w:adjustRightInd w:val="0"/>
        <w:spacing w:before="60" w:after="6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一）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before="60" w:after="60" w:line="360" w:lineRule="auto"/>
        <w:ind w:firstLine="480" w:firstLineChars="200"/>
        <w:jc w:val="left"/>
        <w:rPr>
          <w:rFonts w:hint="eastAsia" w:ascii="宋体" w:hAnsi="宋体" w:cs="宋体"/>
          <w:color w:val="auto"/>
          <w:kern w:val="0"/>
          <w:sz w:val="24"/>
        </w:rPr>
      </w:pPr>
      <w:bookmarkStart w:id="130" w:name="_Toc290043095"/>
      <w:bookmarkStart w:id="131" w:name="_Toc306901430"/>
      <w:bookmarkStart w:id="132" w:name="_Toc301444173"/>
      <w:bookmarkStart w:id="133" w:name="_Toc283973060"/>
      <w:bookmarkStart w:id="134" w:name="_Toc292375881"/>
      <w:bookmarkStart w:id="135" w:name="_Toc302983077"/>
      <w:r>
        <w:rPr>
          <w:rFonts w:hint="eastAsia" w:ascii="宋体" w:hAnsi="宋体" w:cs="宋体"/>
          <w:color w:val="auto"/>
          <w:kern w:val="0"/>
          <w:sz w:val="24"/>
        </w:rPr>
        <w:t>（二）</w:t>
      </w:r>
      <w:r>
        <w:rPr>
          <w:rFonts w:hint="eastAsia" w:ascii="宋体" w:hAnsi="宋体" w:cs="宋体"/>
          <w:color w:val="auto"/>
          <w:sz w:val="24"/>
        </w:rPr>
        <w:t>本项目供应商特定条件</w:t>
      </w:r>
      <w:r>
        <w:rPr>
          <w:rFonts w:hint="eastAsia" w:ascii="宋体" w:hAnsi="宋体" w:cs="宋体"/>
          <w:color w:val="auto"/>
          <w:kern w:val="0"/>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val="0"/>
          <w:color w:val="auto"/>
          <w:kern w:val="0"/>
          <w:sz w:val="24"/>
        </w:rPr>
      </w:pPr>
      <w:r>
        <w:rPr>
          <w:rFonts w:hint="eastAsia" w:ascii="宋体" w:hAnsi="宋体" w:cs="宋体"/>
          <w:b w:val="0"/>
          <w:bCs w:val="0"/>
          <w:color w:val="auto"/>
          <w:sz w:val="24"/>
        </w:rPr>
        <w:t>1、</w:t>
      </w:r>
      <w:r>
        <w:rPr>
          <w:rFonts w:hint="eastAsia" w:ascii="宋体"/>
          <w:b w:val="0"/>
          <w:bCs w:val="0"/>
          <w:color w:val="auto"/>
          <w:sz w:val="24"/>
        </w:rPr>
        <w:t>具备《基础电信业务经营许可证》或</w:t>
      </w:r>
      <w:r>
        <w:rPr>
          <w:rFonts w:hint="eastAsia" w:ascii="宋体"/>
          <w:b w:val="0"/>
          <w:bCs w:val="0"/>
          <w:color w:val="auto"/>
          <w:sz w:val="24"/>
          <w:lang w:val="en-US" w:eastAsia="zh-CN"/>
        </w:rPr>
        <w:t>《</w:t>
      </w:r>
      <w:r>
        <w:rPr>
          <w:rFonts w:hint="eastAsia" w:ascii="宋体"/>
          <w:b w:val="0"/>
          <w:bCs w:val="0"/>
          <w:color w:val="auto"/>
          <w:sz w:val="24"/>
        </w:rPr>
        <w:t>广播电视节目传送经营许可证</w:t>
      </w:r>
      <w:r>
        <w:rPr>
          <w:rFonts w:hint="eastAsia" w:ascii="宋体"/>
          <w:b w:val="0"/>
          <w:bCs w:val="0"/>
          <w:color w:val="auto"/>
          <w:sz w:val="24"/>
          <w:lang w:val="en-US" w:eastAsia="zh-CN"/>
        </w:rPr>
        <w:t>》</w:t>
      </w:r>
      <w:r>
        <w:rPr>
          <w:rFonts w:hint="eastAsia" w:ascii="宋体" w:hAnsi="宋体" w:cs="宋体"/>
          <w:b w:val="0"/>
          <w:bCs w:val="0"/>
          <w:color w:val="auto"/>
          <w:kern w:val="0"/>
          <w:sz w:val="24"/>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s="宋体"/>
          <w:color w:val="auto"/>
          <w:sz w:val="24"/>
        </w:rPr>
      </w:pPr>
      <w:r>
        <w:rPr>
          <w:rFonts w:hint="eastAsia" w:ascii="宋体" w:hAnsi="宋体" w:cs="宋体"/>
          <w:color w:val="auto"/>
          <w:sz w:val="24"/>
        </w:rPr>
        <w:t>2、本项目不接受联合体投标。</w:t>
      </w:r>
    </w:p>
    <w:p>
      <w:pPr>
        <w:widowControl/>
        <w:spacing w:before="60" w:after="60" w:line="360" w:lineRule="auto"/>
        <w:ind w:firstLine="482" w:firstLineChars="200"/>
        <w:jc w:val="left"/>
        <w:outlineLvl w:val="0"/>
        <w:rPr>
          <w:rFonts w:hint="eastAsia" w:ascii="宋体" w:hAnsi="宋体" w:cs="宋体"/>
          <w:b/>
          <w:color w:val="auto"/>
          <w:kern w:val="0"/>
          <w:sz w:val="24"/>
        </w:rPr>
      </w:pPr>
      <w:r>
        <w:rPr>
          <w:rFonts w:hint="eastAsia" w:ascii="宋体" w:hAnsi="宋体" w:cs="宋体"/>
          <w:b/>
          <w:color w:val="auto"/>
          <w:kern w:val="0"/>
          <w:sz w:val="24"/>
        </w:rPr>
        <w:t>五、</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ascii="宋体" w:hAnsi="宋体" w:cs="宋体"/>
          <w:b/>
          <w:color w:val="auto"/>
          <w:sz w:val="24"/>
        </w:rPr>
        <w:t>招标文件获取的方式、时间</w:t>
      </w:r>
      <w:r>
        <w:rPr>
          <w:rFonts w:hint="eastAsia" w:ascii="宋体" w:hAnsi="宋体" w:cs="宋体"/>
          <w:b/>
          <w:color w:val="auto"/>
          <w:kern w:val="0"/>
          <w:sz w:val="24"/>
        </w:rPr>
        <w:t>：</w:t>
      </w:r>
    </w:p>
    <w:p>
      <w:pPr>
        <w:snapToGrid w:val="0"/>
        <w:spacing w:before="60" w:after="60" w:line="360" w:lineRule="auto"/>
        <w:ind w:firstLine="480" w:firstLineChars="200"/>
        <w:rPr>
          <w:rFonts w:hint="eastAsia" w:ascii="宋体" w:hAnsi="宋体" w:cs="宋体"/>
          <w:color w:val="auto"/>
          <w:spacing w:val="-11"/>
          <w:kern w:val="0"/>
          <w:sz w:val="24"/>
        </w:rPr>
      </w:pPr>
      <w:bookmarkStart w:id="136" w:name="_Toc217998403"/>
      <w:bookmarkStart w:id="137" w:name="_Toc261001049"/>
      <w:bookmarkStart w:id="138" w:name="_Toc261001141"/>
      <w:bookmarkStart w:id="139" w:name="_Toc237079654"/>
      <w:bookmarkStart w:id="140" w:name="_Toc237138378"/>
      <w:bookmarkStart w:id="141" w:name="_Toc238443290"/>
      <w:bookmarkStart w:id="142" w:name="_Toc240724034"/>
      <w:bookmarkStart w:id="143" w:name="_Toc240724184"/>
      <w:bookmarkStart w:id="144" w:name="_Toc239128661"/>
      <w:bookmarkStart w:id="145" w:name="_Toc255821804"/>
      <w:bookmarkStart w:id="146" w:name="_Toc218007232"/>
      <w:bookmarkStart w:id="147" w:name="_Toc218007963"/>
      <w:bookmarkStart w:id="148" w:name="_Toc237656255"/>
      <w:bookmarkStart w:id="149" w:name="_Toc248896029"/>
      <w:bookmarkStart w:id="150" w:name="_Toc290043096"/>
      <w:bookmarkStart w:id="151" w:name="_Toc255819810"/>
      <w:bookmarkStart w:id="152" w:name="_Toc292375882"/>
      <w:bookmarkStart w:id="153" w:name="_Toc302983078"/>
      <w:bookmarkStart w:id="154" w:name="_Toc248896336"/>
      <w:bookmarkStart w:id="155" w:name="_Toc240724369"/>
      <w:bookmarkStart w:id="156" w:name="_Toc248896177"/>
      <w:bookmarkStart w:id="157" w:name="_Toc306901431"/>
      <w:bookmarkStart w:id="158" w:name="_Toc301444174"/>
      <w:bookmarkStart w:id="159" w:name="_Toc283973061"/>
      <w:bookmarkStart w:id="160" w:name="_Toc255459626"/>
      <w:bookmarkStart w:id="161" w:name="_Toc277078926"/>
      <w:r>
        <w:rPr>
          <w:rFonts w:hint="eastAsia" w:ascii="宋体" w:hAnsi="宋体" w:cs="宋体"/>
          <w:color w:val="auto"/>
          <w:sz w:val="24"/>
        </w:rPr>
        <w:t>1、获取方式：本公告附件免费下载，下载地址为http://</w:t>
      </w:r>
      <w:r>
        <w:rPr>
          <w:rFonts w:hint="eastAsia" w:ascii="宋体" w:hAnsi="宋体" w:cs="宋体"/>
          <w:color w:val="auto"/>
          <w:spacing w:val="-11"/>
          <w:kern w:val="0"/>
          <w:sz w:val="24"/>
        </w:rPr>
        <w:t>www.zjzfcg.gov.cn</w:t>
      </w:r>
      <w:r>
        <w:rPr>
          <w:rFonts w:hint="eastAsia" w:ascii="宋体" w:hAnsi="宋体" w:cs="宋体"/>
          <w:color w:val="auto"/>
          <w:sz w:val="24"/>
        </w:rPr>
        <w:t>或http://</w:t>
      </w:r>
      <w:r>
        <w:rPr>
          <w:rFonts w:hint="eastAsia" w:ascii="宋体" w:hAnsi="宋体" w:cs="宋体"/>
          <w:color w:val="auto"/>
          <w:spacing w:val="-11"/>
          <w:kern w:val="0"/>
          <w:sz w:val="24"/>
        </w:rPr>
        <w:t>www.xjztb.cn</w:t>
      </w:r>
    </w:p>
    <w:p>
      <w:pPr>
        <w:snapToGrid w:val="0"/>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2、获取（公告）时间：2019年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日至2019年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w:t>
      </w:r>
      <w:r>
        <w:rPr>
          <w:rFonts w:hint="eastAsia" w:ascii="宋体" w:hAnsi="宋体" w:cs="宋体"/>
          <w:color w:val="auto"/>
          <w:sz w:val="24"/>
        </w:rPr>
        <w:t>日</w:t>
      </w:r>
    </w:p>
    <w:p>
      <w:pPr>
        <w:spacing w:line="360" w:lineRule="auto"/>
        <w:ind w:firstLine="960" w:firstLineChars="400"/>
        <w:rPr>
          <w:rFonts w:hint="eastAsia" w:ascii="宋体" w:hAnsi="宋体" w:cs="宋体"/>
          <w:color w:val="auto"/>
          <w:sz w:val="24"/>
        </w:rPr>
      </w:pPr>
      <w:r>
        <w:rPr>
          <w:rFonts w:hint="eastAsia" w:ascii="宋体" w:hAnsi="宋体" w:cs="宋体"/>
          <w:color w:val="auto"/>
          <w:sz w:val="24"/>
        </w:rPr>
        <w:t>上午：8:00-11:30      下午：14:30-17:30</w:t>
      </w:r>
    </w:p>
    <w:p>
      <w:pPr>
        <w:tabs>
          <w:tab w:val="left" w:pos="180"/>
          <w:tab w:val="left" w:pos="360"/>
          <w:tab w:val="left" w:pos="540"/>
          <w:tab w:val="left" w:pos="8280"/>
        </w:tabs>
        <w:autoSpaceDE w:val="0"/>
        <w:autoSpaceDN w:val="0"/>
        <w:adjustRightInd w:val="0"/>
        <w:spacing w:before="60" w:after="60" w:line="360" w:lineRule="auto"/>
        <w:ind w:right="23" w:firstLine="482" w:firstLineChars="200"/>
        <w:jc w:val="left"/>
        <w:rPr>
          <w:rFonts w:hint="eastAsia" w:ascii="宋体" w:hAnsi="宋体" w:cs="宋体"/>
          <w:b/>
          <w:bCs/>
          <w:color w:val="auto"/>
          <w:sz w:val="24"/>
        </w:rPr>
      </w:pPr>
      <w:r>
        <w:rPr>
          <w:rFonts w:hint="eastAsia" w:ascii="宋体" w:hAnsi="宋体" w:cs="宋体"/>
          <w:b/>
          <w:bCs/>
          <w:color w:val="auto"/>
          <w:sz w:val="24"/>
        </w:rPr>
        <w:t>六、招标答疑会</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widowControl/>
        <w:spacing w:before="60" w:after="60" w:line="360" w:lineRule="auto"/>
        <w:ind w:right="60"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无(有则写明答疑会时间及地点)</w:t>
      </w:r>
    </w:p>
    <w:p>
      <w:pPr>
        <w:widowControl/>
        <w:spacing w:before="60" w:after="60" w:line="360" w:lineRule="auto"/>
        <w:ind w:right="60" w:firstLine="482" w:firstLineChars="200"/>
        <w:jc w:val="left"/>
        <w:outlineLvl w:val="0"/>
        <w:rPr>
          <w:rFonts w:hint="eastAsia" w:ascii="宋体" w:hAnsi="宋体" w:cs="宋体"/>
          <w:color w:val="auto"/>
          <w:kern w:val="0"/>
          <w:sz w:val="24"/>
        </w:rPr>
      </w:pPr>
      <w:r>
        <w:rPr>
          <w:rFonts w:hint="eastAsia" w:ascii="宋体" w:hAnsi="宋体" w:cs="宋体"/>
          <w:b/>
          <w:color w:val="auto"/>
          <w:kern w:val="0"/>
          <w:sz w:val="24"/>
        </w:rPr>
        <w:t>七、投标截止时间：</w:t>
      </w:r>
      <w:bookmarkStart w:id="162" w:name="B26_投标截止时间"/>
      <w:r>
        <w:rPr>
          <w:rFonts w:hint="eastAsia" w:ascii="宋体" w:hAnsi="宋体" w:cs="宋体"/>
          <w:color w:val="auto"/>
          <w:kern w:val="0"/>
          <w:sz w:val="24"/>
        </w:rPr>
        <w:t>2019年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日09:00</w:t>
      </w:r>
      <w:bookmarkEnd w:id="162"/>
    </w:p>
    <w:p>
      <w:pPr>
        <w:widowControl/>
        <w:spacing w:before="60" w:after="60" w:line="360" w:lineRule="auto"/>
        <w:ind w:right="60" w:firstLine="482" w:firstLineChars="200"/>
        <w:jc w:val="left"/>
        <w:outlineLvl w:val="0"/>
        <w:rPr>
          <w:rFonts w:hint="eastAsia" w:ascii="宋体" w:hAnsi="宋体" w:cs="宋体"/>
          <w:color w:val="auto"/>
          <w:kern w:val="0"/>
          <w:sz w:val="24"/>
        </w:rPr>
      </w:pPr>
      <w:bookmarkStart w:id="163" w:name="_Toc255819811"/>
      <w:bookmarkStart w:id="164" w:name="_Toc237079655"/>
      <w:bookmarkStart w:id="165" w:name="_Toc240724370"/>
      <w:bookmarkStart w:id="166" w:name="_Toc255821805"/>
      <w:bookmarkStart w:id="167" w:name="_Toc238443291"/>
      <w:bookmarkStart w:id="168" w:name="_Toc261001050"/>
      <w:bookmarkStart w:id="169" w:name="_Toc261001142"/>
      <w:bookmarkStart w:id="170" w:name="_Toc248896337"/>
      <w:bookmarkStart w:id="171" w:name="_Toc277078927"/>
      <w:bookmarkStart w:id="172" w:name="_Toc283973062"/>
      <w:bookmarkStart w:id="173" w:name="_Toc292375883"/>
      <w:bookmarkStart w:id="174" w:name="_Toc301444175"/>
      <w:bookmarkStart w:id="175" w:name="_Toc302983079"/>
      <w:bookmarkStart w:id="176" w:name="_Toc290043097"/>
      <w:bookmarkStart w:id="177" w:name="_Toc218007233"/>
      <w:bookmarkStart w:id="178" w:name="_Toc237138379"/>
      <w:bookmarkStart w:id="179" w:name="_Toc218007964"/>
      <w:bookmarkStart w:id="180" w:name="_Toc237656256"/>
      <w:bookmarkStart w:id="181" w:name="_Toc217998404"/>
      <w:bookmarkStart w:id="182" w:name="_Toc239128662"/>
      <w:bookmarkStart w:id="183" w:name="_Toc240724035"/>
      <w:bookmarkStart w:id="184" w:name="_Toc248896030"/>
      <w:bookmarkStart w:id="185" w:name="_Toc255459627"/>
      <w:bookmarkStart w:id="186" w:name="_Toc248896178"/>
      <w:bookmarkStart w:id="187" w:name="_Toc306901432"/>
      <w:r>
        <w:rPr>
          <w:rFonts w:hint="eastAsia" w:ascii="宋体" w:hAnsi="宋体" w:cs="宋体"/>
          <w:b/>
          <w:color w:val="auto"/>
          <w:kern w:val="0"/>
          <w:sz w:val="24"/>
        </w:rPr>
        <w:t>八、</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cs="宋体"/>
          <w:b/>
          <w:color w:val="auto"/>
          <w:kern w:val="0"/>
          <w:sz w:val="24"/>
        </w:rPr>
        <w:t>投标地址：</w:t>
      </w:r>
      <w:r>
        <w:rPr>
          <w:rFonts w:hint="eastAsia" w:ascii="宋体" w:hAnsi="宋体" w:cs="宋体"/>
          <w:color w:val="auto"/>
          <w:kern w:val="0"/>
          <w:sz w:val="24"/>
        </w:rPr>
        <w:t>仙居县公共资源交易中心开标室（二）</w:t>
      </w:r>
      <w:r>
        <w:rPr>
          <w:rFonts w:hint="eastAsia" w:ascii="宋体" w:hAnsi="宋体" w:cs="宋体"/>
          <w:color w:val="auto"/>
          <w:sz w:val="24"/>
        </w:rPr>
        <w:t>(</w:t>
      </w:r>
      <w:r>
        <w:rPr>
          <w:rFonts w:hint="eastAsia" w:ascii="宋体" w:hAnsi="宋体" w:cs="宋体"/>
          <w:color w:val="auto"/>
          <w:kern w:val="0"/>
          <w:sz w:val="24"/>
        </w:rPr>
        <w:t>仙居县南峰街道环城南路886号县政府办事大厅四楼</w:t>
      </w:r>
      <w:r>
        <w:rPr>
          <w:rFonts w:hint="eastAsia" w:ascii="宋体" w:hAnsi="宋体" w:cs="宋体"/>
          <w:color w:val="auto"/>
          <w:sz w:val="24"/>
        </w:rPr>
        <w:t>)</w:t>
      </w:r>
    </w:p>
    <w:p>
      <w:pPr>
        <w:widowControl/>
        <w:spacing w:before="60" w:after="60" w:line="360" w:lineRule="auto"/>
        <w:ind w:right="60" w:firstLine="482" w:firstLineChars="200"/>
        <w:jc w:val="left"/>
        <w:outlineLvl w:val="0"/>
        <w:rPr>
          <w:rFonts w:hint="eastAsia" w:ascii="宋体" w:hAnsi="宋体" w:cs="宋体"/>
          <w:color w:val="auto"/>
          <w:kern w:val="0"/>
          <w:sz w:val="24"/>
        </w:rPr>
      </w:pPr>
      <w:bookmarkStart w:id="188" w:name="_Toc237079656"/>
      <w:bookmarkStart w:id="189" w:name="_Toc218007234"/>
      <w:bookmarkStart w:id="190" w:name="_Toc237138380"/>
      <w:bookmarkStart w:id="191" w:name="_Toc237656257"/>
      <w:bookmarkStart w:id="192" w:name="_Toc218007965"/>
      <w:bookmarkStart w:id="193" w:name="_Toc217998405"/>
      <w:bookmarkStart w:id="194" w:name="_Toc292375884"/>
      <w:bookmarkStart w:id="195" w:name="_Toc302983080"/>
      <w:bookmarkStart w:id="196" w:name="_Toc238443292"/>
      <w:bookmarkStart w:id="197" w:name="_Toc240724371"/>
      <w:bookmarkStart w:id="198" w:name="_Toc248896179"/>
      <w:bookmarkStart w:id="199" w:name="_Toc255821806"/>
      <w:bookmarkStart w:id="200" w:name="_Toc261001051"/>
      <w:bookmarkStart w:id="201" w:name="_Toc290043098"/>
      <w:bookmarkStart w:id="202" w:name="_Toc301444176"/>
      <w:bookmarkStart w:id="203" w:name="_Toc306901433"/>
      <w:bookmarkStart w:id="204" w:name="_Toc283973063"/>
      <w:bookmarkStart w:id="205" w:name="_Toc248896031"/>
      <w:bookmarkStart w:id="206" w:name="_Toc255819812"/>
      <w:bookmarkStart w:id="207" w:name="_Toc261001143"/>
      <w:bookmarkStart w:id="208" w:name="_Toc239128663"/>
      <w:bookmarkStart w:id="209" w:name="_Toc277078928"/>
      <w:bookmarkStart w:id="210" w:name="_Toc240724036"/>
      <w:bookmarkStart w:id="211" w:name="_Toc255459628"/>
      <w:bookmarkStart w:id="212" w:name="_Toc248896338"/>
      <w:r>
        <w:rPr>
          <w:rFonts w:hint="eastAsia" w:ascii="宋体" w:hAnsi="宋体" w:cs="宋体"/>
          <w:b/>
          <w:color w:val="auto"/>
          <w:kern w:val="0"/>
          <w:sz w:val="24"/>
        </w:rPr>
        <w:t>九、开标时间：</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宋体" w:hAnsi="宋体" w:cs="宋体"/>
          <w:color w:val="auto"/>
          <w:kern w:val="0"/>
          <w:sz w:val="24"/>
        </w:rPr>
        <w:t>2019年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日09:00</w:t>
      </w:r>
    </w:p>
    <w:p>
      <w:pPr>
        <w:widowControl/>
        <w:spacing w:before="60" w:after="60" w:line="360" w:lineRule="auto"/>
        <w:ind w:right="60" w:firstLine="482" w:firstLineChars="200"/>
        <w:jc w:val="left"/>
        <w:outlineLvl w:val="0"/>
        <w:rPr>
          <w:rFonts w:hint="eastAsia" w:ascii="宋体" w:hAnsi="宋体" w:cs="宋体"/>
          <w:color w:val="auto"/>
          <w:kern w:val="0"/>
          <w:sz w:val="24"/>
        </w:rPr>
      </w:pPr>
      <w:r>
        <w:rPr>
          <w:rFonts w:hint="eastAsia" w:ascii="宋体" w:hAnsi="宋体" w:cs="宋体"/>
          <w:b/>
          <w:bCs/>
          <w:color w:val="auto"/>
          <w:kern w:val="0"/>
          <w:sz w:val="24"/>
        </w:rPr>
        <w:t>十、开标地址</w:t>
      </w:r>
      <w:r>
        <w:rPr>
          <w:rFonts w:hint="eastAsia" w:ascii="宋体" w:hAnsi="宋体" w:cs="宋体"/>
          <w:color w:val="auto"/>
          <w:kern w:val="0"/>
          <w:sz w:val="24"/>
        </w:rPr>
        <w:t>：仙居县公共资源交易中心开标室（二）</w:t>
      </w:r>
    </w:p>
    <w:p>
      <w:pPr>
        <w:widowControl/>
        <w:spacing w:before="60" w:after="60" w:line="360" w:lineRule="auto"/>
        <w:ind w:right="60" w:firstLine="482" w:firstLineChars="200"/>
        <w:jc w:val="left"/>
        <w:outlineLvl w:val="0"/>
        <w:rPr>
          <w:rFonts w:hint="eastAsia" w:ascii="宋体" w:hAnsi="宋体" w:cs="宋体"/>
          <w:b/>
          <w:color w:val="auto"/>
          <w:kern w:val="0"/>
          <w:sz w:val="24"/>
        </w:rPr>
      </w:pPr>
      <w:bookmarkStart w:id="213" w:name="_Toc248896181"/>
      <w:bookmarkStart w:id="214" w:name="_Toc261001145"/>
      <w:bookmarkStart w:id="215" w:name="_Toc277078930"/>
      <w:bookmarkStart w:id="216" w:name="_Toc237138382"/>
      <w:bookmarkStart w:id="217" w:name="_Toc283973065"/>
      <w:bookmarkStart w:id="218" w:name="_Toc255459630"/>
      <w:bookmarkStart w:id="219" w:name="_Toc237079658"/>
      <w:bookmarkStart w:id="220" w:name="_Toc248896033"/>
      <w:bookmarkStart w:id="221" w:name="_Toc218007967"/>
      <w:bookmarkStart w:id="222" w:name="_Toc237656259"/>
      <w:bookmarkStart w:id="223" w:name="_Toc238443294"/>
      <w:bookmarkStart w:id="224" w:name="_Toc217998407"/>
      <w:bookmarkStart w:id="225" w:name="_Toc239128665"/>
      <w:bookmarkStart w:id="226" w:name="_Toc240724038"/>
      <w:bookmarkStart w:id="227" w:name="_Toc248896340"/>
      <w:bookmarkStart w:id="228" w:name="_Toc240724373"/>
      <w:bookmarkStart w:id="229" w:name="_Toc255821808"/>
      <w:bookmarkStart w:id="230" w:name="_Toc261001053"/>
      <w:bookmarkStart w:id="231" w:name="_Toc255819814"/>
      <w:bookmarkStart w:id="232" w:name="_Toc218007236"/>
      <w:bookmarkStart w:id="233" w:name="_Toc290043100"/>
      <w:bookmarkStart w:id="234" w:name="_Toc302983082"/>
      <w:bookmarkStart w:id="235" w:name="_Toc306901435"/>
      <w:bookmarkStart w:id="236" w:name="_Toc292375886"/>
      <w:bookmarkStart w:id="237" w:name="_Toc301444178"/>
      <w:r>
        <w:rPr>
          <w:rFonts w:hint="eastAsia" w:ascii="宋体" w:hAnsi="宋体" w:cs="宋体"/>
          <w:b/>
          <w:color w:val="auto"/>
          <w:kern w:val="0"/>
          <w:sz w:val="24"/>
        </w:rPr>
        <w:t>十一、投标保证金：</w:t>
      </w:r>
      <w:r>
        <w:rPr>
          <w:rFonts w:hint="eastAsia" w:ascii="宋体" w:hAnsi="宋体" w:cs="宋体"/>
          <w:bCs/>
          <w:color w:val="auto"/>
          <w:kern w:val="0"/>
          <w:sz w:val="24"/>
        </w:rPr>
        <w:t>本项目无需递交投标保证金</w:t>
      </w:r>
      <w:r>
        <w:rPr>
          <w:rFonts w:hint="eastAsia" w:ascii="宋体" w:hAnsi="宋体" w:cs="宋体"/>
          <w:color w:val="auto"/>
          <w:kern w:val="0"/>
          <w:sz w:val="30"/>
          <w:szCs w:val="30"/>
        </w:rPr>
        <w:t xml:space="preserve"> </w:t>
      </w:r>
    </w:p>
    <w:p>
      <w:pPr>
        <w:widowControl/>
        <w:spacing w:before="60" w:after="60" w:line="360" w:lineRule="auto"/>
        <w:ind w:right="60" w:firstLine="482" w:firstLineChars="200"/>
        <w:jc w:val="left"/>
        <w:outlineLvl w:val="0"/>
        <w:rPr>
          <w:rFonts w:hint="eastAsia" w:ascii="宋体" w:hAnsi="宋体" w:cs="宋体"/>
          <w:color w:val="auto"/>
          <w:kern w:val="0"/>
          <w:sz w:val="24"/>
        </w:rPr>
      </w:pPr>
      <w:r>
        <w:rPr>
          <w:rFonts w:hint="eastAsia" w:ascii="宋体" w:hAnsi="宋体" w:cs="宋体"/>
          <w:b/>
          <w:color w:val="auto"/>
          <w:kern w:val="0"/>
          <w:sz w:val="24"/>
        </w:rPr>
        <w:t>十二、其他事项：</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widowControl/>
        <w:spacing w:line="360" w:lineRule="auto"/>
        <w:ind w:right="60" w:firstLine="480" w:firstLineChars="200"/>
        <w:jc w:val="left"/>
        <w:rPr>
          <w:rFonts w:hint="eastAsia" w:ascii="宋体" w:hAnsi="宋体" w:cs="宋体"/>
          <w:color w:val="auto"/>
          <w:kern w:val="0"/>
          <w:sz w:val="24"/>
        </w:rPr>
      </w:pPr>
      <w:bookmarkStart w:id="238" w:name="B30_其他事项"/>
      <w:r>
        <w:rPr>
          <w:rFonts w:hint="eastAsia" w:ascii="宋体" w:hAnsi="宋体" w:cs="宋体"/>
          <w:color w:val="auto"/>
          <w:kern w:val="0"/>
          <w:sz w:val="24"/>
        </w:rPr>
        <w:t>1、</w:t>
      </w:r>
      <w:r>
        <w:rPr>
          <w:rFonts w:hint="eastAsia" w:ascii="宋体" w:hAnsi="宋体" w:cs="宋体"/>
          <w:color w:val="auto"/>
          <w:sz w:val="24"/>
        </w:rPr>
        <w:t>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cs="宋体"/>
          <w:color w:val="auto"/>
          <w:kern w:val="0"/>
          <w:sz w:val="24"/>
        </w:rPr>
        <w:t>质疑函范本、投诉书范本请到浙江政府采购网下载专区下载。</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2、投标截止时间前均允许潜在供应商报名，报名方式及资料：已在浙江省政府采购网上正式注册入库的供应商（注册资料信息过期的应进行更新与维护），可以通过“政采云”平台进行网上报名；未在浙江省政府采购网上正式注册入库的供应商，可以进行现场报名，报名时需提供以下资料：</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（1）有效的营业执照复印件并加盖单位公章（事业单位参加投标的，则提供有效的《事业单位法人证书》复印件并加盖单位公章）；</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（2）单位介绍信或授权委托书原件，授权代表的身份证原件及复印件；</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（3）政府采购项目报名表，此表可到“仙居县公共资源交易中心 http://www.xjztb.cn”首页“资料下载”中下载。</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供应商网上报名的地址及流程见下：</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（1）注册入库供应商登录“政采云”平台进入“项目采购”应用模块，点击左侧菜单的“项目报名”，进入报名列表。</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（2）供应商选定采购项目，点击报名进入报名详情页面，选择需要报名的标项，填写必填信息，同意《网上报名承诺》，即可在线报名。</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sz w:val="24"/>
        </w:rPr>
        <w:t>（3）提交报名后可在“已报名”列表内查看报名状态。</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3、本项目所有公告发布网站：浙江省政府采购网（www.zjzfcg.gov.cn）或仙居县公共资源交易中心（www.xjztb.cn）。项目如有更正或澄清公告，请各供应商自行及时登陆上述网站查看，采购代理机构不再作出书面通知。</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sz w:val="24"/>
        </w:rPr>
        <w:t>根据《浙江省政府采购供应商注册及诚信管理暂行办法》(浙财采监【2009】28号)文件，请各投标供应商及时办理浙江政府采购网“政府采购供应商注册”手续。</w:t>
      </w:r>
      <w:r>
        <w:rPr>
          <w:rFonts w:hint="eastAsia" w:ascii="宋体" w:hAnsi="宋体" w:cs="宋体"/>
          <w:color w:val="auto"/>
          <w:kern w:val="0"/>
          <w:sz w:val="24"/>
        </w:rPr>
        <w:t>如中标供应商未在浙江省政府采购网正式注册入库的，采购代理机构将暂缓发出中标通知书，因此造成的后果由该供应商承担。“浙江省政府采购供应商”注册事宜可向仙居县政府采购中心咨询，联系人：朱颖颖，联系电话：0576—87716503。</w:t>
      </w:r>
    </w:p>
    <w:bookmarkEnd w:id="238"/>
    <w:p>
      <w:pPr>
        <w:spacing w:line="360" w:lineRule="auto"/>
        <w:ind w:firstLine="482" w:firstLineChars="200"/>
        <w:rPr>
          <w:rFonts w:hint="eastAsia" w:ascii="宋体" w:hAnsi="宋体" w:cs="宋体"/>
          <w:b/>
          <w:color w:val="auto"/>
          <w:sz w:val="24"/>
        </w:rPr>
      </w:pPr>
      <w:bookmarkStart w:id="239" w:name="_Toc306901436"/>
      <w:bookmarkStart w:id="240" w:name="_Toc173810692"/>
      <w:r>
        <w:rPr>
          <w:rFonts w:hint="eastAsia" w:ascii="宋体" w:hAnsi="宋体" w:cs="宋体"/>
          <w:b/>
          <w:color w:val="auto"/>
          <w:sz w:val="24"/>
        </w:rPr>
        <w:t>十三、联系方式</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（一）采购代理机构名称：仙居县政府采购中心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联系人：应先生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联系电话：0576-87716503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传真：0576-87716503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地址：仙居县环城南路886号（县政府办事大厅四楼）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（二）采购人名称：仙居县公安局 </w:t>
      </w:r>
    </w:p>
    <w:p>
      <w:pPr>
        <w:widowControl/>
        <w:snapToGrid w:val="0"/>
        <w:spacing w:before="60" w:after="60" w:line="360" w:lineRule="auto"/>
        <w:ind w:right="60" w:firstLine="480" w:firstLineChars="200"/>
        <w:jc w:val="left"/>
        <w:rPr>
          <w:rFonts w:hint="eastAsia" w:ascii="宋体"/>
          <w:color w:val="auto"/>
          <w:sz w:val="24"/>
        </w:rPr>
      </w:pPr>
      <w:r>
        <w:rPr>
          <w:rFonts w:hint="eastAsia" w:ascii="宋体"/>
          <w:color w:val="auto"/>
          <w:sz w:val="24"/>
        </w:rPr>
        <w:t xml:space="preserve">联系人：李卫界、李荣兵 </w:t>
      </w:r>
    </w:p>
    <w:p>
      <w:pPr>
        <w:widowControl/>
        <w:snapToGrid w:val="0"/>
        <w:spacing w:before="60" w:after="60" w:line="360" w:lineRule="auto"/>
        <w:ind w:right="60" w:firstLine="480" w:firstLineChars="200"/>
        <w:jc w:val="left"/>
        <w:rPr>
          <w:rFonts w:hint="eastAsia" w:ascii="宋体"/>
          <w:color w:val="auto"/>
          <w:sz w:val="24"/>
        </w:rPr>
      </w:pPr>
      <w:r>
        <w:rPr>
          <w:rFonts w:hint="eastAsia" w:ascii="宋体"/>
          <w:color w:val="auto"/>
          <w:sz w:val="24"/>
        </w:rPr>
        <w:t>联系电话： 13586202855、13566492209</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地址：</w:t>
      </w:r>
      <w:r>
        <w:rPr>
          <w:rFonts w:ascii="宋体"/>
          <w:color w:val="auto"/>
          <w:sz w:val="24"/>
        </w:rPr>
        <w:t xml:space="preserve"> </w:t>
      </w:r>
      <w:r>
        <w:rPr>
          <w:rFonts w:hint="eastAsia" w:ascii="宋体"/>
          <w:color w:val="auto"/>
          <w:sz w:val="24"/>
        </w:rPr>
        <w:t>仙居县南峰街道环城南路900号仙居公安局</w:t>
      </w:r>
      <w:r>
        <w:rPr>
          <w:rFonts w:hint="eastAsia" w:ascii="宋体" w:hAnsi="宋体" w:cs="宋体"/>
          <w:color w:val="auto"/>
          <w:kern w:val="0"/>
          <w:sz w:val="24"/>
        </w:rPr>
        <w:t>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（三）同级政府采购监督管理部门名称：仙居县财政局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联系人：陈女士 </w:t>
      </w:r>
    </w:p>
    <w:p>
      <w:pPr>
        <w:widowControl/>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rPr>
        <w:t>监督投诉电话：0576-87720209    </w:t>
      </w:r>
    </w:p>
    <w:p>
      <w:pPr>
        <w:widowControl/>
        <w:spacing w:line="360" w:lineRule="auto"/>
        <w:ind w:right="60" w:firstLine="480" w:firstLineChars="200"/>
        <w:jc w:val="left"/>
        <w:rPr>
          <w:rFonts w:hint="eastAsia" w:ascii="宋体" w:hAnsi="宋体" w:cs="宋体"/>
          <w:color w:val="auto"/>
          <w:sz w:val="24"/>
        </w:rPr>
      </w:pPr>
      <w:r>
        <w:rPr>
          <w:rFonts w:hint="eastAsia" w:ascii="宋体" w:hAnsi="宋体" w:cs="宋体"/>
          <w:color w:val="auto"/>
          <w:kern w:val="0"/>
          <w:sz w:val="24"/>
        </w:rPr>
        <w:t>地址：仙居县南峰街道环城南路500号财政大楼 </w:t>
      </w:r>
      <w:r>
        <w:rPr>
          <w:rFonts w:hint="eastAsia" w:ascii="宋体" w:hAnsi="宋体" w:cs="宋体"/>
          <w:color w:val="auto"/>
          <w:sz w:val="24"/>
        </w:rPr>
        <w:t xml:space="preserve">                           </w:t>
      </w:r>
    </w:p>
    <w:p>
      <w:pPr>
        <w:snapToGrid w:val="0"/>
        <w:spacing w:line="360" w:lineRule="auto"/>
        <w:ind w:right="480" w:firstLine="600" w:firstLineChars="250"/>
        <w:jc w:val="center"/>
        <w:rPr>
          <w:rFonts w:hint="eastAsia" w:ascii="宋体" w:hAnsi="宋体" w:cs="宋体"/>
          <w:color w:val="auto"/>
          <w:sz w:val="24"/>
        </w:rPr>
      </w:pPr>
      <w:r>
        <w:rPr>
          <w:rFonts w:hint="eastAsia" w:ascii="宋体" w:hAnsi="宋体" w:cs="宋体"/>
          <w:color w:val="auto"/>
          <w:sz w:val="24"/>
        </w:rPr>
        <w:t xml:space="preserve">                                   </w:t>
      </w:r>
    </w:p>
    <w:p>
      <w:pPr>
        <w:snapToGrid w:val="0"/>
        <w:spacing w:line="360" w:lineRule="auto"/>
        <w:ind w:right="480" w:firstLine="600" w:firstLineChars="250"/>
        <w:jc w:val="center"/>
        <w:rPr>
          <w:rFonts w:hint="eastAsia" w:ascii="宋体" w:hAnsi="宋体" w:cs="宋体"/>
          <w:color w:val="auto"/>
          <w:kern w:val="0"/>
          <w:sz w:val="24"/>
        </w:rPr>
      </w:pPr>
      <w:r>
        <w:rPr>
          <w:rFonts w:hint="eastAsia" w:ascii="宋体" w:hAnsi="宋体" w:cs="宋体"/>
          <w:color w:val="auto"/>
          <w:sz w:val="24"/>
          <w:lang w:val="en-US" w:eastAsia="zh-CN"/>
        </w:rPr>
        <w:t xml:space="preserve">                                  </w:t>
      </w:r>
      <w:r>
        <w:rPr>
          <w:rFonts w:hint="eastAsia" w:ascii="宋体" w:hAnsi="宋体" w:cs="宋体"/>
          <w:color w:val="auto"/>
          <w:sz w:val="24"/>
        </w:rPr>
        <w:t>仙居县政府采购中心</w:t>
      </w:r>
      <w:r>
        <w:rPr>
          <w:rFonts w:hint="eastAsia" w:ascii="宋体" w:hAnsi="宋体" w:cs="宋体"/>
          <w:color w:val="auto"/>
          <w:kern w:val="0"/>
          <w:sz w:val="24"/>
        </w:rPr>
        <w:t xml:space="preserve">                                            </w:t>
      </w:r>
    </w:p>
    <w:p>
      <w:pPr>
        <w:autoSpaceDE w:val="0"/>
        <w:autoSpaceDN w:val="0"/>
        <w:adjustRightInd w:val="0"/>
        <w:spacing w:line="360" w:lineRule="auto"/>
        <w:jc w:val="center"/>
        <w:outlineLvl w:val="0"/>
        <w:rPr>
          <w:rFonts w:hint="eastAsia" w:ascii="宋体" w:hAnsi="宋体" w:cs="宋体"/>
          <w:b/>
          <w:color w:val="auto"/>
          <w:szCs w:val="36"/>
        </w:rPr>
      </w:pPr>
      <w:r>
        <w:rPr>
          <w:rFonts w:hint="eastAsia" w:ascii="宋体" w:hAnsi="宋体" w:cs="宋体"/>
          <w:color w:val="auto"/>
          <w:kern w:val="0"/>
          <w:sz w:val="24"/>
        </w:rPr>
        <w:t xml:space="preserve">                                    </w:t>
      </w:r>
      <w:r>
        <w:rPr>
          <w:rFonts w:hint="eastAsia" w:ascii="宋体" w:hAnsi="宋体" w:cs="宋体"/>
          <w:color w:val="auto"/>
          <w:sz w:val="24"/>
        </w:rPr>
        <w:t>2019</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26</w:t>
      </w:r>
      <w:r>
        <w:rPr>
          <w:rFonts w:hint="eastAsia" w:ascii="宋体" w:hAnsi="宋体" w:cs="宋体"/>
          <w:color w:val="auto"/>
          <w:kern w:val="0"/>
          <w:sz w:val="24"/>
        </w:rPr>
        <w:t>日</w:t>
      </w:r>
      <w:r>
        <w:rPr>
          <w:rFonts w:hint="eastAsia" w:ascii="宋体" w:hAnsi="宋体" w:cs="宋体"/>
          <w:b/>
          <w:color w:val="auto"/>
          <w:szCs w:val="36"/>
        </w:rPr>
        <w:br w:type="page"/>
      </w:r>
      <w:bookmarkEnd w:id="239"/>
      <w:bookmarkStart w:id="241" w:name="_Toc306901444"/>
      <w:r>
        <w:rPr>
          <w:rFonts w:hint="eastAsia" w:ascii="宋体" w:hAnsi="宋体" w:cs="宋体"/>
          <w:b/>
          <w:color w:val="auto"/>
          <w:szCs w:val="36"/>
        </w:rPr>
        <w:t>第二章 投标人须知</w:t>
      </w:r>
    </w:p>
    <w:p>
      <w:pPr>
        <w:adjustRightInd w:val="0"/>
        <w:snapToGrid w:val="0"/>
        <w:spacing w:before="240" w:beforeLines="100" w:after="240" w:afterLines="100" w:line="360" w:lineRule="auto"/>
        <w:jc w:val="center"/>
        <w:outlineLvl w:val="0"/>
        <w:rPr>
          <w:rFonts w:hint="eastAsia" w:ascii="宋体" w:hAnsi="宋体" w:cs="宋体"/>
          <w:b/>
          <w:color w:val="auto"/>
          <w:sz w:val="32"/>
          <w:szCs w:val="32"/>
        </w:rPr>
      </w:pPr>
      <w:bookmarkStart w:id="242" w:name="_Toc301444180"/>
      <w:bookmarkStart w:id="243" w:name="_Toc302983084"/>
      <w:r>
        <w:rPr>
          <w:rFonts w:hint="eastAsia" w:ascii="宋体" w:hAnsi="宋体" w:cs="宋体"/>
          <w:b/>
          <w:color w:val="auto"/>
          <w:sz w:val="32"/>
          <w:szCs w:val="32"/>
        </w:rPr>
        <w:t>前附表</w:t>
      </w:r>
    </w:p>
    <w:tbl>
      <w:tblPr>
        <w:tblStyle w:val="3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6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4" w:hRule="atLeast"/>
        </w:trPr>
        <w:tc>
          <w:tcPr>
            <w:tcW w:w="738" w:type="dxa"/>
            <w:noWrap w:val="0"/>
            <w:vAlign w:val="center"/>
          </w:tcPr>
          <w:p>
            <w:pPr>
              <w:spacing w:line="300" w:lineRule="exact"/>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38" w:type="dxa"/>
            <w:noWrap w:val="0"/>
            <w:vAlign w:val="center"/>
          </w:tcPr>
          <w:p>
            <w:pPr>
              <w:spacing w:line="300" w:lineRule="exact"/>
              <w:ind w:firstLine="211" w:firstLineChars="100"/>
              <w:jc w:val="center"/>
              <w:rPr>
                <w:rFonts w:hint="eastAsia" w:ascii="宋体" w:hAnsi="宋体" w:cs="宋体"/>
                <w:b/>
                <w:color w:val="auto"/>
                <w:sz w:val="21"/>
                <w:szCs w:val="21"/>
              </w:rPr>
            </w:pPr>
            <w:r>
              <w:rPr>
                <w:rFonts w:hint="eastAsia" w:ascii="宋体" w:hAnsi="宋体" w:cs="宋体"/>
                <w:b/>
                <w:color w:val="auto"/>
                <w:sz w:val="21"/>
                <w:szCs w:val="21"/>
              </w:rPr>
              <w:t>项   目</w:t>
            </w:r>
          </w:p>
        </w:tc>
        <w:tc>
          <w:tcPr>
            <w:tcW w:w="6398" w:type="dxa"/>
            <w:noWrap w:val="0"/>
            <w:vAlign w:val="center"/>
          </w:tcPr>
          <w:p>
            <w:pPr>
              <w:spacing w:line="300" w:lineRule="exact"/>
              <w:jc w:val="center"/>
              <w:rPr>
                <w:rFonts w:hint="eastAsia" w:ascii="宋体" w:hAnsi="宋体" w:cs="宋体"/>
                <w:b/>
                <w:color w:val="auto"/>
                <w:sz w:val="21"/>
                <w:szCs w:val="21"/>
              </w:rPr>
            </w:pPr>
            <w:r>
              <w:rPr>
                <w:rFonts w:hint="eastAsia" w:ascii="宋体" w:hAnsi="宋体" w:cs="宋体"/>
                <w:b/>
                <w:color w:val="auto"/>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42"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1</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供应商特定资格要求</w:t>
            </w:r>
          </w:p>
        </w:tc>
        <w:tc>
          <w:tcPr>
            <w:tcW w:w="639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符合招标公告资格要求的供应商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72"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2</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答疑会或现场踏勘</w:t>
            </w:r>
          </w:p>
        </w:tc>
        <w:tc>
          <w:tcPr>
            <w:tcW w:w="6398" w:type="dxa"/>
            <w:noWrap w:val="0"/>
            <w:vAlign w:val="center"/>
          </w:tcPr>
          <w:p>
            <w:pPr>
              <w:jc w:val="left"/>
              <w:rPr>
                <w:rFonts w:hint="eastAsia" w:ascii="宋体" w:hAnsi="宋体" w:cs="宋体"/>
                <w:bCs/>
                <w:color w:val="auto"/>
                <w:sz w:val="21"/>
                <w:szCs w:val="21"/>
              </w:rPr>
            </w:pPr>
            <w:r>
              <w:rPr>
                <w:rFonts w:hint="eastAsia" w:ascii="宋体" w:hAnsi="宋体" w:cs="宋体"/>
                <w:bCs/>
                <w:color w:val="auto"/>
                <w:sz w:val="24"/>
              </w:rPr>
              <w:t>本项目不统一组织现场踏勘，投标人如需现场踏勘请与采购人代表联系。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083"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3</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▲投标文件包装要求</w:t>
            </w:r>
          </w:p>
        </w:tc>
        <w:tc>
          <w:tcPr>
            <w:tcW w:w="6398" w:type="dxa"/>
            <w:noWrap w:val="0"/>
            <w:vAlign w:val="center"/>
          </w:tcPr>
          <w:p>
            <w:pPr>
              <w:rPr>
                <w:rFonts w:hint="eastAsia" w:ascii="宋体" w:hAnsi="宋体" w:cs="宋体"/>
                <w:bCs/>
                <w:color w:val="auto"/>
                <w:sz w:val="24"/>
                <w:lang w:val="zh-CN"/>
              </w:rPr>
            </w:pPr>
            <w:r>
              <w:rPr>
                <w:rFonts w:hint="eastAsia" w:ascii="宋体" w:hAnsi="宋体" w:cs="宋体"/>
                <w:bCs/>
                <w:color w:val="auto"/>
                <w:sz w:val="24"/>
                <w:lang w:val="zh-CN"/>
              </w:rPr>
              <w:t xml:space="preserve">资格证明文件共 </w:t>
            </w:r>
            <w:r>
              <w:rPr>
                <w:rFonts w:hint="eastAsia" w:ascii="宋体" w:hAnsi="宋体" w:cs="宋体"/>
                <w:bCs/>
                <w:color w:val="auto"/>
                <w:sz w:val="24"/>
              </w:rPr>
              <w:t>2</w:t>
            </w:r>
            <w:r>
              <w:rPr>
                <w:rFonts w:hint="eastAsia" w:ascii="宋体" w:hAnsi="宋体" w:cs="宋体"/>
                <w:bCs/>
                <w:color w:val="auto"/>
                <w:sz w:val="24"/>
                <w:lang w:val="zh-CN"/>
              </w:rPr>
              <w:t xml:space="preserve"> 份（一正本一副本，封装成一袋），</w:t>
            </w:r>
          </w:p>
          <w:p>
            <w:pPr>
              <w:rPr>
                <w:rFonts w:hint="eastAsia" w:ascii="宋体" w:hAnsi="宋体" w:cs="宋体"/>
                <w:bCs/>
                <w:color w:val="auto"/>
                <w:sz w:val="21"/>
                <w:szCs w:val="21"/>
              </w:rPr>
            </w:pPr>
            <w:r>
              <w:rPr>
                <w:rFonts w:hint="eastAsia" w:ascii="宋体" w:hAnsi="宋体" w:cs="宋体"/>
                <w:bCs/>
                <w:color w:val="auto"/>
                <w:sz w:val="24"/>
                <w:lang w:val="zh-CN"/>
              </w:rPr>
              <w:t xml:space="preserve">商务与技术文件共 </w:t>
            </w:r>
            <w:r>
              <w:rPr>
                <w:rFonts w:hint="eastAsia" w:ascii="宋体" w:hAnsi="宋体" w:cs="宋体"/>
                <w:bCs/>
                <w:color w:val="auto"/>
                <w:sz w:val="24"/>
              </w:rPr>
              <w:t xml:space="preserve">7 </w:t>
            </w:r>
            <w:r>
              <w:rPr>
                <w:rFonts w:hint="eastAsia" w:ascii="宋体" w:hAnsi="宋体" w:cs="宋体"/>
                <w:bCs/>
                <w:color w:val="auto"/>
                <w:sz w:val="24"/>
                <w:lang w:val="zh-CN"/>
              </w:rPr>
              <w:t>份（一正本</w:t>
            </w:r>
            <w:r>
              <w:rPr>
                <w:rFonts w:hint="eastAsia" w:ascii="宋体" w:hAnsi="宋体" w:cs="宋体"/>
                <w:bCs/>
                <w:color w:val="auto"/>
                <w:sz w:val="24"/>
              </w:rPr>
              <w:t>六</w:t>
            </w:r>
            <w:r>
              <w:rPr>
                <w:rFonts w:hint="eastAsia" w:ascii="宋体" w:hAnsi="宋体" w:cs="宋体"/>
                <w:bCs/>
                <w:color w:val="auto"/>
                <w:sz w:val="24"/>
                <w:lang w:val="zh-CN"/>
              </w:rPr>
              <w:t xml:space="preserve">副本，封装成一袋），报价文件共 </w:t>
            </w:r>
            <w:r>
              <w:rPr>
                <w:rFonts w:hint="eastAsia" w:ascii="宋体" w:hAnsi="宋体" w:cs="宋体"/>
                <w:bCs/>
                <w:color w:val="auto"/>
                <w:sz w:val="24"/>
              </w:rPr>
              <w:t xml:space="preserve">2 </w:t>
            </w:r>
            <w:r>
              <w:rPr>
                <w:rFonts w:hint="eastAsia" w:ascii="宋体" w:hAnsi="宋体" w:cs="宋体"/>
                <w:bCs/>
                <w:color w:val="auto"/>
                <w:sz w:val="24"/>
                <w:lang w:val="zh-CN"/>
              </w:rPr>
              <w:t>份（一正本一副本，封装成一袋）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85"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4</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投标有效期</w:t>
            </w:r>
          </w:p>
        </w:tc>
        <w:tc>
          <w:tcPr>
            <w:tcW w:w="6398" w:type="dxa"/>
            <w:noWrap w:val="0"/>
            <w:vAlign w:val="center"/>
          </w:tcPr>
          <w:p>
            <w:pPr>
              <w:rPr>
                <w:rFonts w:hint="eastAsia" w:ascii="宋体" w:hAnsi="宋体" w:cs="宋体"/>
                <w:bCs/>
                <w:color w:val="auto"/>
                <w:sz w:val="21"/>
                <w:szCs w:val="21"/>
              </w:rPr>
            </w:pPr>
            <w:r>
              <w:rPr>
                <w:rFonts w:hint="eastAsia" w:ascii="宋体" w:hAnsi="宋体" w:cs="宋体"/>
                <w:bCs/>
                <w:color w:val="auto"/>
                <w:sz w:val="24"/>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245"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5</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投标文件递交</w:t>
            </w:r>
          </w:p>
        </w:tc>
        <w:tc>
          <w:tcPr>
            <w:tcW w:w="6398" w:type="dxa"/>
            <w:noWrap w:val="0"/>
            <w:vAlign w:val="center"/>
          </w:tcPr>
          <w:p>
            <w:pPr>
              <w:rPr>
                <w:rFonts w:hint="eastAsia" w:ascii="宋体" w:hAnsi="宋体" w:cs="宋体"/>
                <w:bCs/>
                <w:color w:val="auto"/>
                <w:sz w:val="24"/>
                <w:lang w:val="zh-CN"/>
              </w:rPr>
            </w:pPr>
            <w:r>
              <w:rPr>
                <w:rFonts w:hint="eastAsia" w:ascii="宋体" w:hAnsi="宋体" w:cs="宋体"/>
                <w:bCs/>
                <w:color w:val="auto"/>
                <w:sz w:val="24"/>
                <w:lang w:val="zh-CN"/>
              </w:rPr>
              <w:t>截止时间：20</w:t>
            </w:r>
            <w:r>
              <w:rPr>
                <w:rFonts w:hint="eastAsia" w:ascii="宋体" w:hAnsi="宋体" w:cs="宋体"/>
                <w:bCs/>
                <w:color w:val="auto"/>
                <w:sz w:val="24"/>
              </w:rPr>
              <w:t>19</w:t>
            </w:r>
            <w:r>
              <w:rPr>
                <w:rFonts w:hint="eastAsia" w:ascii="宋体" w:hAnsi="宋体" w:cs="宋体"/>
                <w:bCs/>
                <w:color w:val="auto"/>
                <w:sz w:val="24"/>
                <w:lang w:val="zh-CN"/>
              </w:rPr>
              <w:t>年</w:t>
            </w:r>
            <w:r>
              <w:rPr>
                <w:rFonts w:hint="eastAsia" w:ascii="宋体" w:hAnsi="宋体" w:cs="宋体"/>
                <w:bCs/>
                <w:color w:val="auto"/>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w:t>
            </w:r>
            <w:r>
              <w:rPr>
                <w:rFonts w:hint="eastAsia" w:ascii="宋体" w:hAnsi="宋体" w:cs="宋体"/>
                <w:bCs/>
                <w:color w:val="auto"/>
                <w:sz w:val="24"/>
              </w:rPr>
              <w:t>09</w:t>
            </w:r>
            <w:r>
              <w:rPr>
                <w:rFonts w:hint="eastAsia" w:ascii="宋体" w:hAnsi="宋体" w:cs="宋体"/>
                <w:bCs/>
                <w:color w:val="auto"/>
                <w:sz w:val="24"/>
                <w:lang w:val="zh-CN"/>
              </w:rPr>
              <w:t>:00（北京时间）</w:t>
            </w:r>
          </w:p>
          <w:p>
            <w:pPr>
              <w:rPr>
                <w:rFonts w:hint="eastAsia" w:ascii="宋体" w:hAnsi="宋体" w:cs="宋体"/>
                <w:bCs/>
                <w:color w:val="auto"/>
                <w:sz w:val="24"/>
                <w:lang w:val="zh-CN"/>
              </w:rPr>
            </w:pPr>
            <w:r>
              <w:rPr>
                <w:rFonts w:hint="eastAsia" w:ascii="宋体" w:hAnsi="宋体" w:cs="宋体"/>
                <w:bCs/>
                <w:color w:val="auto"/>
                <w:sz w:val="24"/>
                <w:lang w:val="zh-CN"/>
              </w:rPr>
              <w:t>递交地点：仙居县公共资源交易中心开标室（二）(仙居县南峰街道环城南路886号县政府办事大厅四楼)</w:t>
            </w:r>
          </w:p>
          <w:p>
            <w:pPr>
              <w:jc w:val="center"/>
              <w:rPr>
                <w:rFonts w:hint="eastAsia" w:ascii="宋体" w:hAnsi="宋体" w:cs="宋体"/>
                <w:color w:val="auto"/>
                <w:sz w:val="21"/>
                <w:szCs w:val="21"/>
                <w:u w:val="single"/>
                <w:lang w:val="zh-CN"/>
              </w:rPr>
            </w:pPr>
            <w:r>
              <w:rPr>
                <w:rFonts w:hint="eastAsia" w:ascii="宋体" w:hAnsi="宋体" w:cs="宋体"/>
                <w:bCs/>
                <w:color w:val="auto"/>
                <w:sz w:val="24"/>
                <w:lang w:val="zh-CN"/>
              </w:rPr>
              <w:t>逾期送达的投标文件恕不接受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245"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6</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开标时间及地点</w:t>
            </w:r>
          </w:p>
        </w:tc>
        <w:tc>
          <w:tcPr>
            <w:tcW w:w="6398" w:type="dxa"/>
            <w:noWrap w:val="0"/>
            <w:vAlign w:val="center"/>
          </w:tcPr>
          <w:p>
            <w:pPr>
              <w:rPr>
                <w:rFonts w:hint="eastAsia" w:ascii="宋体" w:hAnsi="宋体" w:cs="宋体"/>
                <w:bCs/>
                <w:color w:val="auto"/>
                <w:sz w:val="24"/>
                <w:lang w:val="zh-CN"/>
              </w:rPr>
            </w:pPr>
            <w:r>
              <w:rPr>
                <w:rFonts w:hint="eastAsia" w:ascii="宋体" w:hAnsi="宋体" w:cs="宋体"/>
                <w:bCs/>
                <w:color w:val="auto"/>
                <w:sz w:val="24"/>
                <w:lang w:val="zh-CN"/>
              </w:rPr>
              <w:t>时间：20</w:t>
            </w:r>
            <w:r>
              <w:rPr>
                <w:rFonts w:hint="eastAsia" w:ascii="宋体" w:hAnsi="宋体" w:cs="宋体"/>
                <w:bCs/>
                <w:color w:val="auto"/>
                <w:sz w:val="24"/>
              </w:rPr>
              <w:t>19</w:t>
            </w:r>
            <w:r>
              <w:rPr>
                <w:rFonts w:hint="eastAsia" w:ascii="宋体" w:hAnsi="宋体" w:cs="宋体"/>
                <w:bCs/>
                <w:color w:val="auto"/>
                <w:sz w:val="24"/>
                <w:lang w:val="zh-CN"/>
              </w:rPr>
              <w:t>年</w:t>
            </w:r>
            <w:r>
              <w:rPr>
                <w:rFonts w:hint="eastAsia" w:ascii="宋体" w:hAnsi="宋体" w:cs="宋体"/>
                <w:bCs/>
                <w:color w:val="auto"/>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w:t>
            </w:r>
            <w:r>
              <w:rPr>
                <w:rFonts w:hint="eastAsia" w:ascii="宋体" w:hAnsi="宋体" w:cs="宋体"/>
                <w:bCs/>
                <w:color w:val="auto"/>
                <w:sz w:val="24"/>
              </w:rPr>
              <w:t>09</w:t>
            </w:r>
            <w:r>
              <w:rPr>
                <w:rFonts w:hint="eastAsia" w:ascii="宋体" w:hAnsi="宋体" w:cs="宋体"/>
                <w:bCs/>
                <w:color w:val="auto"/>
                <w:sz w:val="24"/>
                <w:lang w:val="zh-CN"/>
              </w:rPr>
              <w:t>:00（北京时间）</w:t>
            </w:r>
          </w:p>
          <w:p>
            <w:pPr>
              <w:rPr>
                <w:rFonts w:hint="eastAsia" w:ascii="宋体" w:hAnsi="宋体" w:cs="宋体"/>
                <w:color w:val="auto"/>
                <w:sz w:val="21"/>
                <w:szCs w:val="21"/>
              </w:rPr>
            </w:pPr>
            <w:r>
              <w:rPr>
                <w:rFonts w:hint="eastAsia" w:ascii="宋体" w:hAnsi="宋体" w:cs="宋体"/>
                <w:bCs/>
                <w:color w:val="auto"/>
                <w:sz w:val="24"/>
                <w:lang w:val="zh-CN"/>
              </w:rPr>
              <w:t>地点：仙居县公共资源交易中心开标室（二）(仙居县南峰街道环城南路886号县政府办事大厅四楼)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10"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7</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履约保证金</w:t>
            </w:r>
          </w:p>
        </w:tc>
        <w:tc>
          <w:tcPr>
            <w:tcW w:w="6398" w:type="dxa"/>
            <w:noWrap w:val="0"/>
            <w:vAlign w:val="center"/>
          </w:tcPr>
          <w:p>
            <w:pPr>
              <w:rPr>
                <w:rFonts w:hint="eastAsia" w:ascii="宋体" w:hAnsi="宋体" w:cs="宋体"/>
                <w:color w:val="auto"/>
                <w:kern w:val="0"/>
                <w:sz w:val="21"/>
                <w:szCs w:val="21"/>
              </w:rPr>
            </w:pPr>
            <w:r>
              <w:rPr>
                <w:rFonts w:hint="eastAsia" w:ascii="宋体" w:hAnsi="宋体" w:cs="宋体"/>
                <w:bCs/>
                <w:color w:val="auto"/>
                <w:sz w:val="24"/>
              </w:rPr>
              <w:t>采购人按本项目招标文件规定自行收取项目履约保证金（具体要求详见“招标需求”的付款方式内容）。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98"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8</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▲项目最高限价</w:t>
            </w:r>
          </w:p>
        </w:tc>
        <w:tc>
          <w:tcPr>
            <w:tcW w:w="6398" w:type="dxa"/>
            <w:noWrap w:val="0"/>
            <w:vAlign w:val="center"/>
          </w:tcPr>
          <w:p>
            <w:pPr>
              <w:rPr>
                <w:rFonts w:hint="eastAsia" w:ascii="宋体" w:hAnsi="宋体" w:cs="宋体"/>
                <w:color w:val="auto"/>
                <w:sz w:val="21"/>
                <w:szCs w:val="21"/>
              </w:rPr>
            </w:pPr>
            <w:r>
              <w:rPr>
                <w:rFonts w:hint="eastAsia" w:ascii="宋体" w:hAnsi="宋体" w:cs="宋体"/>
                <w:bCs/>
                <w:color w:val="auto"/>
                <w:sz w:val="24"/>
              </w:rPr>
              <w:t>最高限价为</w:t>
            </w:r>
            <w:r>
              <w:rPr>
                <w:rFonts w:hint="eastAsia" w:ascii="宋体" w:hAnsi="宋体" w:cs="宋体"/>
                <w:bCs/>
                <w:color w:val="auto"/>
                <w:sz w:val="24"/>
                <w:u w:val="single"/>
              </w:rPr>
              <w:t xml:space="preserve">  </w:t>
            </w:r>
            <w:r>
              <w:rPr>
                <w:rFonts w:hint="eastAsia" w:ascii="宋体" w:hAnsi="宋体" w:cs="宋体"/>
                <w:b/>
                <w:color w:val="auto"/>
                <w:sz w:val="24"/>
                <w:u w:val="single"/>
              </w:rPr>
              <w:t>标项一</w:t>
            </w:r>
            <w:r>
              <w:rPr>
                <w:rFonts w:hint="eastAsia" w:ascii="宋体" w:hAnsi="宋体" w:cs="宋体"/>
                <w:b/>
                <w:color w:val="auto"/>
                <w:sz w:val="24"/>
                <w:u w:val="single"/>
                <w:lang w:val="en-US" w:eastAsia="zh-CN"/>
              </w:rPr>
              <w:t>1555</w:t>
            </w:r>
            <w:r>
              <w:rPr>
                <w:rFonts w:hint="eastAsia" w:ascii="宋体" w:hAnsi="宋体" w:cs="宋体"/>
                <w:b/>
                <w:color w:val="auto"/>
                <w:sz w:val="24"/>
                <w:u w:val="single"/>
              </w:rPr>
              <w:t>万元，标项二</w:t>
            </w:r>
            <w:r>
              <w:rPr>
                <w:rFonts w:hint="eastAsia" w:ascii="宋体" w:hAnsi="宋体" w:cs="宋体"/>
                <w:b/>
                <w:color w:val="auto"/>
                <w:sz w:val="24"/>
                <w:u w:val="single"/>
                <w:lang w:val="en-US" w:eastAsia="zh-CN"/>
              </w:rPr>
              <w:t>1680</w:t>
            </w:r>
            <w:r>
              <w:rPr>
                <w:rFonts w:hint="eastAsia" w:ascii="宋体" w:hAnsi="宋体" w:cs="宋体"/>
                <w:b/>
                <w:color w:val="auto"/>
                <w:sz w:val="24"/>
                <w:u w:val="single"/>
              </w:rPr>
              <w:t>万元</w:t>
            </w:r>
            <w:r>
              <w:rPr>
                <w:rFonts w:hint="eastAsia" w:ascii="宋体" w:hAnsi="宋体" w:cs="宋体"/>
                <w:b/>
                <w:color w:val="auto"/>
                <w:sz w:val="24"/>
                <w:u w:val="single"/>
                <w:lang w:eastAsia="zh-CN"/>
              </w:rPr>
              <w:t>，</w:t>
            </w:r>
            <w:r>
              <w:rPr>
                <w:rFonts w:hint="eastAsia" w:ascii="宋体" w:hAnsi="宋体" w:cs="宋体"/>
                <w:b/>
                <w:color w:val="auto"/>
                <w:sz w:val="24"/>
                <w:u w:val="single"/>
                <w:lang w:val="en-US" w:eastAsia="zh-CN"/>
              </w:rPr>
              <w:t>标项三1595万元</w:t>
            </w:r>
            <w:r>
              <w:rPr>
                <w:rFonts w:hint="eastAsia" w:ascii="宋体" w:hAnsi="宋体" w:cs="宋体"/>
                <w:bCs/>
                <w:color w:val="auto"/>
                <w:sz w:val="24"/>
                <w:u w:val="single"/>
              </w:rPr>
              <w:t xml:space="preserve">  </w:t>
            </w:r>
            <w:r>
              <w:rPr>
                <w:rFonts w:hint="eastAsia" w:ascii="宋体" w:hAnsi="宋体" w:cs="宋体"/>
                <w:bCs/>
                <w:color w:val="auto"/>
                <w:sz w:val="24"/>
              </w:rPr>
              <w:t xml:space="preserve">。如投标人的投标报价超过最高限价，其投标文件作无效标处理。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10"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9</w:t>
            </w:r>
          </w:p>
        </w:tc>
        <w:tc>
          <w:tcPr>
            <w:tcW w:w="2038" w:type="dxa"/>
            <w:noWrap w:val="0"/>
            <w:vAlign w:val="center"/>
          </w:tcPr>
          <w:p>
            <w:pPr>
              <w:jc w:val="center"/>
              <w:rPr>
                <w:rFonts w:hint="eastAsia" w:ascii="宋体" w:hAnsi="宋体" w:cs="宋体"/>
                <w:color w:val="auto"/>
                <w:sz w:val="21"/>
                <w:szCs w:val="21"/>
              </w:rPr>
            </w:pPr>
            <w:r>
              <w:rPr>
                <w:rFonts w:hint="eastAsia" w:ascii="宋体" w:hAnsi="宋体" w:cs="宋体"/>
                <w:bCs/>
                <w:color w:val="auto"/>
                <w:sz w:val="24"/>
                <w:lang w:val="zh-CN"/>
              </w:rPr>
              <w:t>实质性条款</w:t>
            </w:r>
          </w:p>
        </w:tc>
        <w:tc>
          <w:tcPr>
            <w:tcW w:w="6398" w:type="dxa"/>
            <w:noWrap w:val="0"/>
            <w:vAlign w:val="center"/>
          </w:tcPr>
          <w:p>
            <w:pPr>
              <w:rPr>
                <w:rFonts w:hint="eastAsia" w:ascii="宋体" w:hAnsi="宋体" w:cs="宋体"/>
                <w:color w:val="auto"/>
                <w:sz w:val="21"/>
                <w:szCs w:val="21"/>
              </w:rPr>
            </w:pPr>
            <w:r>
              <w:rPr>
                <w:rFonts w:hint="eastAsia" w:ascii="宋体" w:hAnsi="宋体" w:cs="宋体"/>
                <w:bCs/>
                <w:color w:val="auto"/>
                <w:sz w:val="24"/>
                <w:lang w:val="zh-CN"/>
              </w:rPr>
              <w:t>带“</w:t>
            </w:r>
            <w:r>
              <w:rPr>
                <w:rFonts w:hint="eastAsia" w:ascii="宋体" w:hAnsi="宋体" w:cs="宋体"/>
                <w:bCs/>
                <w:color w:val="auto"/>
                <w:sz w:val="24"/>
              </w:rPr>
              <w:t>▲”的条款是实质性条款，投标文件须作出实质性响应，否则作无效投标处理。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10" w:hRule="atLeast"/>
        </w:trPr>
        <w:tc>
          <w:tcPr>
            <w:tcW w:w="73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10</w:t>
            </w:r>
          </w:p>
        </w:tc>
        <w:tc>
          <w:tcPr>
            <w:tcW w:w="2038" w:type="dxa"/>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解释权</w:t>
            </w:r>
          </w:p>
        </w:tc>
        <w:tc>
          <w:tcPr>
            <w:tcW w:w="6398" w:type="dxa"/>
            <w:noWrap w:val="0"/>
            <w:vAlign w:val="center"/>
          </w:tcPr>
          <w:p>
            <w:pPr>
              <w:rPr>
                <w:rFonts w:hint="eastAsia" w:ascii="宋体" w:hAnsi="宋体" w:cs="宋体"/>
                <w:color w:val="auto"/>
                <w:sz w:val="21"/>
                <w:szCs w:val="21"/>
              </w:rPr>
            </w:pPr>
            <w:r>
              <w:rPr>
                <w:rFonts w:hint="eastAsia" w:ascii="宋体" w:hAnsi="宋体" w:cs="宋体"/>
                <w:bCs/>
                <w:color w:val="auto"/>
                <w:sz w:val="24"/>
              </w:rPr>
              <w:t>本招标文件解释权属于采购人和仙居县政府采购中心</w:t>
            </w:r>
          </w:p>
        </w:tc>
      </w:tr>
    </w:tbl>
    <w:p>
      <w:pPr>
        <w:snapToGrid w:val="0"/>
        <w:spacing w:line="360" w:lineRule="auto"/>
        <w:jc w:val="left"/>
        <w:rPr>
          <w:rFonts w:hint="eastAsia" w:ascii="宋体" w:hAnsi="宋体" w:cs="宋体"/>
          <w:color w:val="auto"/>
          <w:sz w:val="24"/>
        </w:rPr>
      </w:pPr>
      <w:r>
        <w:rPr>
          <w:rFonts w:hint="eastAsia" w:ascii="宋体" w:hAnsi="宋体" w:cs="宋体"/>
          <w:b/>
          <w:color w:val="auto"/>
          <w:sz w:val="24"/>
          <w:lang w:val="zh-CN"/>
        </w:rPr>
        <w:br w:type="page"/>
      </w:r>
      <w:r>
        <w:rPr>
          <w:rFonts w:hint="eastAsia" w:ascii="宋体" w:hAnsi="宋体" w:cs="宋体"/>
          <w:b/>
          <w:bCs/>
          <w:color w:val="auto"/>
          <w:sz w:val="24"/>
        </w:rPr>
        <w:t>一 、总则</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（一）适用范围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本招标文件适用于本次项目的招标、投标、评标、定标、验收、合同履约、付款等行为（法律、法规另有规定的，从其规定）。</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（二）定义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“采购代理机构”指采购人委托组织招标的仙居县政府采购中心。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2、采购人：是指委托采购代理机构采购本次项目的国家机关、事业单位和团体组织。</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3、投标人：是指向采购</w:t>
      </w:r>
      <w:r>
        <w:rPr>
          <w:rFonts w:hint="eastAsia" w:ascii="宋体" w:hAnsi="宋体" w:cs="宋体"/>
          <w:color w:val="auto"/>
          <w:sz w:val="24"/>
          <w:lang w:val="zh-CN"/>
        </w:rPr>
        <w:t>代理</w:t>
      </w:r>
      <w:r>
        <w:rPr>
          <w:rFonts w:hint="eastAsia" w:ascii="宋体" w:hAnsi="宋体" w:cs="宋体"/>
          <w:color w:val="auto"/>
          <w:sz w:val="24"/>
        </w:rPr>
        <w:t>机构提交投标文件的单位或个人。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4、货物：是指各种形态和种类的物品，包括原材料、燃料、设备、产品等。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5、服务：是指除货物和工程以外的政府采购对象，包括各类专业服务、信息网络开发服务、金融保险服务、运输服务，以及维修与维护服务等。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6、“书面形式”包括信函、传真等。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7、“▲”系指实质性要求条款。</w:t>
      </w:r>
    </w:p>
    <w:p>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（三）</w:t>
      </w:r>
      <w:r>
        <w:rPr>
          <w:rFonts w:hint="eastAsia" w:ascii="宋体" w:hAnsi="宋体" w:cs="宋体"/>
          <w:b/>
          <w:bCs/>
          <w:color w:val="auto"/>
          <w:sz w:val="24"/>
          <w:lang w:val="zh-CN"/>
        </w:rPr>
        <w:t>招标方式</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本次招标采用公开招标方式进行。</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zh-CN"/>
        </w:rPr>
        <w:t>（四）</w:t>
      </w:r>
      <w:r>
        <w:rPr>
          <w:rFonts w:hint="eastAsia" w:ascii="宋体" w:hAnsi="宋体" w:cs="宋体"/>
          <w:b/>
          <w:bCs/>
          <w:color w:val="auto"/>
          <w:sz w:val="24"/>
        </w:rPr>
        <w:t>投标费用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不论投标结果如何，投标人均应自行承担所有与投标有关的全部费用。</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（五）特别说明</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1、投标人投标所使用的资格、信誉、荣誉、业绩与企业认证必须为本法人所拥有。投标人投标所使用的采购项目实施人员必须为本法人员工（指本法人或控股公司正式员工）。</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rPr>
        <w:tab/>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5、为采购项目提供整体设计、规范编制或者项目管理、监理、检测等服务的供应商，不得再参加该采购项目的其他采购活动。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6、投标文件格式中的表格式样可以根据项目差别做适当调整,但应当保持表格样式基本形态不变。</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7、单位负责人为同一人或者存在直接控股、管理关系的不同供应商，不得参加同一合同项下的政府采购活动。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8、本项目不允许转包，不允许分包。</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（六）信用信息</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投标人信用信息查询渠道及截止时点、信用信息查询记录和证据留存的具体方式、信用信息的使用规则：</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查询渠道</w:t>
      </w:r>
      <w:r>
        <w:rPr>
          <w:rFonts w:hint="eastAsia" w:ascii="宋体" w:hAnsi="宋体" w:cs="宋体"/>
          <w:color w:val="auto"/>
          <w:sz w:val="24"/>
        </w:rPr>
        <w:t>：</w:t>
      </w:r>
      <w:r>
        <w:rPr>
          <w:rFonts w:hint="eastAsia" w:ascii="宋体" w:hAnsi="宋体" w:cs="宋体"/>
          <w:color w:val="auto"/>
          <w:sz w:val="24"/>
          <w:lang w:val="zh-CN"/>
        </w:rPr>
        <w:t>中国政府采购网</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：http://www.ccgp.gov.cn）</w:t>
      </w:r>
      <w:r>
        <w:rPr>
          <w:rFonts w:hint="eastAsia" w:ascii="宋体" w:hAnsi="宋体" w:cs="宋体"/>
          <w:color w:val="auto"/>
          <w:sz w:val="24"/>
          <w:lang w:val="zh-CN"/>
        </w:rPr>
        <w:t>、信用中国</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w:t>
      </w:r>
      <w:r>
        <w:rPr>
          <w:rFonts w:hint="eastAsia" w:ascii="宋体" w:hAnsi="宋体" w:cs="宋体"/>
          <w:color w:val="auto"/>
          <w:sz w:val="24"/>
          <w:lang w:val="zh-CN"/>
        </w:rPr>
        <w:fldChar w:fldCharType="begin"/>
      </w:r>
      <w:r>
        <w:rPr>
          <w:rFonts w:hint="eastAsia" w:ascii="宋体" w:hAnsi="宋体" w:cs="宋体"/>
          <w:color w:val="auto"/>
          <w:sz w:val="24"/>
        </w:rPr>
        <w:instrText xml:space="preserve"> HYPERLINK "http://www.creditchina.gov.cn" </w:instrText>
      </w:r>
      <w:r>
        <w:rPr>
          <w:rFonts w:hint="eastAsia" w:ascii="宋体" w:hAnsi="宋体" w:cs="宋体"/>
          <w:color w:val="auto"/>
          <w:sz w:val="24"/>
          <w:lang w:val="zh-CN"/>
        </w:rPr>
        <w:fldChar w:fldCharType="separate"/>
      </w:r>
      <w:r>
        <w:rPr>
          <w:rFonts w:hint="eastAsia" w:ascii="宋体" w:hAnsi="宋体" w:cs="宋体"/>
          <w:color w:val="auto"/>
          <w:sz w:val="24"/>
        </w:rPr>
        <w:t>http://www.creditchina.gov.cn</w:t>
      </w:r>
      <w:r>
        <w:rPr>
          <w:rFonts w:hint="eastAsia" w:ascii="宋体" w:hAnsi="宋体" w:cs="宋体"/>
          <w:color w:val="auto"/>
          <w:sz w:val="24"/>
          <w:lang w:val="zh-CN"/>
        </w:rPr>
        <w:fldChar w:fldCharType="end"/>
      </w:r>
      <w:r>
        <w:rPr>
          <w:rFonts w:hint="eastAsia" w:ascii="宋体" w:hAnsi="宋体" w:cs="宋体"/>
          <w:color w:val="auto"/>
          <w:sz w:val="24"/>
        </w:rPr>
        <w:t>）</w:t>
      </w:r>
      <w:r>
        <w:rPr>
          <w:rFonts w:hint="eastAsia" w:ascii="宋体" w:hAnsi="宋体" w:cs="宋体"/>
          <w:color w:val="auto"/>
          <w:sz w:val="24"/>
          <w:lang w:val="zh-CN"/>
        </w:rPr>
        <w:t>。</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截止时间：开标后评标前。</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信用信息查询记录和证据留存的具体方式：由采购代理机构在规定查询时间内打印信用信息查询记录及相关证据，并将与其他采购文件一并保存。</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使用规则：</w:t>
      </w:r>
      <w:r>
        <w:rPr>
          <w:rFonts w:hint="eastAsia" w:ascii="宋体" w:hAnsi="宋体" w:cs="宋体"/>
          <w:color w:val="auto"/>
          <w:sz w:val="24"/>
        </w:rPr>
        <w:t>对列入失信被执行人、重大税收违法案件当事人名单、政府采购严重违法失信行为记录名单及其他不符合《中华人民共和国政府采购法》第二十二条规定条件的供应商，将被拒绝其参与政府采购活动。</w:t>
      </w:r>
    </w:p>
    <w:p>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lang w:val="zh-CN"/>
        </w:rPr>
        <w:t>（七）质疑与投诉</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w:t>
      </w:r>
      <w:r>
        <w:rPr>
          <w:rFonts w:hint="eastAsia" w:ascii="宋体" w:hAnsi="宋体" w:cs="宋体"/>
          <w:color w:val="auto"/>
          <w:sz w:val="24"/>
          <w:lang w:val="zh-CN"/>
        </w:rPr>
        <w:t>投标人认为采购文件、采购过程和中标结果使自己的权益收到损害的，可以在知道或者应知其权益收到损害之日起七个工作日内，以书面形式向采购代理机构提出质疑（在法定质疑期内一次性提出针对同一采购程序环节的质疑）。</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w:t>
      </w:r>
      <w:r>
        <w:rPr>
          <w:rFonts w:hint="eastAsia" w:ascii="宋体" w:hAnsi="宋体" w:cs="宋体"/>
          <w:color w:val="auto"/>
          <w:sz w:val="24"/>
          <w:lang w:val="zh-CN"/>
        </w:rPr>
        <w:t>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a供应商的姓名或者名称、地址、邮编、联系人及联系电话；</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b质疑项目的名称、编号；</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c具体、明确的质疑事项和与质疑事项相关的请求；</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d事实依据；</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e必要的法律依据；</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f提出质疑的日期。</w:t>
      </w:r>
    </w:p>
    <w:p>
      <w:pPr>
        <w:snapToGrid w:val="0"/>
        <w:spacing w:line="360" w:lineRule="auto"/>
        <w:ind w:firstLine="480" w:firstLineChars="200"/>
        <w:rPr>
          <w:rFonts w:hint="eastAsia" w:ascii="宋体" w:hAnsi="宋体" w:cs="宋体"/>
          <w:b/>
          <w:bCs/>
          <w:color w:val="auto"/>
          <w:sz w:val="24"/>
          <w:lang w:val="zh-CN"/>
        </w:rPr>
      </w:pPr>
      <w:r>
        <w:rPr>
          <w:rFonts w:hint="eastAsia" w:ascii="宋体" w:hAnsi="宋体" w:cs="宋体"/>
          <w:color w:val="auto"/>
          <w:sz w:val="24"/>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5.</w:t>
      </w:r>
      <w:r>
        <w:rPr>
          <w:rFonts w:hint="eastAsia" w:ascii="宋体" w:hAnsi="宋体" w:cs="宋体"/>
          <w:color w:val="auto"/>
          <w:sz w:val="24"/>
          <w:lang w:val="zh-CN"/>
        </w:rPr>
        <w:t>质疑供应商捏造事实、提供虚假材料进行质疑的，采购代理机构报告同级财政部门。情况属实的，列入不良行为记录并在指定的媒体上公告。</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6.质疑供应商对采购人、采购代理机构的答复不满意或者采购人、采购代理机构未在规定的时间内作出答复的，可以在答复期满后十五个工作日内向仙居县财政局投诉。</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二、招标文件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（一）招标文件由招标文件总目录所列内容以及本项目招标文件的澄清、答复、修改、补充的内容组成。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（二）招标文件的澄清或修改</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当招标文件与招标文件的澄清、修改、补充等在同一内容的表述上不一致时，以最后发出的书面文件为准。</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三、投标文件</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zh-CN"/>
        </w:rPr>
        <w:t>（一）</w:t>
      </w:r>
      <w:r>
        <w:rPr>
          <w:rFonts w:hint="eastAsia" w:ascii="宋体" w:hAnsi="宋体" w:cs="宋体"/>
          <w:b/>
          <w:bCs/>
          <w:color w:val="auto"/>
          <w:sz w:val="24"/>
        </w:rPr>
        <w:t>投标文件的组成</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 xml:space="preserve"> </w:t>
      </w:r>
      <w:r>
        <w:rPr>
          <w:rFonts w:hint="eastAsia" w:ascii="宋体" w:hAnsi="宋体" w:cs="宋体"/>
          <w:b/>
          <w:bCs/>
          <w:color w:val="auto"/>
          <w:sz w:val="24"/>
        </w:rPr>
        <w:t>投标文件由资格证明文件、商务与技术文件、报价文件组成。</w:t>
      </w:r>
      <w:r>
        <w:rPr>
          <w:rFonts w:hint="eastAsia" w:ascii="宋体" w:hAnsi="宋体" w:cs="宋体"/>
          <w:color w:val="auto"/>
          <w:sz w:val="24"/>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241" w:firstLineChars="100"/>
        <w:rPr>
          <w:rFonts w:hint="eastAsia" w:ascii="宋体" w:hAnsi="宋体" w:cs="宋体"/>
          <w:b/>
          <w:bCs/>
          <w:color w:val="auto"/>
          <w:sz w:val="24"/>
        </w:rPr>
      </w:pPr>
      <w:r>
        <w:rPr>
          <w:rFonts w:hint="eastAsia" w:ascii="宋体" w:hAnsi="宋体" w:cs="宋体"/>
          <w:b/>
          <w:bCs/>
          <w:color w:val="auto"/>
          <w:sz w:val="24"/>
        </w:rPr>
        <w:t>▲1、资格证明文件的组成：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（1）投标声明书；（见附件）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（2）授权委托书（法定代表人亲自办理投标事宜的，则无需提交)；（见附件）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（3）有效的营业执照复印件（如事业单位参加投标的，则提供有效的《事业单位法人证书》复印件）；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（4）财务状况报告（最近年度）或者银行出具的资信证明；</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投标截止时间前六个月内（至少提供其中一个月）缴纳社会保障资金凭据（提供专用收据或社会保险缴纳清单或社保部门出具的社保证明），以及缴纳税收凭证（依法免税的，提供相应证明资料证明依法免税）；</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（6）具备履行合同所必需的设备和专业技术能力的证明材料(根据项目性质提供</w:t>
      </w:r>
      <w:r>
        <w:rPr>
          <w:rFonts w:hint="eastAsia" w:ascii="宋体" w:hAnsi="宋体" w:cs="宋体"/>
          <w:color w:val="auto"/>
          <w:sz w:val="24"/>
          <w:lang w:eastAsia="zh-CN"/>
        </w:rPr>
        <w:t>）。</w:t>
      </w:r>
      <w:r>
        <w:rPr>
          <w:rFonts w:hint="eastAsia" w:ascii="宋体" w:hAnsi="宋体" w:cs="宋体"/>
          <w:color w:val="auto"/>
          <w:sz w:val="24"/>
          <w:lang w:val="en-US" w:eastAsia="zh-CN"/>
        </w:rPr>
        <w:t>其中，</w:t>
      </w:r>
      <w:r>
        <w:rPr>
          <w:rFonts w:hint="eastAsia" w:ascii="宋体" w:hAnsi="宋体" w:cs="宋体"/>
          <w:color w:val="auto"/>
          <w:sz w:val="24"/>
          <w:lang w:eastAsia="zh-CN"/>
        </w:rPr>
        <w:t>电信、移动、联通等区域性分支机构参与投标的，</w:t>
      </w:r>
      <w:r>
        <w:rPr>
          <w:rFonts w:hint="eastAsia" w:ascii="宋体" w:hAnsi="宋体" w:cs="宋体"/>
          <w:color w:val="auto"/>
          <w:sz w:val="24"/>
          <w:lang w:val="en-US" w:eastAsia="zh-CN"/>
        </w:rPr>
        <w:t>还需提供总公司（总机构）授权或提供房产权证或其他有效财产证明材料</w:t>
      </w:r>
      <w:r>
        <w:rPr>
          <w:rFonts w:hint="eastAsia" w:ascii="宋体" w:hAnsi="宋体" w:cs="宋体"/>
          <w:color w:val="auto"/>
          <w:sz w:val="24"/>
        </w:rPr>
        <w:t>；</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（7）提供采购公告中符合供应商特定条件的有效资质证书复印件（投标供应商特定条件中有要求的必须提供</w:t>
      </w:r>
      <w:r>
        <w:rPr>
          <w:rFonts w:hint="eastAsia" w:ascii="宋体" w:hAnsi="宋体" w:cs="宋体"/>
          <w:color w:val="auto"/>
          <w:sz w:val="24"/>
          <w:lang w:eastAsia="zh-CN"/>
        </w:rPr>
        <w:t>，</w:t>
      </w:r>
      <w:r>
        <w:rPr>
          <w:rFonts w:hint="eastAsia" w:ascii="宋体" w:hAnsi="宋体" w:cs="宋体"/>
          <w:color w:val="auto"/>
          <w:sz w:val="24"/>
          <w:lang w:val="en-US" w:eastAsia="zh-CN"/>
        </w:rPr>
        <w:t>其中</w:t>
      </w:r>
      <w:r>
        <w:rPr>
          <w:rFonts w:hint="eastAsia" w:ascii="宋体" w:hAnsi="宋体" w:cs="宋体"/>
          <w:color w:val="auto"/>
          <w:sz w:val="24"/>
          <w:lang w:eastAsia="zh-CN"/>
        </w:rPr>
        <w:t>电信、移动、联通等区域性分支机构参与投标的，</w:t>
      </w:r>
      <w:r>
        <w:rPr>
          <w:rFonts w:hint="eastAsia" w:ascii="宋体" w:hAnsi="宋体" w:cs="宋体"/>
          <w:color w:val="auto"/>
          <w:sz w:val="24"/>
          <w:lang w:val="en-US" w:eastAsia="zh-CN"/>
        </w:rPr>
        <w:t>必须</w:t>
      </w:r>
      <w:r>
        <w:rPr>
          <w:rFonts w:hint="eastAsia" w:ascii="宋体" w:hAnsi="宋体" w:cs="宋体"/>
          <w:color w:val="auto"/>
          <w:sz w:val="24"/>
          <w:lang w:eastAsia="zh-CN"/>
        </w:rPr>
        <w:t>提供总公司的《基础电信业务经营许可证》</w:t>
      </w:r>
      <w:r>
        <w:rPr>
          <w:rFonts w:hint="eastAsia" w:ascii="宋体" w:hAnsi="宋体" w:cs="宋体"/>
          <w:color w:val="auto"/>
          <w:sz w:val="24"/>
          <w:lang w:val="en-US" w:eastAsia="zh-CN"/>
        </w:rPr>
        <w:t>才能视为符合</w:t>
      </w:r>
      <w:r>
        <w:rPr>
          <w:rFonts w:hint="eastAsia" w:ascii="宋体" w:hAnsi="宋体" w:cs="宋体"/>
          <w:color w:val="auto"/>
          <w:sz w:val="24"/>
        </w:rPr>
        <w:t>供应商</w:t>
      </w:r>
      <w:r>
        <w:rPr>
          <w:rFonts w:hint="eastAsia" w:ascii="宋体" w:hAnsi="宋体" w:cs="宋体"/>
          <w:color w:val="auto"/>
          <w:sz w:val="24"/>
          <w:lang w:val="en-US" w:eastAsia="zh-CN"/>
        </w:rPr>
        <w:t>特定条件</w:t>
      </w:r>
      <w:r>
        <w:rPr>
          <w:rFonts w:hint="eastAsia" w:ascii="宋体" w:hAnsi="宋体" w:cs="宋体"/>
          <w:color w:val="auto"/>
          <w:sz w:val="24"/>
        </w:rPr>
        <w:t>）</w:t>
      </w:r>
      <w:r>
        <w:rPr>
          <w:rFonts w:hint="eastAsia" w:ascii="宋体" w:hAnsi="宋体" w:cs="宋体"/>
          <w:color w:val="auto"/>
          <w:sz w:val="24"/>
          <w:lang w:eastAsia="zh-CN"/>
        </w:rPr>
        <w:t>；</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8）供应商认为</w:t>
      </w:r>
      <w:r>
        <w:rPr>
          <w:rFonts w:hint="eastAsia" w:ascii="宋体" w:hAnsi="宋体" w:cs="宋体"/>
          <w:color w:val="auto"/>
          <w:sz w:val="24"/>
        </w:rPr>
        <w:t>需要说明的其他资料</w:t>
      </w:r>
      <w:r>
        <w:rPr>
          <w:rFonts w:hint="eastAsia" w:ascii="宋体" w:hAnsi="宋体" w:cs="宋体"/>
          <w:color w:val="auto"/>
          <w:sz w:val="24"/>
          <w:lang w:eastAsia="zh-CN"/>
        </w:rPr>
        <w:t>（</w:t>
      </w:r>
      <w:r>
        <w:rPr>
          <w:rFonts w:hint="eastAsia" w:ascii="宋体" w:hAnsi="宋体" w:cs="宋体"/>
          <w:color w:val="auto"/>
          <w:sz w:val="24"/>
          <w:lang w:val="en-US" w:eastAsia="zh-CN"/>
        </w:rPr>
        <w:t>如有）。</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2、商务与技术文件的组成：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（1）评分对应表；（见附件）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（2）投标人情况介绍（人员与技术力量、企业规模、经营业绩等）。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（3）投标方案描述：</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A.</w:t>
      </w:r>
      <w:r>
        <w:rPr>
          <w:rFonts w:hint="eastAsia" w:ascii="宋体" w:hAnsi="宋体"/>
          <w:color w:val="auto"/>
          <w:sz w:val="24"/>
        </w:rPr>
        <w:t>对本项目采购需求的理解、</w:t>
      </w:r>
      <w:r>
        <w:rPr>
          <w:rFonts w:hint="eastAsia" w:ascii="宋体" w:hAnsi="宋体"/>
          <w:color w:val="auto"/>
          <w:sz w:val="24"/>
          <w:lang w:val="en-US" w:eastAsia="zh-CN"/>
        </w:rPr>
        <w:t>项目服务</w:t>
      </w:r>
      <w:r>
        <w:rPr>
          <w:rFonts w:hint="eastAsia" w:ascii="宋体" w:hAnsi="宋体"/>
          <w:color w:val="auto"/>
          <w:sz w:val="24"/>
        </w:rPr>
        <w:t>方案</w:t>
      </w:r>
      <w:r>
        <w:rPr>
          <w:rFonts w:hint="eastAsia" w:ascii="宋体" w:hAnsi="宋体" w:cs="宋体"/>
          <w:color w:val="auto"/>
          <w:sz w:val="24"/>
        </w:rPr>
        <w:t>（可包含且不限于</w:t>
      </w:r>
      <w:r>
        <w:rPr>
          <w:rFonts w:hint="eastAsia" w:ascii="宋体" w:hAnsi="宋体"/>
          <w:color w:val="auto"/>
          <w:sz w:val="24"/>
          <w:lang w:eastAsia="zh-CN"/>
        </w:rPr>
        <w:t>前后端建设</w:t>
      </w:r>
      <w:r>
        <w:rPr>
          <w:rFonts w:hint="eastAsia" w:ascii="宋体" w:hAnsi="宋体"/>
          <w:color w:val="auto"/>
          <w:sz w:val="24"/>
        </w:rPr>
        <w:t>方</w:t>
      </w:r>
      <w:r>
        <w:rPr>
          <w:rFonts w:hint="eastAsia" w:ascii="宋体" w:hAnsi="宋体" w:cs="宋体"/>
          <w:color w:val="auto"/>
          <w:sz w:val="24"/>
        </w:rPr>
        <w:t>案</w:t>
      </w:r>
      <w:r>
        <w:rPr>
          <w:rFonts w:hint="eastAsia" w:ascii="宋体" w:hAnsi="宋体" w:cs="宋体"/>
          <w:color w:val="auto"/>
          <w:sz w:val="24"/>
          <w:lang w:eastAsia="zh-CN"/>
        </w:rPr>
        <w:t>、</w:t>
      </w:r>
      <w:r>
        <w:rPr>
          <w:rFonts w:hint="eastAsia" w:ascii="宋体" w:hAnsi="宋体" w:cs="宋体"/>
          <w:color w:val="auto"/>
          <w:sz w:val="24"/>
        </w:rPr>
        <w:t>网络组网方案、</w:t>
      </w:r>
      <w:r>
        <w:rPr>
          <w:rFonts w:hint="eastAsia" w:ascii="宋体" w:hAnsi="宋体"/>
          <w:color w:val="auto"/>
          <w:sz w:val="24"/>
          <w:lang w:val="en-US" w:eastAsia="zh-CN"/>
        </w:rPr>
        <w:t>维护服务方案、</w:t>
      </w:r>
      <w:r>
        <w:rPr>
          <w:rFonts w:hint="eastAsia" w:ascii="宋体" w:hAnsi="宋体" w:cs="宋体"/>
          <w:color w:val="auto"/>
          <w:sz w:val="24"/>
        </w:rPr>
        <w:t>应急方案等）；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B.项目组织实施方案（可包括且不限于保证工期的组织实施方案、项目实施人员及项目负责人的资质、类似经验及社保证明等）。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b w:val="0"/>
          <w:bCs w:val="0"/>
          <w:color w:val="auto"/>
          <w:sz w:val="24"/>
        </w:rPr>
        <w:t>拟投入的</w:t>
      </w:r>
      <w:r>
        <w:rPr>
          <w:rFonts w:hint="eastAsia" w:ascii="宋体" w:hAnsi="宋体" w:cs="宋体"/>
          <w:b w:val="0"/>
          <w:bCs w:val="0"/>
          <w:color w:val="auto"/>
          <w:sz w:val="24"/>
          <w:lang w:val="en-US" w:eastAsia="zh-CN"/>
        </w:rPr>
        <w:t>主要</w:t>
      </w:r>
      <w:r>
        <w:rPr>
          <w:rFonts w:hint="eastAsia" w:ascii="宋体" w:hAnsi="宋体" w:cs="宋体"/>
          <w:b w:val="0"/>
          <w:bCs w:val="0"/>
          <w:color w:val="auto"/>
          <w:sz w:val="24"/>
        </w:rPr>
        <w:t>软硬件设备</w:t>
      </w:r>
      <w:r>
        <w:rPr>
          <w:rFonts w:hint="eastAsia" w:ascii="宋体" w:hAnsi="宋体" w:cs="宋体"/>
          <w:b w:val="0"/>
          <w:bCs w:val="0"/>
          <w:color w:val="auto"/>
          <w:sz w:val="24"/>
          <w:lang w:eastAsia="zh-CN"/>
        </w:rPr>
        <w:t>情况</w:t>
      </w:r>
      <w:r>
        <w:rPr>
          <w:rFonts w:hint="eastAsia" w:ascii="宋体" w:hAnsi="宋体" w:cs="宋体"/>
          <w:color w:val="auto"/>
          <w:sz w:val="24"/>
        </w:rPr>
        <w:t>（见附件）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（5）商务响应表；（见附件）</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）投标人认为需要提供的其他资料（包括可能影响投标人商务与技术文件评分的各类证明材料）</w:t>
      </w:r>
      <w:r>
        <w:rPr>
          <w:rFonts w:hint="eastAsia" w:ascii="宋体" w:hAnsi="宋体" w:cs="宋体"/>
          <w:color w:val="auto"/>
          <w:sz w:val="24"/>
          <w:lang w:eastAsia="zh-CN"/>
        </w:rPr>
        <w:t>。</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3、报价文件的组成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报价文件由开标一览表、投标报价明细表、小微企业等声明函（如有，见附件）、产品适用政府采购政策情况表（如有，见附件），以及投标人认为其他需要说明的内容（包括政府采购优惠政策相关资料等，如有）组成。</w:t>
      </w:r>
    </w:p>
    <w:p>
      <w:pPr>
        <w:pStyle w:val="12"/>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kern w:val="2"/>
          <w:sz w:val="24"/>
          <w:szCs w:val="24"/>
          <w:lang w:val="zh-CN" w:eastAsia="zh-CN" w:bidi="ar-SA"/>
        </w:rPr>
        <w:t>投标报价是包括与本</w:t>
      </w:r>
      <w:r>
        <w:rPr>
          <w:rFonts w:hint="eastAsia" w:ascii="宋体" w:hAnsi="宋体" w:cs="宋体"/>
          <w:color w:val="auto"/>
          <w:kern w:val="2"/>
          <w:sz w:val="24"/>
          <w:szCs w:val="24"/>
          <w:lang w:val="en-US" w:eastAsia="zh-CN" w:bidi="ar-SA"/>
        </w:rPr>
        <w:t>服务</w:t>
      </w:r>
      <w:r>
        <w:rPr>
          <w:rFonts w:hint="eastAsia" w:ascii="宋体" w:hAnsi="宋体" w:cs="宋体"/>
          <w:color w:val="auto"/>
          <w:kern w:val="2"/>
          <w:sz w:val="24"/>
          <w:szCs w:val="24"/>
          <w:lang w:val="zh-CN" w:eastAsia="zh-CN" w:bidi="ar-SA"/>
        </w:rPr>
        <w:t>项目相关的</w:t>
      </w:r>
      <w:r>
        <w:rPr>
          <w:rFonts w:hint="eastAsia" w:ascii="宋体" w:hAnsi="宋体" w:cs="宋体"/>
          <w:color w:val="auto"/>
          <w:kern w:val="2"/>
          <w:sz w:val="24"/>
          <w:szCs w:val="24"/>
          <w:lang w:val="en-US" w:eastAsia="zh-CN" w:bidi="ar-SA"/>
        </w:rPr>
        <w:t>设备</w:t>
      </w:r>
      <w:r>
        <w:rPr>
          <w:rFonts w:hint="eastAsia" w:ascii="宋体" w:hAnsi="宋体" w:cs="宋体"/>
          <w:color w:val="auto"/>
          <w:kern w:val="2"/>
          <w:sz w:val="24"/>
          <w:szCs w:val="24"/>
          <w:lang w:val="zh-CN" w:eastAsia="zh-CN" w:bidi="ar-SA"/>
        </w:rPr>
        <w:t>安装、调试、验收、培训合格之前所有含税费用、税金、光纤租赁费用、其他费用（包括各种人工费、交通费、机械及仪器使用费、管理、利润、税务费、必要的保险费用、必须的专用工具、辅助材料费、</w:t>
      </w:r>
      <w:r>
        <w:rPr>
          <w:rFonts w:hint="eastAsia" w:ascii="宋体" w:hAnsi="宋体" w:cs="宋体"/>
          <w:color w:val="auto"/>
          <w:kern w:val="2"/>
          <w:sz w:val="24"/>
          <w:szCs w:val="24"/>
          <w:lang w:val="en-US" w:eastAsia="zh-CN" w:bidi="ar-SA"/>
        </w:rPr>
        <w:t>前端设备使用电费</w:t>
      </w:r>
      <w:r>
        <w:rPr>
          <w:rFonts w:hint="eastAsia" w:ascii="宋体" w:hAnsi="宋体" w:cs="宋体"/>
          <w:color w:val="auto"/>
          <w:kern w:val="2"/>
          <w:sz w:val="24"/>
          <w:szCs w:val="24"/>
          <w:lang w:val="zh-CN" w:eastAsia="zh-CN" w:bidi="ar-SA"/>
        </w:rPr>
        <w:t>），合同包含的所有风险、责任等各项费用以及不可预见费等所需的全部费用并承担一切风险责任，全部费用已包含在开标一览表投标报价中。</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（3）相关报价单需打印或用不退色的墨水填写。如有错漏必须修改，修改处须由同一签署人签字或盖章。由于字迹模糊或表达不清引起的后果由投标人负责。</w:t>
      </w:r>
    </w:p>
    <w:p>
      <w:pPr>
        <w:snapToGrid w:val="0"/>
        <w:spacing w:line="360" w:lineRule="auto"/>
        <w:ind w:firstLine="240" w:firstLineChars="100"/>
        <w:rPr>
          <w:rFonts w:hint="eastAsia" w:ascii="宋体" w:hAnsi="宋体" w:cs="宋体"/>
          <w:color w:val="auto"/>
          <w:sz w:val="24"/>
        </w:rPr>
      </w:pPr>
      <w:r>
        <w:rPr>
          <w:rFonts w:hint="eastAsia" w:ascii="宋体" w:hAnsi="宋体" w:cs="宋体"/>
          <w:bCs/>
          <w:color w:val="auto"/>
          <w:sz w:val="24"/>
        </w:rPr>
        <w:t>▲</w:t>
      </w:r>
      <w:r>
        <w:rPr>
          <w:rFonts w:hint="eastAsia" w:ascii="宋体" w:hAnsi="宋体" w:cs="宋体"/>
          <w:color w:val="auto"/>
          <w:sz w:val="24"/>
        </w:rPr>
        <w:t>（4）投标文件只允许有一个报价（包含其它一切所要涉及到的费用），投标报价应按招标文件中相关附表格式填报，《开标一览表》的投标报价大写金额应与《投标报价明细表》的投标报价相等，明细出现“0”元，视同赠送。</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（二）投标文件的制作、封装及提交要求</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1、投标文件的制作要求</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（1）投标人应按照投标文件组成内容及项目招标需求制作投标文件，不按招标文件要求制作投标文件的将视情处理（拒收、扣分等），由此产生的责任由投标人自行承担。</w:t>
      </w:r>
    </w:p>
    <w:p>
      <w:pPr>
        <w:snapToGrid w:val="0"/>
        <w:spacing w:line="360" w:lineRule="auto"/>
        <w:ind w:firstLine="240" w:firstLineChars="100"/>
        <w:rPr>
          <w:rFonts w:hint="eastAsia" w:ascii="宋体" w:hAnsi="宋体" w:cs="宋体"/>
          <w:color w:val="auto"/>
          <w:sz w:val="24"/>
          <w:lang w:val="zh-CN"/>
        </w:rPr>
      </w:pPr>
      <w:r>
        <w:rPr>
          <w:rFonts w:hint="eastAsia" w:ascii="宋体" w:hAnsi="宋体" w:cs="宋体"/>
          <w:bCs/>
          <w:color w:val="auto"/>
          <w:sz w:val="24"/>
        </w:rPr>
        <w:t>▲</w:t>
      </w:r>
      <w:r>
        <w:rPr>
          <w:rFonts w:hint="eastAsia" w:ascii="宋体" w:hAnsi="宋体" w:cs="宋体"/>
          <w:color w:val="auto"/>
          <w:sz w:val="24"/>
        </w:rPr>
        <w:t>（2）投标人应对所提供的全部资料的真实性承担法律责任，</w:t>
      </w:r>
      <w:r>
        <w:rPr>
          <w:rFonts w:hint="eastAsia" w:ascii="宋体" w:hAnsi="宋体" w:cs="宋体"/>
          <w:color w:val="auto"/>
          <w:sz w:val="24"/>
          <w:lang w:val="zh-CN"/>
        </w:rPr>
        <w:t>投标文件内容中有要求盖章或签字的地方，必须加盖投标人的公章以及法定代表人或全权代表盖章或签字。</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3</w:t>
      </w:r>
      <w:r>
        <w:rPr>
          <w:rFonts w:hint="eastAsia" w:ascii="宋体" w:hAnsi="宋体" w:cs="宋体"/>
          <w:color w:val="auto"/>
          <w:sz w:val="24"/>
          <w:lang w:val="zh-CN"/>
        </w:rPr>
        <w:t>）</w:t>
      </w:r>
      <w:r>
        <w:rPr>
          <w:rFonts w:hint="eastAsia" w:ascii="宋体" w:hAnsi="宋体" w:cs="宋体"/>
          <w:color w:val="auto"/>
          <w:sz w:val="24"/>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（4）投标计量单位，招标文件已有明确规定的，使用招标文件规定的计量单位；招标文件没有规定的，应采用中华人民共和国法定计量单位（货币单位：人民币元）。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（5）若投标人不按招标文件的要求提供资格审查材料，其风险由投标人自行承担。</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（6）与本次投标无关的内容请不要制作在内，确保投标文件有针对性、简洁明了，同时节约纸张；投标文件建议以A4纸大小双面打印并装订。</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2、投标文件的封装要求</w:t>
      </w:r>
    </w:p>
    <w:p>
      <w:pPr>
        <w:snapToGri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（1）投标文件份数：</w:t>
      </w:r>
      <w:r>
        <w:rPr>
          <w:rFonts w:hint="eastAsia" w:ascii="宋体" w:hAnsi="宋体" w:cs="宋体"/>
          <w:color w:val="auto"/>
          <w:sz w:val="24"/>
          <w:lang w:val="zh-CN"/>
        </w:rPr>
        <w:t>资格证明文件、商务与技术文件、报价文件必须分别编制并分开单独装订成册：</w:t>
      </w:r>
      <w:r>
        <w:rPr>
          <w:rFonts w:hint="eastAsia" w:ascii="宋体" w:hAnsi="宋体" w:cs="宋体"/>
          <w:bCs/>
          <w:color w:val="auto"/>
          <w:sz w:val="24"/>
          <w:lang w:val="zh-CN"/>
        </w:rPr>
        <w:t>资格证明文件共</w:t>
      </w:r>
      <w:r>
        <w:rPr>
          <w:rFonts w:hint="eastAsia" w:ascii="宋体" w:hAnsi="宋体" w:cs="宋体"/>
          <w:bCs/>
          <w:color w:val="auto"/>
          <w:sz w:val="24"/>
          <w:u w:val="single"/>
          <w:lang w:val="zh-CN"/>
        </w:rPr>
        <w:t xml:space="preserve"> </w:t>
      </w:r>
      <w:r>
        <w:rPr>
          <w:rFonts w:hint="eastAsia" w:ascii="宋体" w:hAnsi="宋体" w:cs="宋体"/>
          <w:bCs/>
          <w:color w:val="auto"/>
          <w:sz w:val="24"/>
          <w:u w:val="single"/>
        </w:rPr>
        <w:t>2</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份（</w:t>
      </w:r>
      <w:r>
        <w:rPr>
          <w:rFonts w:hint="eastAsia" w:ascii="宋体" w:hAnsi="宋体" w:cs="宋体"/>
          <w:bCs/>
          <w:color w:val="auto"/>
          <w:sz w:val="24"/>
          <w:u w:val="single"/>
        </w:rPr>
        <w:t xml:space="preserve"> 1</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正本</w:t>
      </w:r>
      <w:r>
        <w:rPr>
          <w:rFonts w:hint="eastAsia" w:ascii="宋体" w:hAnsi="宋体" w:cs="宋体"/>
          <w:bCs/>
          <w:color w:val="auto"/>
          <w:sz w:val="24"/>
        </w:rPr>
        <w:t xml:space="preserve"> </w:t>
      </w:r>
      <w:r>
        <w:rPr>
          <w:rFonts w:hint="eastAsia" w:ascii="宋体" w:hAnsi="宋体" w:cs="宋体"/>
          <w:bCs/>
          <w:color w:val="auto"/>
          <w:sz w:val="24"/>
          <w:u w:val="single"/>
        </w:rPr>
        <w:t xml:space="preserve"> 1</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副本，封装成一袋），商务与技术文件共</w:t>
      </w:r>
      <w:r>
        <w:rPr>
          <w:rFonts w:hint="eastAsia" w:ascii="宋体" w:hAnsi="宋体" w:cs="宋体"/>
          <w:bCs/>
          <w:color w:val="auto"/>
          <w:sz w:val="24"/>
          <w:u w:val="single"/>
          <w:lang w:val="zh-CN"/>
        </w:rPr>
        <w:t xml:space="preserve"> </w:t>
      </w:r>
      <w:r>
        <w:rPr>
          <w:rFonts w:hint="eastAsia" w:ascii="宋体" w:hAnsi="宋体" w:cs="宋体"/>
          <w:bCs/>
          <w:color w:val="auto"/>
          <w:sz w:val="24"/>
          <w:u w:val="single"/>
        </w:rPr>
        <w:t xml:space="preserve">7  </w:t>
      </w:r>
      <w:r>
        <w:rPr>
          <w:rFonts w:hint="eastAsia" w:ascii="宋体" w:hAnsi="宋体" w:cs="宋体"/>
          <w:bCs/>
          <w:color w:val="auto"/>
          <w:sz w:val="24"/>
          <w:lang w:val="zh-CN"/>
        </w:rPr>
        <w:t>份（</w:t>
      </w:r>
      <w:r>
        <w:rPr>
          <w:rFonts w:hint="eastAsia" w:ascii="宋体" w:hAnsi="宋体" w:cs="宋体"/>
          <w:bCs/>
          <w:color w:val="auto"/>
          <w:sz w:val="24"/>
          <w:u w:val="single"/>
        </w:rPr>
        <w:t xml:space="preserve"> 1</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正本</w:t>
      </w:r>
      <w:r>
        <w:rPr>
          <w:rFonts w:hint="eastAsia" w:ascii="宋体" w:hAnsi="宋体" w:cs="宋体"/>
          <w:bCs/>
          <w:color w:val="auto"/>
          <w:sz w:val="24"/>
        </w:rPr>
        <w:t xml:space="preserve"> </w:t>
      </w:r>
      <w:r>
        <w:rPr>
          <w:rFonts w:hint="eastAsia" w:ascii="宋体" w:hAnsi="宋体" w:cs="宋体"/>
          <w:bCs/>
          <w:color w:val="auto"/>
          <w:sz w:val="24"/>
          <w:u w:val="single"/>
        </w:rPr>
        <w:t xml:space="preserve"> 6</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副本，封装成一袋），报价文件共</w:t>
      </w:r>
      <w:r>
        <w:rPr>
          <w:rFonts w:hint="eastAsia" w:ascii="宋体" w:hAnsi="宋体" w:cs="宋体"/>
          <w:bCs/>
          <w:color w:val="auto"/>
          <w:sz w:val="24"/>
          <w:u w:val="single"/>
          <w:lang w:val="zh-CN"/>
        </w:rPr>
        <w:t xml:space="preserve"> </w:t>
      </w:r>
      <w:r>
        <w:rPr>
          <w:rFonts w:hint="eastAsia" w:ascii="宋体" w:hAnsi="宋体" w:cs="宋体"/>
          <w:bCs/>
          <w:color w:val="auto"/>
          <w:sz w:val="24"/>
          <w:u w:val="single"/>
        </w:rPr>
        <w:t xml:space="preserve">2  </w:t>
      </w:r>
      <w:r>
        <w:rPr>
          <w:rFonts w:hint="eastAsia" w:ascii="宋体" w:hAnsi="宋体" w:cs="宋体"/>
          <w:bCs/>
          <w:color w:val="auto"/>
          <w:sz w:val="24"/>
          <w:lang w:val="zh-CN"/>
        </w:rPr>
        <w:t>份（</w:t>
      </w:r>
      <w:r>
        <w:rPr>
          <w:rFonts w:hint="eastAsia" w:ascii="宋体" w:hAnsi="宋体" w:cs="宋体"/>
          <w:bCs/>
          <w:color w:val="auto"/>
          <w:sz w:val="24"/>
          <w:u w:val="single"/>
        </w:rPr>
        <w:t xml:space="preserve"> 1</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正本</w:t>
      </w:r>
      <w:r>
        <w:rPr>
          <w:rFonts w:hint="eastAsia" w:ascii="宋体" w:hAnsi="宋体" w:cs="宋体"/>
          <w:bCs/>
          <w:color w:val="auto"/>
          <w:sz w:val="24"/>
          <w:u w:val="single"/>
        </w:rPr>
        <w:t xml:space="preserve"> 1</w:t>
      </w:r>
      <w:r>
        <w:rPr>
          <w:rFonts w:hint="eastAsia" w:ascii="宋体" w:hAnsi="宋体" w:cs="宋体"/>
          <w:bCs/>
          <w:color w:val="auto"/>
          <w:sz w:val="24"/>
          <w:u w:val="single"/>
          <w:lang w:val="zh-CN"/>
        </w:rPr>
        <w:t xml:space="preserve"> </w:t>
      </w:r>
      <w:r>
        <w:rPr>
          <w:rFonts w:hint="eastAsia" w:ascii="宋体" w:hAnsi="宋体" w:cs="宋体"/>
          <w:bCs/>
          <w:color w:val="auto"/>
          <w:sz w:val="24"/>
          <w:lang w:val="zh-CN"/>
        </w:rPr>
        <w:t>副本，封装成一袋）。</w:t>
      </w:r>
      <w:r>
        <w:rPr>
          <w:rFonts w:hint="eastAsia" w:ascii="宋体" w:hAnsi="宋体" w:cs="宋体"/>
          <w:color w:val="auto"/>
          <w:sz w:val="24"/>
          <w:lang w:val="zh-CN"/>
        </w:rPr>
        <w:t>投标文件的正本封面必须注明“正本”字样，副本可以采用正本的复印件。</w:t>
      </w:r>
      <w:r>
        <w:rPr>
          <w:rFonts w:hint="eastAsia" w:ascii="宋体" w:hAnsi="宋体" w:cs="宋体"/>
          <w:color w:val="auto"/>
          <w:sz w:val="24"/>
        </w:rPr>
        <w:t>除报价文件外其余一律不准出现数字报价。</w:t>
      </w:r>
      <w:r>
        <w:rPr>
          <w:rFonts w:hint="eastAsia" w:ascii="宋体" w:hAnsi="宋体" w:cs="宋体"/>
          <w:b/>
          <w:bCs/>
          <w:color w:val="auto"/>
          <w:sz w:val="24"/>
        </w:rPr>
        <w:t>项目如分标项，各标项投标文件必须分开编制，分别装订，份数与密封要求同上。</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（2）所有投标资料按投标文件的组成所列内容及顺序装订成册，</w:t>
      </w:r>
      <w:r>
        <w:rPr>
          <w:rFonts w:hint="eastAsia" w:ascii="宋体" w:hAnsi="宋体" w:cs="宋体"/>
          <w:color w:val="auto"/>
          <w:sz w:val="24"/>
          <w:lang w:val="zh-CN"/>
        </w:rPr>
        <w:t>并逐页连续标注页码。因投标文件内容不完整、编排混乱导致投标文件被误读、漏读或者查找不到相关内容的责任由投标人自行承担。</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（3）在密封袋的封口处应有投标单位公章或投标全权代表签字。封皮上写明项目编号、标项号（如有）、招标项目名称、投标人名称，并注明“投标文件名称（资格证明文件、</w:t>
      </w:r>
      <w:r>
        <w:rPr>
          <w:rFonts w:hint="eastAsia" w:ascii="宋体" w:hAnsi="宋体" w:cs="宋体"/>
          <w:color w:val="auto"/>
          <w:sz w:val="24"/>
          <w:lang w:val="zh-CN"/>
        </w:rPr>
        <w:t>商务与技术文件</w:t>
      </w:r>
      <w:r>
        <w:rPr>
          <w:rFonts w:hint="eastAsia" w:ascii="宋体" w:hAnsi="宋体" w:cs="宋体"/>
          <w:color w:val="auto"/>
          <w:sz w:val="24"/>
        </w:rPr>
        <w:t>、报价文件）”、“开标时启封”字样。</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因密封不严、标记不明而造成失密、拒收、过早启封等情况，采购代理机构概不负责。</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3、投标文件的提交要求</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在投标文件提交截止时间前，投标人应按招标文件规定的时间和地点提交投标文件。采购代理机构将在投标文件提交截止时间前1个小时开始现场接收投标文件，投标文件提交截止时间后，采购代理机构将拒收投标人的投标文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（2）如有特殊情况，采购代理机构延长截止时间和开标时间，采购代理机构和投标人的权利和义务将受到新的截止时间和开标时间的约束。</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4、投标文件的补充、修改和撤回</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（1）投标人如需对上交的投标文件进行补充、修改或撤回的，必须在投标截止时间以前将书面的修改文件或撤消通知送达采购代理机构。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（2）投标修改文件必须密封，在密封袋上写明项目编号、标项、招标项目名称、投标人名称、并注明“修改文件”、“开标时启封”字样，其作为投标文件的组成部份。</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在投标文件提交截止时间后,投标人不得修改或撤回已提交的投标文件。</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（三）投标文件的有效期</w:t>
      </w:r>
    </w:p>
    <w:p>
      <w:pPr>
        <w:snapToGrid w:val="0"/>
        <w:spacing w:line="360" w:lineRule="auto"/>
        <w:ind w:firstLine="480" w:firstLineChars="200"/>
        <w:rPr>
          <w:rFonts w:hint="eastAsia"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自投标截止日起90天投标文件应保持有效。有效期不足的投标文件将被拒绝。</w:t>
      </w:r>
    </w:p>
    <w:p>
      <w:pPr>
        <w:snapToGrid w:val="0"/>
        <w:spacing w:line="360" w:lineRule="auto"/>
        <w:ind w:firstLine="480" w:firstLineChars="200"/>
        <w:rPr>
          <w:rFonts w:hint="eastAsia"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在特殊情况下，采购人可与投标人协商延长投标文件的有效期，这种要求和答复均以书面形式进行。</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3、中标人的投标文件自开标之日起至合同履行完毕均应保持有效。</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四、开标</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（一）开标事项</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代理机构在“招标公告”规定的时间和地点进行开标，投标人的法定代表人或其授权代表应参加开标会并签到。投标人的法定代表人或其授权代表未按时签到的，视同放弃开标监督权利、认可开标结果，事后不得对采购相关人员、项目开标过程和评标结果提出异议。</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2、采购代理机构工作人员接收投标文件并登记，并由供应商代表对递交记录情况进行签字确认。</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3、评标委员会成员不得参加开标活动。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4、本次开标采用先评审资格证明文件和商务与技术文件，后评审报价文件的方式进行。</w:t>
      </w:r>
    </w:p>
    <w:p>
      <w:pPr>
        <w:snapToGrid w:val="0"/>
        <w:spacing w:line="360" w:lineRule="auto"/>
        <w:ind w:firstLine="482" w:firstLineChars="200"/>
        <w:rPr>
          <w:rFonts w:hint="eastAsia" w:ascii="宋体" w:hAnsi="宋体" w:cs="宋体"/>
          <w:color w:val="auto"/>
          <w:sz w:val="24"/>
        </w:rPr>
      </w:pPr>
      <w:r>
        <w:rPr>
          <w:rFonts w:hint="eastAsia" w:ascii="宋体" w:hAnsi="宋体" w:cs="宋体"/>
          <w:b/>
          <w:bCs/>
          <w:color w:val="auto"/>
          <w:sz w:val="24"/>
        </w:rPr>
        <w:t>（二） 开标程序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1、开标会由采购代理机构工作人员主持，主持人宣布开标会议开始；</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2、主持人介绍参加开标会的人员名单；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3、主持人宣布评标期间的有关事项，告知应当回避的情形，提请有关人员回避，并组织投标人签署不存在影响公平竞争的《政府采购活动现场确认声明书》。</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4、投标人或其当场推荐的代表，检查投标文件密封的完整性；</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5、按投标文件提交的先后顺序当场拆封、清点资格证明文件与</w:t>
      </w:r>
      <w:r>
        <w:rPr>
          <w:rFonts w:hint="eastAsia" w:ascii="宋体" w:hAnsi="宋体" w:cs="宋体"/>
          <w:color w:val="auto"/>
          <w:sz w:val="24"/>
          <w:lang w:val="zh-CN"/>
        </w:rPr>
        <w:t>商务与技术文件</w:t>
      </w:r>
      <w:r>
        <w:rPr>
          <w:rFonts w:hint="eastAsia" w:ascii="宋体" w:hAnsi="宋体" w:cs="宋体"/>
          <w:color w:val="auto"/>
          <w:sz w:val="24"/>
        </w:rPr>
        <w:t>（包括正本、副本）数量（对于正副本数量和装订不符合招标文件要求的投标文件，当场退还投标人代表并由其签字确认）。将拆封后的资格证明文件、商务与技术文件护送至指定的评审地点，并进入资格审查及符合性审查环节。</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商务与技术文件综合比较与评价完成后，主持人宣告商务与技术文件评审无效投标人名称及理由，投标人代表可收回未拆封的报价文件并签字确认；公布经商务与技术文件评审符合采购需求的投标人名单以及商务与技术文件得分情况。</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7、按投标文件提交的先后顺序当众拆封、清点报价文件（包括正本、副本）数量，宣读《开标一览表》中的投标报价，以及采购代理机构认为有必要宣读的其他内容。当场制作并打印开标记录表，投标人代表对开标记录进行当场校核及勘误，并签字确认（</w:t>
      </w:r>
      <w:r>
        <w:rPr>
          <w:rFonts w:hint="eastAsia" w:ascii="宋体" w:hAnsi="宋体" w:cs="宋体"/>
          <w:color w:val="auto"/>
          <w:sz w:val="24"/>
          <w:lang w:val="zh-CN"/>
        </w:rPr>
        <w:t>投标人代表未到场或拒绝签字确认的，不影响评标过程</w:t>
      </w:r>
      <w:r>
        <w:rPr>
          <w:rFonts w:hint="eastAsia" w:ascii="宋体" w:hAnsi="宋体" w:cs="宋体"/>
          <w:color w:val="auto"/>
          <w:sz w:val="24"/>
        </w:rPr>
        <w:t>），同时由唱标人、记录人、监督人当场签字确认；唱标结束后，现场工作人员将报价文件及开标记录表护送至指定评审地点，由评标委员会对报价的合理性、准确性等进行审查核实。</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8、评标结束后，主持人公布投标报价得分、综合得分以及中标候选人排序名单。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9、宣布开标会议结束。</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五</w:t>
      </w:r>
      <w:r>
        <w:rPr>
          <w:rFonts w:hint="eastAsia" w:ascii="宋体" w:hAnsi="宋体" w:cs="宋体"/>
          <w:b/>
          <w:bCs/>
          <w:color w:val="auto"/>
          <w:sz w:val="24"/>
        </w:rPr>
        <w:t>、评标</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（一）组建评标委员会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本项目评标委员会由政府采购评审专家和采购单位评审代表组成。</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（二）评标程序</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1、资格审查</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公开招标采购项目开标结束后，采购人应当依法对投标人的资格进行审查，对审查发现无效的进行必要的询标。</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2、符合性审查</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评标委员会应当对符合资格的投标人的投标文件进行符合性审查，以确定其是否满足招标文件的实质性要求，对审查发现无效的进行必要的询标。</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3、综合比较与评价</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（3）评标时，评标委员会各成员应当独立对每个投标人的投标文件进行评价，并汇总每个投标人的得分。</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4、得分确认及评审报告编写</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（2）评标委员会按评标原则及得分情况编写评审报告。</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5、评价</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采购代理机构对评标委员会评审专家进行评价。</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（三）澄清问题的形式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投标人的澄清、说明或者补正应当采用书面形式，并加盖公章或者由法定代理人或其授权的代表签字，并不得超出投标文件的范围或者改变投标文件的实质性内容。</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（四）错误修正</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投标文件报价出现前后不一致的，除招标文件另有规定外，按照下列规定修正：</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1、投标文件中开标一览表（报价表）内容与投标文件中相应内容不一致的，以开标一览表（报价表）为准；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2、大写金额和小写金额不一致的，以大写金额为准；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（五）投标人存在下列情况之一的，投标无效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1、资格证明文件或商务与技术文件跟报价文件出现混装，或者在资格证明文件或商务与技术文件中出现投标报价的，或者报价文件中报价的货物跟商务与技术文件中的投标货物出现重大偏差的；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2、不具备招标文件中规定的资格要求的；</w:t>
      </w:r>
      <w:r>
        <w:rPr>
          <w:rFonts w:hint="eastAsia" w:ascii="宋体" w:hAnsi="宋体" w:cs="宋体"/>
          <w:color w:val="auto"/>
          <w:sz w:val="24"/>
        </w:rPr>
        <w:tab/>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3、投标文件含有采购人不能接受的附加条件的；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5、投标报价超过招标文件中规定的最高限价；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6、投标参数未如实填写，完全复制粘贴招标参数的；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7、投标文件提供虚假材料的；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8、不符合中华人民共和国财政部令第87号《政府采购货物和服务招标投标管理办法》第三十七条情形之一的，视为投标人串通投标，其投标无效，并移送采购监管部门：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（1）不同投标人的投标文件由同一单位或者个人编制；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（2）不同投标人委托同一单位或者个人办理投标事宜；</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（3）不同投标人的投标文件载明的项目管理成员或者联系人员为同一人；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（4）不同投标人的投标文件异常一致或者投标报价呈规律性差异；</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（5）不同投标人的投标文件相互混装；</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（6）不同投标人的投标保证金从同一单位或者个人的账户转出。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9、不符合法律、法规以及招标文件中规定的无效标条款或其他实质性要求的（招标文件中打“▲”内容及被拒绝的条款）。</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（六）有下列情况之一的，本次招标作为废标处理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1、出现影响采购公正的违法、违规行为的；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2、评标委员会发现招标文件存在歧义、重大缺陷导致评标工作无法进行，或者招标文件内容违反国家有关强制性规定的；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3、因重大变故，采购任务取消的；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4、法律、法规和招标文件规定的其他导致评标结果无效的。</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（七）评标原则和评标办法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2、评标办法。具体评标内容及评分标准等详见《第三章：评标办法及评分标准》。</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（八）评标过程的监控</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1、本项目评标过程实行全程录音、录像监控，政府采购监管部门视情进行现场监督，投标人在评标过程中所进行的试图影响评标结果的不公正活动，可能导致其投标被拒绝。</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2、评审过程中出现录音录像采集设备不能正常运行的，应当立即封存评审资料、中止评审活动，直至设备（或替代设备）运转正常或转移至符合条件的场所后继续进行评审工作。</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、定标</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发布中标结果公告。采购代理机构应当自中标人确定之日起2个工作日内，在省级以上财政部门指定的媒体及相关网站上公告中标结果。中标结果公告将包括中标人名称、地址和中标金额，主要中标标的的名称、规格型号、数量、单价、服务要求以及评审专家名单等内容，但不包括国家秘密、商业秘密。</w:t>
      </w:r>
      <w:r>
        <w:rPr>
          <w:rFonts w:hint="eastAsia" w:ascii="宋体" w:hAnsi="宋体" w:cs="宋体"/>
          <w:color w:val="auto"/>
          <w:sz w:val="24"/>
          <w:u w:val="single"/>
        </w:rPr>
        <w:t>因中标结果公告需要，评审结果排名第一的中标候选人在评审结束后1个工作日内将《中标供应商公告内容》（见附件）填写完整后，以电子文档形式提交给采购代理机构项目负责人（或者发送至电子邮箱：XJCG2009@163.COM）。未按时提供所造成的后果由供应商自行承担。</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3、采购代理机构将在中标结果公告中附中标通知书，视同向中标供应商发出中标通知书，同时中标供应商应在中标结果公告发布后签订合同前，赴采购代理机构项目负责人处领取中标通知书。</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4、中标通知书发出之日起至合同签订前，中标供应商不得开展项目实质性工作（如订货、施工等）。否则，造成的有关损失由中标供应商自行承担。</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七</w:t>
      </w:r>
      <w:r>
        <w:rPr>
          <w:rFonts w:hint="eastAsia" w:ascii="宋体" w:hAnsi="宋体" w:cs="宋体"/>
          <w:b/>
          <w:bCs/>
          <w:color w:val="auto"/>
          <w:sz w:val="24"/>
        </w:rPr>
        <w:t>、合同签订及公告</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（一）签订合同</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2、采购人不得向中标人提出任何不合理的要求作为签订合同的条件。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3、中标供应商无故拖延、拒签合同的,采购代理机构和采购人有权取消其中标资格。</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5、询问或者质疑事项可能影响中标结果的，采购人应当暂停签订合同，已经签订合同的，应当中止履行合同（中标结果的质疑期为中标结果公告期限届满之日起七个工作日）。</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（二）合同公告及备案</w:t>
      </w:r>
    </w:p>
    <w:p>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1、采购人应当自政府采购合同签订之日起2个工作日内，在省级以上财政部门指定的政府采购信息发布媒体及相关网站上公告，但政府采购合同中涉及国家秘密、商业秘密的内容除外。</w:t>
      </w:r>
    </w:p>
    <w:p>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2、采购人应当自政府采购合同签订之日起7个工作日内，将政府采购合同副本报同级人民政府财政部门备案以及仙居县政府采购中心存档</w:t>
      </w:r>
      <w:bookmarkEnd w:id="242"/>
      <w:bookmarkEnd w:id="243"/>
      <w:r>
        <w:rPr>
          <w:rFonts w:hint="eastAsia" w:ascii="宋体" w:hAnsi="宋体" w:cs="宋体"/>
          <w:color w:val="auto"/>
          <w:sz w:val="24"/>
        </w:rPr>
        <w:t>。</w:t>
      </w:r>
    </w:p>
    <w:p>
      <w:pPr>
        <w:snapToGrid w:val="0"/>
        <w:spacing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 xml:space="preserve">第三章 </w:t>
      </w:r>
      <w:bookmarkEnd w:id="241"/>
      <w:bookmarkStart w:id="244" w:name="_Toc257923936"/>
      <w:r>
        <w:rPr>
          <w:rFonts w:hint="eastAsia" w:ascii="宋体" w:hAnsi="宋体" w:cs="宋体"/>
          <w:b/>
          <w:color w:val="auto"/>
          <w:szCs w:val="36"/>
        </w:rPr>
        <w:t>评标办法及评分标准</w:t>
      </w:r>
    </w:p>
    <w:bookmarkEnd w:id="240"/>
    <w:bookmarkEnd w:id="244"/>
    <w:p>
      <w:pPr>
        <w:autoSpaceDE w:val="0"/>
        <w:autoSpaceDN w:val="0"/>
        <w:adjustRightInd w:val="0"/>
        <w:spacing w:line="360" w:lineRule="auto"/>
        <w:ind w:right="85" w:firstLine="480" w:firstLineChars="200"/>
        <w:rPr>
          <w:rFonts w:hint="eastAsia" w:ascii="宋体" w:hAnsi="宋体" w:cs="宋体"/>
          <w:color w:val="auto"/>
          <w:kern w:val="0"/>
          <w:sz w:val="24"/>
          <w:lang w:val="zh-CN"/>
        </w:rPr>
      </w:pPr>
      <w:bookmarkStart w:id="245" w:name="_Toc306901457"/>
      <w:bookmarkStart w:id="246" w:name="_Toc173810699"/>
      <w:r>
        <w:rPr>
          <w:rFonts w:hint="eastAsia" w:ascii="宋体" w:hAnsi="宋体" w:cs="宋体"/>
          <w:color w:val="auto"/>
          <w:kern w:val="0"/>
          <w:sz w:val="24"/>
          <w:lang w:val="zh-CN"/>
        </w:rPr>
        <w:t>根据《中华人民共和国政府采购法》等有关法律法规，结合本项目的实际需求，制定本办法。</w:t>
      </w:r>
    </w:p>
    <w:p>
      <w:pPr>
        <w:numPr>
          <w:ilvl w:val="0"/>
          <w:numId w:val="6"/>
        </w:numPr>
        <w:autoSpaceDE w:val="0"/>
        <w:autoSpaceDN w:val="0"/>
        <w:adjustRightInd w:val="0"/>
        <w:spacing w:line="360" w:lineRule="auto"/>
        <w:ind w:right="85"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总则</w:t>
      </w:r>
    </w:p>
    <w:p>
      <w:pPr>
        <w:numPr>
          <w:ilvl w:val="0"/>
          <w:numId w:val="7"/>
        </w:numPr>
        <w:autoSpaceDE w:val="0"/>
        <w:autoSpaceDN w:val="0"/>
        <w:adjustRightInd w:val="0"/>
        <w:spacing w:line="360" w:lineRule="auto"/>
        <w:ind w:right="85" w:firstLine="480" w:firstLineChars="200"/>
        <w:rPr>
          <w:rFonts w:hint="eastAsia" w:ascii="宋体" w:hAnsi="宋体" w:cs="宋体"/>
          <w:color w:val="auto"/>
          <w:kern w:val="0"/>
          <w:sz w:val="24"/>
          <w:lang w:val="zh-CN"/>
        </w:rPr>
      </w:pPr>
      <w:r>
        <w:rPr>
          <w:rFonts w:hint="eastAsia" w:ascii="宋体" w:hAnsi="宋体" w:cs="宋体"/>
          <w:color w:val="auto"/>
          <w:kern w:val="0"/>
          <w:sz w:val="24"/>
        </w:rPr>
        <w:t>本次招标项目评标采用综合评分法，总分为100分。</w:t>
      </w:r>
      <w:r>
        <w:rPr>
          <w:rFonts w:hint="eastAsia" w:ascii="宋体" w:hAnsi="宋体" w:cs="宋体"/>
          <w:bCs/>
          <w:color w:val="auto"/>
          <w:sz w:val="24"/>
          <w:lang w:val="zh-CN"/>
        </w:rPr>
        <w:t>各合格投标人的评标综合得分为其商务与技术文件得分与报价文件得分之和，</w:t>
      </w:r>
      <w:r>
        <w:rPr>
          <w:rFonts w:hint="eastAsia" w:ascii="宋体" w:hAnsi="宋体" w:cs="宋体"/>
          <w:color w:val="auto"/>
          <w:kern w:val="0"/>
          <w:sz w:val="24"/>
          <w:lang w:val="zh-CN"/>
        </w:rPr>
        <w:t>中标候选资格按评标综合得分由高到低顺序排列，得分相同的，按投标报价由低到高顺序排列；得分且投标报价相同的，按技术得分由高到低顺序排列。如合格投标人数量超过三家，原则上只推荐三家中标候选供商。</w:t>
      </w:r>
      <w:r>
        <w:rPr>
          <w:rFonts w:hint="eastAsia" w:ascii="宋体" w:hAnsi="宋体" w:cs="宋体"/>
          <w:b/>
          <w:bCs/>
          <w:color w:val="auto"/>
          <w:kern w:val="0"/>
          <w:sz w:val="24"/>
          <w:lang w:val="zh-CN"/>
        </w:rPr>
        <w:t>（</w:t>
      </w:r>
      <w:r>
        <w:rPr>
          <w:rFonts w:hint="eastAsia" w:ascii="宋体" w:hAnsi="宋体" w:cs="宋体"/>
          <w:b/>
          <w:bCs/>
          <w:color w:val="auto"/>
          <w:kern w:val="0"/>
          <w:sz w:val="24"/>
          <w:u w:val="single"/>
          <w:lang w:val="zh-CN"/>
        </w:rPr>
        <w:t>因采购人</w:t>
      </w:r>
      <w:r>
        <w:rPr>
          <w:rFonts w:hint="eastAsia" w:ascii="宋体" w:hAnsi="宋体" w:cs="宋体"/>
          <w:b/>
          <w:bCs/>
          <w:color w:val="auto"/>
          <w:kern w:val="0"/>
          <w:sz w:val="24"/>
          <w:u w:val="single"/>
        </w:rPr>
        <w:t>考虑到本项目工作量大，工期紧，为确保本项目顺利完工，</w:t>
      </w:r>
      <w:r>
        <w:rPr>
          <w:rFonts w:hint="eastAsia" w:ascii="宋体" w:hAnsi="宋体" w:cs="宋体"/>
          <w:b/>
          <w:bCs/>
          <w:color w:val="auto"/>
          <w:kern w:val="0"/>
          <w:sz w:val="24"/>
          <w:u w:val="single"/>
          <w:lang w:val="en-US" w:eastAsia="zh-CN"/>
        </w:rPr>
        <w:t>所以本项目</w:t>
      </w:r>
      <w:r>
        <w:rPr>
          <w:rFonts w:hint="eastAsia" w:ascii="宋体" w:hAnsi="宋体" w:cs="宋体"/>
          <w:b/>
          <w:bCs/>
          <w:color w:val="auto"/>
          <w:kern w:val="0"/>
          <w:sz w:val="24"/>
          <w:u w:val="single"/>
        </w:rPr>
        <w:t>同一供应商</w:t>
      </w:r>
      <w:r>
        <w:rPr>
          <w:rFonts w:hint="eastAsia" w:ascii="宋体" w:hAnsi="宋体" w:cs="宋体"/>
          <w:b/>
          <w:bCs/>
          <w:color w:val="auto"/>
          <w:kern w:val="0"/>
          <w:sz w:val="24"/>
          <w:u w:val="single"/>
          <w:lang w:val="en-US" w:eastAsia="zh-CN"/>
        </w:rPr>
        <w:t>最多</w:t>
      </w:r>
      <w:r>
        <w:rPr>
          <w:rFonts w:hint="eastAsia" w:ascii="宋体" w:hAnsi="宋体" w:cs="宋体"/>
          <w:b/>
          <w:bCs/>
          <w:color w:val="auto"/>
          <w:kern w:val="0"/>
          <w:sz w:val="24"/>
          <w:u w:val="single"/>
        </w:rPr>
        <w:t>同时中标两个标项，即被推荐为标项一</w:t>
      </w:r>
      <w:r>
        <w:rPr>
          <w:rFonts w:hint="eastAsia" w:ascii="宋体" w:hAnsi="宋体" w:cs="宋体"/>
          <w:b/>
          <w:bCs/>
          <w:color w:val="auto"/>
          <w:kern w:val="0"/>
          <w:sz w:val="24"/>
          <w:u w:val="single"/>
          <w:lang w:eastAsia="zh-CN"/>
        </w:rPr>
        <w:t>、</w:t>
      </w:r>
      <w:r>
        <w:rPr>
          <w:rFonts w:hint="eastAsia" w:ascii="宋体" w:hAnsi="宋体" w:cs="宋体"/>
          <w:b/>
          <w:bCs/>
          <w:color w:val="auto"/>
          <w:kern w:val="0"/>
          <w:sz w:val="24"/>
          <w:u w:val="single"/>
          <w:lang w:val="en-US" w:eastAsia="zh-CN"/>
        </w:rPr>
        <w:t>二</w:t>
      </w:r>
      <w:r>
        <w:rPr>
          <w:rFonts w:hint="eastAsia" w:ascii="宋体" w:hAnsi="宋体" w:cs="宋体"/>
          <w:b/>
          <w:bCs/>
          <w:color w:val="auto"/>
          <w:kern w:val="0"/>
          <w:sz w:val="24"/>
          <w:u w:val="single"/>
        </w:rPr>
        <w:t>的第一中标候选人同时投标标项</w:t>
      </w:r>
      <w:r>
        <w:rPr>
          <w:rFonts w:hint="eastAsia" w:ascii="宋体" w:hAnsi="宋体" w:cs="宋体"/>
          <w:b/>
          <w:bCs/>
          <w:color w:val="auto"/>
          <w:kern w:val="0"/>
          <w:sz w:val="24"/>
          <w:u w:val="single"/>
          <w:lang w:val="en-US" w:eastAsia="zh-CN"/>
        </w:rPr>
        <w:t>三</w:t>
      </w:r>
      <w:r>
        <w:rPr>
          <w:rFonts w:hint="eastAsia" w:ascii="宋体" w:hAnsi="宋体" w:cs="宋体"/>
          <w:b/>
          <w:bCs/>
          <w:color w:val="auto"/>
          <w:kern w:val="0"/>
          <w:sz w:val="24"/>
          <w:u w:val="single"/>
        </w:rPr>
        <w:t>的，其标项</w:t>
      </w:r>
      <w:r>
        <w:rPr>
          <w:rFonts w:hint="eastAsia" w:ascii="宋体" w:hAnsi="宋体" w:cs="宋体"/>
          <w:b/>
          <w:bCs/>
          <w:color w:val="auto"/>
          <w:kern w:val="0"/>
          <w:sz w:val="24"/>
          <w:u w:val="single"/>
          <w:lang w:val="en-US" w:eastAsia="zh-CN"/>
        </w:rPr>
        <w:t>三</w:t>
      </w:r>
      <w:r>
        <w:rPr>
          <w:rFonts w:hint="eastAsia" w:ascii="宋体" w:hAnsi="宋体" w:cs="宋体"/>
          <w:b/>
          <w:bCs/>
          <w:color w:val="auto"/>
          <w:kern w:val="0"/>
          <w:sz w:val="24"/>
          <w:u w:val="single"/>
        </w:rPr>
        <w:t>投标文件作无效标处理。</w:t>
      </w:r>
      <w:r>
        <w:rPr>
          <w:rFonts w:hint="eastAsia" w:ascii="宋体" w:hAnsi="宋体" w:cs="宋体"/>
          <w:b/>
          <w:bCs/>
          <w:color w:val="auto"/>
          <w:kern w:val="0"/>
          <w:sz w:val="24"/>
          <w:lang w:val="zh-CN"/>
        </w:rPr>
        <w:t>）</w:t>
      </w:r>
    </w:p>
    <w:p>
      <w:pPr>
        <w:autoSpaceDE w:val="0"/>
        <w:autoSpaceDN w:val="0"/>
        <w:adjustRightInd w:val="0"/>
        <w:spacing w:line="360" w:lineRule="auto"/>
        <w:ind w:right="85" w:firstLine="480" w:firstLineChars="200"/>
        <w:rPr>
          <w:rFonts w:hint="eastAsia" w:ascii="宋体" w:hAnsi="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val="zh-CN"/>
        </w:rPr>
        <w:t>评分过程中采用四舍五入法，并保留小数2位（以政采云系统计算为准）。</w:t>
      </w:r>
    </w:p>
    <w:p>
      <w:pPr>
        <w:autoSpaceDE w:val="0"/>
        <w:autoSpaceDN w:val="0"/>
        <w:adjustRightInd w:val="0"/>
        <w:spacing w:line="360" w:lineRule="auto"/>
        <w:ind w:right="85" w:firstLine="480" w:firstLineChars="200"/>
        <w:rPr>
          <w:rFonts w:hint="eastAsia" w:ascii="宋体" w:hAnsi="宋体" w:cs="宋体"/>
          <w:color w:val="auto"/>
          <w:sz w:val="24"/>
          <w:lang w:val="zh-CN"/>
        </w:rPr>
      </w:pPr>
      <w:r>
        <w:rPr>
          <w:rFonts w:hint="eastAsia" w:ascii="宋体" w:hAnsi="宋体" w:cs="宋体"/>
          <w:color w:val="auto"/>
          <w:sz w:val="24"/>
          <w:lang w:val="zh-CN"/>
        </w:rPr>
        <w:t>二、分值的计算</w:t>
      </w:r>
    </w:p>
    <w:p>
      <w:pPr>
        <w:autoSpaceDE w:val="0"/>
        <w:autoSpaceDN w:val="0"/>
        <w:adjustRightInd w:val="0"/>
        <w:spacing w:line="360" w:lineRule="auto"/>
        <w:ind w:right="84" w:firstLine="480" w:firstLineChars="200"/>
        <w:rPr>
          <w:rFonts w:hint="eastAsia" w:ascii="宋体" w:hAnsi="宋体" w:cs="宋体"/>
          <w:color w:val="auto"/>
          <w:kern w:val="0"/>
          <w:sz w:val="24"/>
        </w:rPr>
      </w:pPr>
      <w:r>
        <w:rPr>
          <w:rFonts w:hint="eastAsia" w:ascii="宋体" w:hAnsi="宋体" w:cs="宋体"/>
          <w:bCs/>
          <w:color w:val="auto"/>
          <w:sz w:val="24"/>
          <w:lang w:val="zh-CN"/>
        </w:rPr>
        <w:t>评标综合得分=商务与技术文件得分（商务资信分+技术分）+报价文件得分（价格分）。</w:t>
      </w:r>
    </w:p>
    <w:p>
      <w:pPr>
        <w:autoSpaceDE w:val="0"/>
        <w:autoSpaceDN w:val="0"/>
        <w:adjustRightInd w:val="0"/>
        <w:spacing w:line="360" w:lineRule="auto"/>
        <w:ind w:right="84" w:firstLine="480" w:firstLineChars="200"/>
        <w:rPr>
          <w:rFonts w:hint="eastAsia"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zh-CN"/>
        </w:rPr>
        <w:t>商务与技术文件中的客观分由评标委员会讨论后统一打分；其余在规定的分值内单独评定打分。</w:t>
      </w:r>
    </w:p>
    <w:p>
      <w:pPr>
        <w:autoSpaceDE w:val="0"/>
        <w:autoSpaceDN w:val="0"/>
        <w:adjustRightInd w:val="0"/>
        <w:spacing w:line="360" w:lineRule="auto"/>
        <w:ind w:right="84" w:firstLine="480" w:firstLineChars="200"/>
        <w:rPr>
          <w:rFonts w:hint="eastAsia" w:ascii="宋体" w:hAnsi="宋体" w:cs="宋体"/>
          <w:bCs/>
          <w:color w:val="auto"/>
          <w:sz w:val="24"/>
          <w:shd w:val="clear" w:color="FFFFFF" w:fill="D9D9D9"/>
          <w:lang w:val="zh-CN"/>
        </w:rPr>
      </w:pPr>
      <w:r>
        <w:rPr>
          <w:rFonts w:hint="eastAsia" w:ascii="宋体" w:hAnsi="宋体" w:cs="宋体"/>
          <w:bCs/>
          <w:color w:val="auto"/>
          <w:sz w:val="24"/>
        </w:rPr>
        <w:t>2、</w:t>
      </w:r>
      <w:r>
        <w:rPr>
          <w:rFonts w:hint="eastAsia" w:ascii="宋体" w:hAnsi="宋体" w:cs="宋体"/>
          <w:bCs/>
          <w:color w:val="auto"/>
          <w:sz w:val="24"/>
          <w:lang w:val="zh-CN"/>
        </w:rPr>
        <w:t>各投标人商务与技术文件</w:t>
      </w:r>
      <w:r>
        <w:rPr>
          <w:rFonts w:hint="eastAsia" w:ascii="宋体" w:hAnsi="宋体" w:cs="宋体"/>
          <w:color w:val="auto"/>
          <w:kern w:val="0"/>
          <w:sz w:val="24"/>
          <w:lang w:val="zh-CN"/>
        </w:rPr>
        <w:t>得分按照评标委员会成</w:t>
      </w:r>
      <w:r>
        <w:rPr>
          <w:rFonts w:hint="eastAsia" w:ascii="宋体" w:hAnsi="宋体" w:cs="宋体"/>
          <w:bCs/>
          <w:color w:val="auto"/>
          <w:sz w:val="24"/>
          <w:lang w:val="zh-CN"/>
        </w:rPr>
        <w:t>员的独立评分结果汇总后的算术平均分计算，计算公式为：</w:t>
      </w:r>
    </w:p>
    <w:p>
      <w:pPr>
        <w:autoSpaceDE w:val="0"/>
        <w:autoSpaceDN w:val="0"/>
        <w:adjustRightInd w:val="0"/>
        <w:spacing w:line="360" w:lineRule="auto"/>
        <w:ind w:left="475" w:leftChars="132" w:right="84"/>
        <w:rPr>
          <w:rFonts w:hint="eastAsia" w:ascii="宋体" w:hAnsi="宋体" w:cs="宋体"/>
          <w:color w:val="auto"/>
          <w:kern w:val="0"/>
          <w:sz w:val="24"/>
        </w:rPr>
      </w:pPr>
      <w:r>
        <w:rPr>
          <w:rFonts w:hint="eastAsia" w:ascii="宋体" w:hAnsi="宋体" w:cs="宋体"/>
          <w:color w:val="auto"/>
          <w:sz w:val="24"/>
        </w:rPr>
        <w:t>商务与技术文件得分</w:t>
      </w:r>
      <w:r>
        <w:rPr>
          <w:rFonts w:hint="eastAsia" w:ascii="宋体" w:hAnsi="宋体" w:cs="宋体"/>
          <w:bCs/>
          <w:color w:val="auto"/>
          <w:sz w:val="24"/>
          <w:lang w:val="zh-CN"/>
        </w:rPr>
        <w:t>=评标委员会所有成员评分合计数/评标委员会组成人员数。</w:t>
      </w:r>
      <w:bookmarkEnd w:id="245"/>
      <w:r>
        <w:rPr>
          <w:rFonts w:hint="eastAsia" w:ascii="宋体" w:hAnsi="宋体" w:cs="宋体"/>
          <w:bCs/>
          <w:color w:val="auto"/>
          <w:sz w:val="24"/>
        </w:rPr>
        <w:t>3、</w:t>
      </w:r>
      <w:r>
        <w:rPr>
          <w:rFonts w:hint="eastAsia" w:ascii="宋体" w:hAnsi="宋体" w:cs="宋体"/>
          <w:color w:val="auto"/>
          <w:kern w:val="0"/>
          <w:sz w:val="24"/>
        </w:rPr>
        <w:t>评分内容及标准</w:t>
      </w:r>
    </w:p>
    <w:p>
      <w:pPr>
        <w:autoSpaceDE w:val="0"/>
        <w:autoSpaceDN w:val="0"/>
        <w:adjustRightInd w:val="0"/>
        <w:spacing w:line="360" w:lineRule="auto"/>
        <w:ind w:left="475" w:leftChars="132" w:right="84"/>
        <w:rPr>
          <w:rFonts w:hint="eastAsia" w:ascii="宋体" w:hAnsi="宋体" w:cs="宋体"/>
          <w:color w:val="auto"/>
          <w:kern w:val="0"/>
          <w:sz w:val="24"/>
        </w:rPr>
      </w:pPr>
      <w:r>
        <w:rPr>
          <w:rFonts w:hint="eastAsia" w:ascii="宋体" w:hAnsi="宋体" w:cs="宋体"/>
          <w:color w:val="auto"/>
          <w:kern w:val="0"/>
          <w:sz w:val="24"/>
        </w:rPr>
        <w:t>标项一、二</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三</w:t>
      </w:r>
      <w:r>
        <w:rPr>
          <w:rFonts w:hint="eastAsia" w:ascii="宋体" w:hAnsi="宋体" w:cs="宋体"/>
          <w:color w:val="auto"/>
          <w:kern w:val="0"/>
          <w:sz w:val="24"/>
        </w:rPr>
        <w:t>：</w:t>
      </w:r>
    </w:p>
    <w:bookmarkEnd w:id="246"/>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2575"/>
        <w:gridCol w:w="5714"/>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1"/>
                <w:szCs w:val="21"/>
              </w:rPr>
            </w:pPr>
            <w:bookmarkStart w:id="247" w:name="_Toc306901461"/>
            <w:r>
              <w:rPr>
                <w:rFonts w:hint="eastAsia" w:ascii="宋体" w:hAnsi="宋体" w:cs="宋体"/>
                <w:b/>
                <w:bCs/>
                <w:color w:val="auto"/>
                <w:sz w:val="21"/>
                <w:szCs w:val="21"/>
              </w:rPr>
              <w:t>序号</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
                <w:bCs/>
                <w:color w:val="auto"/>
                <w:sz w:val="21"/>
                <w:szCs w:val="21"/>
              </w:rPr>
            </w:pPr>
            <w:r>
              <w:rPr>
                <w:rFonts w:hint="eastAsia" w:ascii="宋体" w:hAnsi="宋体" w:cs="宋体"/>
                <w:b/>
                <w:bCs/>
                <w:color w:val="auto"/>
                <w:sz w:val="21"/>
                <w:szCs w:val="21"/>
              </w:rPr>
              <w:t>评分内容</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
                <w:bCs/>
                <w:color w:val="auto"/>
                <w:sz w:val="21"/>
                <w:szCs w:val="21"/>
              </w:rPr>
            </w:pPr>
            <w:r>
              <w:rPr>
                <w:rFonts w:hint="eastAsia" w:ascii="宋体" w:hAnsi="宋体" w:cs="宋体"/>
                <w:b/>
                <w:bCs/>
                <w:color w:val="auto"/>
                <w:sz w:val="21"/>
                <w:szCs w:val="21"/>
              </w:rPr>
              <w:t>评分标准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
                <w:bCs/>
                <w:color w:val="auto"/>
                <w:sz w:val="21"/>
                <w:szCs w:val="21"/>
              </w:rPr>
            </w:pPr>
            <w:r>
              <w:rPr>
                <w:rFonts w:hint="eastAsia" w:ascii="宋体" w:hAnsi="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93"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pStyle w:val="32"/>
              <w:ind w:left="720"/>
              <w:jc w:val="center"/>
              <w:rPr>
                <w:rFonts w:hint="eastAsia" w:ascii="宋体" w:hAnsi="宋体" w:cs="宋体"/>
                <w:b/>
                <w:color w:val="auto"/>
                <w:sz w:val="21"/>
                <w:szCs w:val="21"/>
              </w:rPr>
            </w:pPr>
            <w:r>
              <w:rPr>
                <w:rFonts w:hint="eastAsia" w:ascii="宋体" w:hAnsi="宋体" w:cs="宋体"/>
                <w:b/>
                <w:color w:val="auto"/>
                <w:sz w:val="21"/>
                <w:szCs w:val="21"/>
              </w:rPr>
              <w:t>一、</w:t>
            </w:r>
            <w:r>
              <w:rPr>
                <w:rFonts w:hint="eastAsia" w:ascii="宋体" w:hAnsi="宋体" w:cs="宋体"/>
                <w:b/>
                <w:bCs/>
                <w:color w:val="auto"/>
                <w:sz w:val="21"/>
                <w:szCs w:val="21"/>
              </w:rPr>
              <w:t>商务资信分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
                <w:color w:val="auto"/>
                <w:sz w:val="21"/>
                <w:szCs w:val="21"/>
              </w:rPr>
            </w:pPr>
            <w:r>
              <w:rPr>
                <w:rFonts w:hint="eastAsia" w:ascii="宋体" w:hAnsi="宋体" w:cs="宋体"/>
                <w:b/>
                <w:color w:val="auto"/>
                <w:sz w:val="21"/>
                <w:szCs w:val="21"/>
                <w:lang w:val="en-US" w:eastAsia="zh-CN"/>
              </w:rPr>
              <w:t>4</w:t>
            </w:r>
            <w:r>
              <w:rPr>
                <w:rFonts w:hint="eastAsia" w:ascii="宋体" w:hAnsi="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27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r>
              <w:rPr>
                <w:rFonts w:hint="eastAsia" w:ascii="宋体" w:hAnsi="宋体" w:cs="宋体"/>
                <w:bCs/>
                <w:color w:val="auto"/>
                <w:sz w:val="21"/>
                <w:szCs w:val="21"/>
              </w:rPr>
              <w:t>1</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r>
              <w:rPr>
                <w:rFonts w:hint="eastAsia" w:ascii="宋体" w:hAnsi="宋体" w:cs="宋体"/>
                <w:bCs/>
                <w:color w:val="auto"/>
                <w:sz w:val="21"/>
                <w:szCs w:val="21"/>
              </w:rPr>
              <w:t>标书质量</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hAnsi="宋体" w:cs="宋体"/>
                <w:bCs/>
                <w:color w:val="auto"/>
                <w:sz w:val="21"/>
                <w:szCs w:val="21"/>
              </w:rPr>
            </w:pPr>
            <w:r>
              <w:rPr>
                <w:rFonts w:hint="eastAsia" w:ascii="宋体"/>
                <w:bCs/>
                <w:color w:val="auto"/>
                <w:sz w:val="21"/>
                <w:szCs w:val="21"/>
              </w:rPr>
              <w:t>投标文件内容按招标文件要求完整提供、目录对应清晰、编制内容详实、内容查找方便的，得2分。存在未按要求完整提供、目录对应不清晰、编制的内容不够详实、内容查找不方便的，每一项扣0.5分，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r>
              <w:rPr>
                <w:rFonts w:hint="eastAsia" w:ascii="宋体" w:hAnsi="宋体" w:cs="宋体"/>
                <w:bCs/>
                <w:color w:val="auto"/>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27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服务期</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bCs/>
                <w:color w:val="auto"/>
                <w:sz w:val="21"/>
                <w:szCs w:val="21"/>
                <w:lang w:val="en-US" w:eastAsia="zh-CN"/>
              </w:rPr>
            </w:pPr>
            <w:r>
              <w:rPr>
                <w:rFonts w:hint="eastAsia" w:ascii="宋体"/>
                <w:bCs/>
                <w:color w:val="auto"/>
                <w:sz w:val="21"/>
                <w:szCs w:val="21"/>
                <w:lang w:val="en-US" w:eastAsia="zh-CN"/>
              </w:rPr>
              <w:t>在项目合同期基础上再延长二年（24个月）的，得2分。</w:t>
            </w:r>
          </w:p>
          <w:p>
            <w:pPr>
              <w:pStyle w:val="32"/>
              <w:ind w:left="0" w:leftChars="0"/>
              <w:rPr>
                <w:rFonts w:hint="eastAsia" w:ascii="宋体" w:eastAsia="宋体"/>
                <w:bCs/>
                <w:color w:val="auto"/>
                <w:sz w:val="21"/>
                <w:szCs w:val="21"/>
                <w:lang w:val="en-US" w:eastAsia="zh-CN"/>
              </w:rPr>
            </w:pPr>
            <w:r>
              <w:rPr>
                <w:rFonts w:hint="eastAsia" w:ascii="宋体"/>
                <w:bCs/>
                <w:color w:val="auto"/>
                <w:sz w:val="21"/>
                <w:szCs w:val="21"/>
                <w:lang w:val="en-US" w:eastAsia="zh-CN"/>
              </w:rPr>
              <w:t>注：延长时间不足二年或者超出二年的不得分。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0"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pStyle w:val="32"/>
              <w:ind w:left="720" w:firstLine="482"/>
              <w:jc w:val="center"/>
              <w:rPr>
                <w:rFonts w:hint="eastAsia" w:ascii="宋体" w:hAnsi="宋体" w:cs="宋体"/>
                <w:b/>
                <w:bCs/>
                <w:color w:val="auto"/>
                <w:sz w:val="21"/>
                <w:szCs w:val="21"/>
              </w:rPr>
            </w:pPr>
            <w:r>
              <w:rPr>
                <w:rFonts w:hint="eastAsia" w:ascii="宋体" w:hAnsi="宋体" w:cs="宋体"/>
                <w:b/>
                <w:bCs/>
                <w:color w:val="auto"/>
                <w:sz w:val="21"/>
                <w:szCs w:val="21"/>
              </w:rPr>
              <w:t>二、技术分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6</w:t>
            </w:r>
            <w:r>
              <w:rPr>
                <w:rFonts w:hint="eastAsia" w:ascii="宋体" w:hAnsi="宋体" w:cs="宋体"/>
                <w:b/>
                <w:bCs/>
                <w:color w:val="auto"/>
                <w:sz w:val="21"/>
                <w:szCs w:val="21"/>
                <w:lang w:val="en-US" w:eastAsia="zh-CN"/>
              </w:rPr>
              <w:t>6</w:t>
            </w:r>
            <w:r>
              <w:rPr>
                <w:rFonts w:hint="eastAsia" w:ascii="宋体" w:hAnsi="宋体" w:cs="宋体"/>
                <w:b/>
                <w:bCs/>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47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r>
              <w:rPr>
                <w:rFonts w:hint="eastAsia" w:ascii="宋体" w:hAnsi="宋体" w:cs="宋体"/>
                <w:bCs/>
                <w:color w:val="auto"/>
                <w:sz w:val="21"/>
                <w:szCs w:val="21"/>
                <w:lang w:val="en-US" w:eastAsia="zh-CN"/>
              </w:rPr>
              <w:t>对项目采购需求的理解</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both"/>
              <w:rPr>
                <w:rFonts w:hint="eastAsia" w:ascii="宋体" w:eastAsia="宋体"/>
                <w:bCs/>
                <w:color w:val="auto"/>
                <w:sz w:val="21"/>
                <w:szCs w:val="21"/>
                <w:lang w:val="en-US" w:eastAsia="zh-CN"/>
              </w:rPr>
            </w:pPr>
            <w:r>
              <w:rPr>
                <w:rFonts w:hint="eastAsia" w:ascii="宋体"/>
                <w:bCs/>
                <w:color w:val="auto"/>
                <w:sz w:val="21"/>
                <w:szCs w:val="21"/>
                <w:lang w:val="en-US" w:eastAsia="zh-CN"/>
              </w:rPr>
              <w:t>对项目采购需求的理解</w:t>
            </w:r>
            <w:r>
              <w:rPr>
                <w:rFonts w:hint="eastAsia" w:ascii="宋体"/>
                <w:bCs/>
                <w:color w:val="auto"/>
                <w:sz w:val="21"/>
                <w:szCs w:val="21"/>
              </w:rPr>
              <w:t>内容</w:t>
            </w:r>
            <w:r>
              <w:rPr>
                <w:rFonts w:hint="eastAsia" w:ascii="宋体"/>
                <w:bCs/>
                <w:color w:val="auto"/>
                <w:sz w:val="21"/>
                <w:szCs w:val="21"/>
                <w:lang w:val="en-US" w:eastAsia="zh-CN"/>
              </w:rPr>
              <w:t>全面</w:t>
            </w:r>
            <w:r>
              <w:rPr>
                <w:rFonts w:hint="eastAsia" w:ascii="宋体"/>
                <w:bCs/>
                <w:color w:val="auto"/>
                <w:sz w:val="21"/>
                <w:szCs w:val="21"/>
              </w:rPr>
              <w:t>完整、科学合理</w:t>
            </w:r>
            <w:r>
              <w:rPr>
                <w:rFonts w:hint="eastAsia" w:ascii="宋体"/>
                <w:bCs/>
                <w:color w:val="auto"/>
                <w:sz w:val="21"/>
                <w:szCs w:val="21"/>
                <w:lang w:val="en-US" w:eastAsia="zh-CN"/>
              </w:rPr>
              <w:t>的得5分，</w:t>
            </w:r>
            <w:r>
              <w:rPr>
                <w:rFonts w:hint="eastAsia" w:ascii="宋体"/>
                <w:bCs/>
                <w:color w:val="auto"/>
                <w:sz w:val="21"/>
                <w:szCs w:val="21"/>
              </w:rPr>
              <w:t>内容</w:t>
            </w:r>
            <w:r>
              <w:rPr>
                <w:rFonts w:hint="eastAsia" w:ascii="宋体"/>
                <w:bCs/>
                <w:color w:val="auto"/>
                <w:sz w:val="21"/>
                <w:szCs w:val="21"/>
                <w:lang w:val="en-US" w:eastAsia="zh-CN"/>
              </w:rPr>
              <w:t>欠全面</w:t>
            </w:r>
            <w:r>
              <w:rPr>
                <w:rFonts w:hint="eastAsia" w:ascii="宋体"/>
                <w:bCs/>
                <w:color w:val="auto"/>
                <w:sz w:val="21"/>
                <w:szCs w:val="21"/>
              </w:rPr>
              <w:t>完整</w:t>
            </w:r>
            <w:r>
              <w:rPr>
                <w:rFonts w:hint="eastAsia" w:ascii="宋体"/>
                <w:bCs/>
                <w:color w:val="auto"/>
                <w:sz w:val="21"/>
                <w:szCs w:val="21"/>
                <w:lang w:eastAsia="zh-CN"/>
              </w:rPr>
              <w:t>、</w:t>
            </w:r>
            <w:r>
              <w:rPr>
                <w:rFonts w:hint="eastAsia" w:ascii="宋体"/>
                <w:bCs/>
                <w:color w:val="auto"/>
                <w:sz w:val="21"/>
                <w:szCs w:val="21"/>
                <w:lang w:val="en-US" w:eastAsia="zh-CN"/>
              </w:rPr>
              <w:t>欠科学合理的每项扣0.5分，内容不全面完整、不科学合理的每项扣1分，没有提供不得分。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327" w:hRule="atLeast"/>
          <w:jc w:val="center"/>
        </w:trPr>
        <w:tc>
          <w:tcPr>
            <w:tcW w:w="713" w:type="dxa"/>
            <w:vMerge w:val="restart"/>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2575" w:type="dxa"/>
            <w:vMerge w:val="restart"/>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r>
              <w:rPr>
                <w:rFonts w:hint="eastAsia" w:ascii="宋体" w:hAnsi="宋体" w:cs="宋体"/>
                <w:bCs/>
                <w:color w:val="auto"/>
                <w:sz w:val="21"/>
                <w:szCs w:val="21"/>
              </w:rPr>
              <w:t>项目</w:t>
            </w:r>
            <w:r>
              <w:rPr>
                <w:rFonts w:hint="eastAsia" w:ascii="宋体" w:hAnsi="宋体" w:cs="宋体"/>
                <w:bCs/>
                <w:color w:val="auto"/>
                <w:sz w:val="21"/>
                <w:szCs w:val="21"/>
                <w:lang w:val="en-US" w:eastAsia="zh-CN"/>
              </w:rPr>
              <w:t>服务</w:t>
            </w:r>
            <w:r>
              <w:rPr>
                <w:rFonts w:hint="eastAsia" w:ascii="宋体" w:hAnsi="宋体" w:cs="宋体"/>
                <w:bCs/>
                <w:color w:val="auto"/>
                <w:sz w:val="21"/>
                <w:szCs w:val="21"/>
              </w:rPr>
              <w:t>方案</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both"/>
              <w:rPr>
                <w:rFonts w:hint="eastAsia" w:ascii="宋体" w:eastAsia="宋体"/>
                <w:bCs/>
                <w:color w:val="auto"/>
                <w:sz w:val="21"/>
                <w:szCs w:val="21"/>
                <w:lang w:val="en-US" w:eastAsia="zh-CN"/>
              </w:rPr>
            </w:pPr>
            <w:r>
              <w:rPr>
                <w:rFonts w:hint="eastAsia" w:ascii="宋体"/>
                <w:bCs/>
                <w:color w:val="auto"/>
                <w:sz w:val="21"/>
                <w:szCs w:val="21"/>
                <w:lang w:val="en-US" w:eastAsia="zh-CN"/>
              </w:rPr>
              <w:t>前后端建设方案内容全面完整、</w:t>
            </w:r>
            <w:r>
              <w:rPr>
                <w:rFonts w:hint="eastAsia" w:ascii="宋体"/>
                <w:bCs/>
                <w:color w:val="auto"/>
                <w:sz w:val="21"/>
                <w:szCs w:val="21"/>
              </w:rPr>
              <w:t>科学合理</w:t>
            </w:r>
            <w:r>
              <w:rPr>
                <w:rFonts w:hint="eastAsia" w:ascii="宋体"/>
                <w:bCs/>
                <w:color w:val="auto"/>
                <w:sz w:val="21"/>
                <w:szCs w:val="21"/>
                <w:lang w:eastAsia="zh-CN"/>
              </w:rPr>
              <w:t>、</w:t>
            </w:r>
            <w:r>
              <w:rPr>
                <w:rFonts w:hint="eastAsia" w:ascii="宋体"/>
                <w:bCs/>
                <w:color w:val="auto"/>
                <w:sz w:val="21"/>
                <w:szCs w:val="21"/>
                <w:lang w:val="en-US" w:eastAsia="zh-CN"/>
              </w:rPr>
              <w:t>切实可行的得14分，方案</w:t>
            </w:r>
            <w:r>
              <w:rPr>
                <w:rFonts w:hint="eastAsia" w:ascii="宋体"/>
                <w:bCs/>
                <w:color w:val="auto"/>
                <w:sz w:val="21"/>
                <w:szCs w:val="21"/>
              </w:rPr>
              <w:t>内容</w:t>
            </w:r>
            <w:r>
              <w:rPr>
                <w:rFonts w:hint="eastAsia" w:ascii="宋体"/>
                <w:bCs/>
                <w:color w:val="auto"/>
                <w:sz w:val="21"/>
                <w:szCs w:val="21"/>
                <w:lang w:val="en-US" w:eastAsia="zh-CN"/>
              </w:rPr>
              <w:t>欠全面</w:t>
            </w:r>
            <w:r>
              <w:rPr>
                <w:rFonts w:hint="eastAsia" w:ascii="宋体"/>
                <w:bCs/>
                <w:color w:val="auto"/>
                <w:sz w:val="21"/>
                <w:szCs w:val="21"/>
              </w:rPr>
              <w:t>完整</w:t>
            </w:r>
            <w:r>
              <w:rPr>
                <w:rFonts w:hint="eastAsia" w:ascii="宋体"/>
                <w:bCs/>
                <w:color w:val="auto"/>
                <w:sz w:val="21"/>
                <w:szCs w:val="21"/>
                <w:lang w:eastAsia="zh-CN"/>
              </w:rPr>
              <w:t>、</w:t>
            </w:r>
            <w:r>
              <w:rPr>
                <w:rFonts w:hint="eastAsia" w:ascii="宋体"/>
                <w:bCs/>
                <w:color w:val="auto"/>
                <w:sz w:val="21"/>
                <w:szCs w:val="21"/>
                <w:lang w:val="en-US" w:eastAsia="zh-CN"/>
              </w:rPr>
              <w:t>欠科学合理、欠可行的每项扣2分，方案内容不全面完整、不科学合理、不可行的每项扣3分，没有提供不得分。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551" w:hRule="atLeast"/>
          <w:jc w:val="center"/>
        </w:trPr>
        <w:tc>
          <w:tcPr>
            <w:tcW w:w="713" w:type="dxa"/>
            <w:vMerge w:val="continue"/>
            <w:tcBorders>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p>
        </w:tc>
        <w:tc>
          <w:tcPr>
            <w:tcW w:w="2575" w:type="dxa"/>
            <w:vMerge w:val="continue"/>
            <w:tcBorders>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both"/>
              <w:rPr>
                <w:rFonts w:hint="eastAsia" w:ascii="宋体" w:eastAsia="宋体"/>
                <w:bCs/>
                <w:color w:val="auto"/>
                <w:sz w:val="21"/>
                <w:szCs w:val="21"/>
                <w:lang w:val="en-US" w:eastAsia="zh-CN"/>
              </w:rPr>
            </w:pPr>
            <w:r>
              <w:rPr>
                <w:rFonts w:hint="eastAsia" w:ascii="宋体"/>
                <w:bCs/>
                <w:color w:val="auto"/>
                <w:sz w:val="21"/>
                <w:szCs w:val="21"/>
                <w:lang w:val="en-US" w:eastAsia="zh-CN"/>
              </w:rPr>
              <w:t>网络组网方案各层级拓扑应详细、清晰、规范、安全，方案内容全面完整、科学合理、切实可行的得10分，方案内容欠全面完整、欠科学合理、欠可行的每项扣1分，方案内容不全面完整，不科学合理、不可行的每项扣2分，没有提供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302" w:hRule="atLeast"/>
          <w:jc w:val="center"/>
        </w:trPr>
        <w:tc>
          <w:tcPr>
            <w:tcW w:w="713" w:type="dxa"/>
            <w:vMerge w:val="continue"/>
            <w:tcBorders>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p>
        </w:tc>
        <w:tc>
          <w:tcPr>
            <w:tcW w:w="2575" w:type="dxa"/>
            <w:vMerge w:val="continue"/>
            <w:tcBorders>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both"/>
              <w:rPr>
                <w:rFonts w:hint="eastAsia" w:ascii="宋体" w:eastAsia="宋体"/>
                <w:bCs/>
                <w:color w:val="auto"/>
                <w:sz w:val="21"/>
                <w:szCs w:val="21"/>
                <w:lang w:val="en-US" w:eastAsia="zh-CN"/>
              </w:rPr>
            </w:pPr>
            <w:r>
              <w:rPr>
                <w:rFonts w:hint="eastAsia" w:ascii="宋体"/>
                <w:bCs/>
                <w:color w:val="auto"/>
                <w:sz w:val="21"/>
                <w:szCs w:val="21"/>
                <w:lang w:val="en-US" w:eastAsia="zh-CN"/>
              </w:rPr>
              <w:t>维护服务方案内容全面完整、</w:t>
            </w:r>
            <w:r>
              <w:rPr>
                <w:rFonts w:hint="eastAsia" w:ascii="宋体"/>
                <w:bCs/>
                <w:color w:val="auto"/>
                <w:sz w:val="21"/>
                <w:szCs w:val="21"/>
              </w:rPr>
              <w:t>科学合理</w:t>
            </w:r>
            <w:r>
              <w:rPr>
                <w:rFonts w:hint="eastAsia" w:ascii="宋体"/>
                <w:bCs/>
                <w:color w:val="auto"/>
                <w:sz w:val="21"/>
                <w:szCs w:val="21"/>
                <w:lang w:eastAsia="zh-CN"/>
              </w:rPr>
              <w:t>、</w:t>
            </w:r>
            <w:r>
              <w:rPr>
                <w:rFonts w:hint="eastAsia" w:ascii="宋体"/>
                <w:bCs/>
                <w:color w:val="auto"/>
                <w:sz w:val="21"/>
                <w:szCs w:val="21"/>
                <w:lang w:val="en-US" w:eastAsia="zh-CN"/>
              </w:rPr>
              <w:t>切实可行的得5分，方案</w:t>
            </w:r>
            <w:r>
              <w:rPr>
                <w:rFonts w:hint="eastAsia" w:ascii="宋体"/>
                <w:bCs/>
                <w:color w:val="auto"/>
                <w:sz w:val="21"/>
                <w:szCs w:val="21"/>
              </w:rPr>
              <w:t>内容</w:t>
            </w:r>
            <w:r>
              <w:rPr>
                <w:rFonts w:hint="eastAsia" w:ascii="宋体"/>
                <w:bCs/>
                <w:color w:val="auto"/>
                <w:sz w:val="21"/>
                <w:szCs w:val="21"/>
                <w:lang w:val="en-US" w:eastAsia="zh-CN"/>
              </w:rPr>
              <w:t>欠全面</w:t>
            </w:r>
            <w:r>
              <w:rPr>
                <w:rFonts w:hint="eastAsia" w:ascii="宋体"/>
                <w:bCs/>
                <w:color w:val="auto"/>
                <w:sz w:val="21"/>
                <w:szCs w:val="21"/>
              </w:rPr>
              <w:t>完整</w:t>
            </w:r>
            <w:r>
              <w:rPr>
                <w:rFonts w:hint="eastAsia" w:ascii="宋体"/>
                <w:bCs/>
                <w:color w:val="auto"/>
                <w:sz w:val="21"/>
                <w:szCs w:val="21"/>
                <w:lang w:eastAsia="zh-CN"/>
              </w:rPr>
              <w:t>、</w:t>
            </w:r>
            <w:r>
              <w:rPr>
                <w:rFonts w:hint="eastAsia" w:ascii="宋体"/>
                <w:bCs/>
                <w:color w:val="auto"/>
                <w:sz w:val="21"/>
                <w:szCs w:val="21"/>
                <w:lang w:val="en-US" w:eastAsia="zh-CN"/>
              </w:rPr>
              <w:t>欠科学合理、欠可行的每项扣1分，方案内容不全面完整、不科学合理、不可行的每项扣1.5分，没有提供不得分。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387" w:hRule="atLeast"/>
          <w:jc w:val="center"/>
        </w:trPr>
        <w:tc>
          <w:tcPr>
            <w:tcW w:w="713" w:type="dxa"/>
            <w:vMerge w:val="continue"/>
            <w:tcBorders>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p>
        </w:tc>
        <w:tc>
          <w:tcPr>
            <w:tcW w:w="2575" w:type="dxa"/>
            <w:vMerge w:val="continue"/>
            <w:tcBorders>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both"/>
              <w:rPr>
                <w:rFonts w:hint="eastAsia" w:ascii="宋体" w:eastAsia="宋体"/>
                <w:bCs/>
                <w:color w:val="auto"/>
                <w:sz w:val="21"/>
                <w:szCs w:val="21"/>
                <w:lang w:val="en-US" w:eastAsia="zh-CN"/>
              </w:rPr>
            </w:pPr>
            <w:r>
              <w:rPr>
                <w:rFonts w:hint="eastAsia" w:ascii="宋体"/>
                <w:bCs/>
                <w:color w:val="auto"/>
                <w:sz w:val="21"/>
                <w:szCs w:val="21"/>
                <w:lang w:val="en-US" w:eastAsia="zh-CN"/>
              </w:rPr>
              <w:t>应急方案内容全面完整、</w:t>
            </w:r>
            <w:r>
              <w:rPr>
                <w:rFonts w:hint="eastAsia" w:ascii="宋体"/>
                <w:bCs/>
                <w:color w:val="auto"/>
                <w:sz w:val="21"/>
                <w:szCs w:val="21"/>
              </w:rPr>
              <w:t>科学合理</w:t>
            </w:r>
            <w:r>
              <w:rPr>
                <w:rFonts w:hint="eastAsia" w:ascii="宋体"/>
                <w:bCs/>
                <w:color w:val="auto"/>
                <w:sz w:val="21"/>
                <w:szCs w:val="21"/>
                <w:lang w:eastAsia="zh-CN"/>
              </w:rPr>
              <w:t>、</w:t>
            </w:r>
            <w:r>
              <w:rPr>
                <w:rFonts w:hint="eastAsia" w:ascii="宋体"/>
                <w:bCs/>
                <w:color w:val="auto"/>
                <w:sz w:val="21"/>
                <w:szCs w:val="21"/>
                <w:lang w:val="en-US" w:eastAsia="zh-CN"/>
              </w:rPr>
              <w:t>切实可行的得5分，方案</w:t>
            </w:r>
            <w:r>
              <w:rPr>
                <w:rFonts w:hint="eastAsia" w:ascii="宋体"/>
                <w:bCs/>
                <w:color w:val="auto"/>
                <w:sz w:val="21"/>
                <w:szCs w:val="21"/>
              </w:rPr>
              <w:t>内容</w:t>
            </w:r>
            <w:r>
              <w:rPr>
                <w:rFonts w:hint="eastAsia" w:ascii="宋体"/>
                <w:bCs/>
                <w:color w:val="auto"/>
                <w:sz w:val="21"/>
                <w:szCs w:val="21"/>
                <w:lang w:val="en-US" w:eastAsia="zh-CN"/>
              </w:rPr>
              <w:t>欠全面</w:t>
            </w:r>
            <w:r>
              <w:rPr>
                <w:rFonts w:hint="eastAsia" w:ascii="宋体"/>
                <w:bCs/>
                <w:color w:val="auto"/>
                <w:sz w:val="21"/>
                <w:szCs w:val="21"/>
              </w:rPr>
              <w:t>完整</w:t>
            </w:r>
            <w:r>
              <w:rPr>
                <w:rFonts w:hint="eastAsia" w:ascii="宋体"/>
                <w:bCs/>
                <w:color w:val="auto"/>
                <w:sz w:val="21"/>
                <w:szCs w:val="21"/>
                <w:lang w:eastAsia="zh-CN"/>
              </w:rPr>
              <w:t>、</w:t>
            </w:r>
            <w:r>
              <w:rPr>
                <w:rFonts w:hint="eastAsia" w:ascii="宋体"/>
                <w:bCs/>
                <w:color w:val="auto"/>
                <w:sz w:val="21"/>
                <w:szCs w:val="21"/>
                <w:lang w:val="en-US" w:eastAsia="zh-CN"/>
              </w:rPr>
              <w:t>欠科学合理、欠可行的每项扣1分，方案内容不全面完整、不科学合理、不可行的每项扣1.5分，没有提供不得分。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874" w:hRule="atLeast"/>
          <w:jc w:val="center"/>
        </w:trPr>
        <w:tc>
          <w:tcPr>
            <w:tcW w:w="713" w:type="dxa"/>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5</w:t>
            </w:r>
          </w:p>
        </w:tc>
        <w:tc>
          <w:tcPr>
            <w:tcW w:w="2575" w:type="dxa"/>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bCs/>
                <w:color w:val="auto"/>
                <w:sz w:val="21"/>
                <w:szCs w:val="21"/>
              </w:rPr>
            </w:pPr>
            <w:r>
              <w:rPr>
                <w:rFonts w:hint="eastAsia" w:ascii="宋体"/>
                <w:bCs/>
                <w:color w:val="auto"/>
                <w:sz w:val="21"/>
                <w:szCs w:val="21"/>
              </w:rPr>
              <w:t>项目组织实施方案</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bCs/>
                <w:color w:val="auto"/>
                <w:sz w:val="21"/>
                <w:szCs w:val="21"/>
                <w:lang w:val="en-US" w:eastAsia="zh-CN"/>
              </w:rPr>
            </w:pPr>
            <w:r>
              <w:rPr>
                <w:rFonts w:hint="eastAsia" w:ascii="宋体"/>
                <w:bCs/>
                <w:color w:val="auto"/>
                <w:sz w:val="21"/>
                <w:szCs w:val="21"/>
              </w:rPr>
              <w:t>项目组织实施方案内容</w:t>
            </w:r>
            <w:r>
              <w:rPr>
                <w:rFonts w:hint="eastAsia" w:ascii="宋体"/>
                <w:bCs/>
                <w:color w:val="auto"/>
                <w:sz w:val="21"/>
                <w:szCs w:val="21"/>
                <w:lang w:val="en-US" w:eastAsia="zh-CN"/>
              </w:rPr>
              <w:t>全面</w:t>
            </w:r>
            <w:r>
              <w:rPr>
                <w:rFonts w:hint="eastAsia" w:ascii="宋体"/>
                <w:bCs/>
                <w:color w:val="auto"/>
                <w:sz w:val="21"/>
                <w:szCs w:val="21"/>
              </w:rPr>
              <w:t>完整、科学合理</w:t>
            </w:r>
            <w:r>
              <w:rPr>
                <w:rFonts w:hint="eastAsia" w:ascii="宋体"/>
                <w:bCs/>
                <w:color w:val="auto"/>
                <w:sz w:val="21"/>
                <w:szCs w:val="21"/>
                <w:lang w:eastAsia="zh-CN"/>
              </w:rPr>
              <w:t>、</w:t>
            </w:r>
            <w:r>
              <w:rPr>
                <w:rFonts w:hint="eastAsia" w:ascii="宋体"/>
                <w:bCs/>
                <w:color w:val="auto"/>
                <w:sz w:val="21"/>
                <w:szCs w:val="21"/>
              </w:rPr>
              <w:t>切实可行</w:t>
            </w:r>
            <w:r>
              <w:rPr>
                <w:rFonts w:hint="eastAsia" w:ascii="宋体"/>
                <w:bCs/>
                <w:color w:val="auto"/>
                <w:sz w:val="21"/>
                <w:szCs w:val="21"/>
                <w:lang w:eastAsia="zh-CN"/>
              </w:rPr>
              <w:t>、</w:t>
            </w:r>
            <w:r>
              <w:rPr>
                <w:rFonts w:hint="eastAsia" w:ascii="宋体"/>
                <w:bCs/>
                <w:color w:val="auto"/>
                <w:sz w:val="21"/>
                <w:szCs w:val="21"/>
              </w:rPr>
              <w:t>人员配备</w:t>
            </w:r>
            <w:r>
              <w:rPr>
                <w:rFonts w:hint="eastAsia" w:ascii="宋体"/>
                <w:bCs/>
                <w:color w:val="auto"/>
                <w:sz w:val="21"/>
                <w:szCs w:val="21"/>
                <w:lang w:val="en-US" w:eastAsia="zh-CN"/>
              </w:rPr>
              <w:t>合理、人员</w:t>
            </w:r>
            <w:r>
              <w:rPr>
                <w:rFonts w:hint="eastAsia" w:ascii="宋体"/>
                <w:bCs/>
                <w:color w:val="auto"/>
                <w:sz w:val="21"/>
                <w:szCs w:val="21"/>
              </w:rPr>
              <w:t>资质</w:t>
            </w:r>
            <w:r>
              <w:rPr>
                <w:rFonts w:hint="eastAsia" w:ascii="宋体"/>
                <w:bCs/>
                <w:color w:val="auto"/>
                <w:sz w:val="21"/>
                <w:szCs w:val="21"/>
                <w:lang w:val="en-US" w:eastAsia="zh-CN"/>
              </w:rPr>
              <w:t>好的得13分，</w:t>
            </w:r>
            <w:r>
              <w:rPr>
                <w:rFonts w:hint="eastAsia" w:ascii="宋体"/>
                <w:bCs/>
                <w:color w:val="auto"/>
                <w:sz w:val="21"/>
                <w:szCs w:val="21"/>
              </w:rPr>
              <w:t>方案内容</w:t>
            </w:r>
            <w:r>
              <w:rPr>
                <w:rFonts w:hint="eastAsia" w:ascii="宋体"/>
                <w:bCs/>
                <w:color w:val="auto"/>
                <w:sz w:val="21"/>
                <w:szCs w:val="21"/>
                <w:lang w:val="en-US" w:eastAsia="zh-CN"/>
              </w:rPr>
              <w:t>欠全面</w:t>
            </w:r>
            <w:r>
              <w:rPr>
                <w:rFonts w:hint="eastAsia" w:ascii="宋体"/>
                <w:bCs/>
                <w:color w:val="auto"/>
                <w:sz w:val="21"/>
                <w:szCs w:val="21"/>
              </w:rPr>
              <w:t>完整、</w:t>
            </w:r>
            <w:r>
              <w:rPr>
                <w:rFonts w:hint="eastAsia" w:ascii="宋体"/>
                <w:bCs/>
                <w:color w:val="auto"/>
                <w:sz w:val="21"/>
                <w:szCs w:val="21"/>
                <w:lang w:val="en-US" w:eastAsia="zh-CN"/>
              </w:rPr>
              <w:t>欠</w:t>
            </w:r>
            <w:r>
              <w:rPr>
                <w:rFonts w:hint="eastAsia" w:ascii="宋体"/>
                <w:bCs/>
                <w:color w:val="auto"/>
                <w:sz w:val="21"/>
                <w:szCs w:val="21"/>
              </w:rPr>
              <w:t>科学合理</w:t>
            </w:r>
            <w:r>
              <w:rPr>
                <w:rFonts w:hint="eastAsia" w:ascii="宋体"/>
                <w:bCs/>
                <w:color w:val="auto"/>
                <w:sz w:val="21"/>
                <w:szCs w:val="21"/>
                <w:lang w:eastAsia="zh-CN"/>
              </w:rPr>
              <w:t>、</w:t>
            </w:r>
            <w:r>
              <w:rPr>
                <w:rFonts w:hint="eastAsia" w:ascii="宋体"/>
                <w:bCs/>
                <w:color w:val="auto"/>
                <w:sz w:val="21"/>
                <w:szCs w:val="21"/>
                <w:lang w:val="en-US" w:eastAsia="zh-CN"/>
              </w:rPr>
              <w:t>欠</w:t>
            </w:r>
            <w:r>
              <w:rPr>
                <w:rFonts w:hint="eastAsia" w:ascii="宋体"/>
                <w:bCs/>
                <w:color w:val="auto"/>
                <w:sz w:val="21"/>
                <w:szCs w:val="21"/>
              </w:rPr>
              <w:t>可行</w:t>
            </w:r>
            <w:r>
              <w:rPr>
                <w:rFonts w:hint="eastAsia" w:ascii="宋体"/>
                <w:bCs/>
                <w:color w:val="auto"/>
                <w:sz w:val="21"/>
                <w:szCs w:val="21"/>
                <w:lang w:eastAsia="zh-CN"/>
              </w:rPr>
              <w:t>、</w:t>
            </w:r>
            <w:r>
              <w:rPr>
                <w:rFonts w:hint="eastAsia" w:ascii="宋体"/>
                <w:bCs/>
                <w:color w:val="auto"/>
                <w:sz w:val="21"/>
                <w:szCs w:val="21"/>
              </w:rPr>
              <w:t>人员配备</w:t>
            </w:r>
            <w:r>
              <w:rPr>
                <w:rFonts w:hint="eastAsia" w:ascii="宋体"/>
                <w:bCs/>
                <w:color w:val="auto"/>
                <w:sz w:val="21"/>
                <w:szCs w:val="21"/>
                <w:lang w:val="en-US" w:eastAsia="zh-CN"/>
              </w:rPr>
              <w:t>欠合理、人员</w:t>
            </w:r>
            <w:r>
              <w:rPr>
                <w:rFonts w:hint="eastAsia" w:ascii="宋体"/>
                <w:bCs/>
                <w:color w:val="auto"/>
                <w:sz w:val="21"/>
                <w:szCs w:val="21"/>
              </w:rPr>
              <w:t>资质</w:t>
            </w:r>
            <w:r>
              <w:rPr>
                <w:rFonts w:hint="eastAsia" w:ascii="宋体"/>
                <w:bCs/>
                <w:color w:val="auto"/>
                <w:sz w:val="21"/>
                <w:szCs w:val="21"/>
                <w:lang w:val="en-US" w:eastAsia="zh-CN"/>
              </w:rPr>
              <w:t>较好的每项扣1分，</w:t>
            </w:r>
            <w:r>
              <w:rPr>
                <w:rFonts w:hint="eastAsia" w:ascii="宋体"/>
                <w:bCs/>
                <w:color w:val="auto"/>
                <w:sz w:val="21"/>
                <w:szCs w:val="21"/>
              </w:rPr>
              <w:t>方案内容</w:t>
            </w:r>
            <w:r>
              <w:rPr>
                <w:rFonts w:hint="eastAsia" w:ascii="宋体"/>
                <w:bCs/>
                <w:color w:val="auto"/>
                <w:sz w:val="21"/>
                <w:szCs w:val="21"/>
                <w:lang w:val="en-US" w:eastAsia="zh-CN"/>
              </w:rPr>
              <w:t>不全面</w:t>
            </w:r>
            <w:r>
              <w:rPr>
                <w:rFonts w:hint="eastAsia" w:ascii="宋体"/>
                <w:bCs/>
                <w:color w:val="auto"/>
                <w:sz w:val="21"/>
                <w:szCs w:val="21"/>
              </w:rPr>
              <w:t>完整、</w:t>
            </w:r>
            <w:r>
              <w:rPr>
                <w:rFonts w:hint="eastAsia" w:ascii="宋体"/>
                <w:bCs/>
                <w:color w:val="auto"/>
                <w:sz w:val="21"/>
                <w:szCs w:val="21"/>
                <w:lang w:val="en-US" w:eastAsia="zh-CN"/>
              </w:rPr>
              <w:t>不</w:t>
            </w:r>
            <w:r>
              <w:rPr>
                <w:rFonts w:hint="eastAsia" w:ascii="宋体"/>
                <w:bCs/>
                <w:color w:val="auto"/>
                <w:sz w:val="21"/>
                <w:szCs w:val="21"/>
              </w:rPr>
              <w:t>科学合理</w:t>
            </w:r>
            <w:r>
              <w:rPr>
                <w:rFonts w:hint="eastAsia" w:ascii="宋体"/>
                <w:bCs/>
                <w:color w:val="auto"/>
                <w:sz w:val="21"/>
                <w:szCs w:val="21"/>
                <w:lang w:eastAsia="zh-CN"/>
              </w:rPr>
              <w:t>、</w:t>
            </w:r>
            <w:r>
              <w:rPr>
                <w:rFonts w:hint="eastAsia" w:ascii="宋体"/>
                <w:bCs/>
                <w:color w:val="auto"/>
                <w:sz w:val="21"/>
                <w:szCs w:val="21"/>
                <w:lang w:val="en-US" w:eastAsia="zh-CN"/>
              </w:rPr>
              <w:t>不</w:t>
            </w:r>
            <w:r>
              <w:rPr>
                <w:rFonts w:hint="eastAsia" w:ascii="宋体"/>
                <w:bCs/>
                <w:color w:val="auto"/>
                <w:sz w:val="21"/>
                <w:szCs w:val="21"/>
              </w:rPr>
              <w:t>可行</w:t>
            </w:r>
            <w:r>
              <w:rPr>
                <w:rFonts w:hint="eastAsia" w:ascii="宋体"/>
                <w:bCs/>
                <w:color w:val="auto"/>
                <w:sz w:val="21"/>
                <w:szCs w:val="21"/>
                <w:lang w:eastAsia="zh-CN"/>
              </w:rPr>
              <w:t>、</w:t>
            </w:r>
            <w:r>
              <w:rPr>
                <w:rFonts w:hint="eastAsia" w:ascii="宋体"/>
                <w:bCs/>
                <w:color w:val="auto"/>
                <w:sz w:val="21"/>
                <w:szCs w:val="21"/>
              </w:rPr>
              <w:t>人员配备</w:t>
            </w:r>
            <w:r>
              <w:rPr>
                <w:rFonts w:hint="eastAsia" w:ascii="宋体"/>
                <w:bCs/>
                <w:color w:val="auto"/>
                <w:sz w:val="21"/>
                <w:szCs w:val="21"/>
                <w:lang w:val="en-US" w:eastAsia="zh-CN"/>
              </w:rPr>
              <w:t>不合理、人员</w:t>
            </w:r>
            <w:r>
              <w:rPr>
                <w:rFonts w:hint="eastAsia" w:ascii="宋体"/>
                <w:bCs/>
                <w:color w:val="auto"/>
                <w:sz w:val="21"/>
                <w:szCs w:val="21"/>
              </w:rPr>
              <w:t>资质</w:t>
            </w:r>
            <w:r>
              <w:rPr>
                <w:rFonts w:hint="eastAsia" w:ascii="宋体"/>
                <w:bCs/>
                <w:color w:val="auto"/>
                <w:sz w:val="21"/>
                <w:szCs w:val="21"/>
                <w:lang w:val="en-US" w:eastAsia="zh-CN"/>
              </w:rPr>
              <w:t>一般的每项扣2分，没有提供不得分。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68" w:hRule="atLeast"/>
          <w:jc w:val="center"/>
        </w:trPr>
        <w:tc>
          <w:tcPr>
            <w:tcW w:w="713" w:type="dxa"/>
            <w:vMerge w:val="restart"/>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6</w:t>
            </w:r>
          </w:p>
        </w:tc>
        <w:tc>
          <w:tcPr>
            <w:tcW w:w="2575" w:type="dxa"/>
            <w:vMerge w:val="restart"/>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r>
              <w:rPr>
                <w:rFonts w:hint="eastAsia" w:ascii="宋体" w:hAnsi="宋体" w:cs="宋体"/>
                <w:bCs/>
                <w:color w:val="auto"/>
                <w:sz w:val="21"/>
                <w:szCs w:val="21"/>
              </w:rPr>
              <w:t>拟投入的</w:t>
            </w:r>
            <w:r>
              <w:rPr>
                <w:rFonts w:hint="eastAsia" w:ascii="宋体" w:hAnsi="宋体" w:cs="宋体"/>
                <w:bCs/>
                <w:color w:val="auto"/>
                <w:sz w:val="21"/>
                <w:szCs w:val="21"/>
                <w:lang w:val="en-US" w:eastAsia="zh-CN"/>
              </w:rPr>
              <w:t>主要</w:t>
            </w:r>
            <w:r>
              <w:rPr>
                <w:rFonts w:hint="eastAsia" w:ascii="宋体" w:hAnsi="宋体" w:cs="宋体"/>
                <w:bCs/>
                <w:color w:val="auto"/>
                <w:sz w:val="21"/>
                <w:szCs w:val="21"/>
              </w:rPr>
              <w:t>软硬件设备</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eastAsia="宋体"/>
                <w:bCs/>
                <w:color w:val="auto"/>
                <w:sz w:val="21"/>
                <w:szCs w:val="21"/>
                <w:lang w:val="en-US" w:eastAsia="zh-CN"/>
              </w:rPr>
            </w:pPr>
            <w:r>
              <w:rPr>
                <w:rFonts w:hint="eastAsia" w:ascii="宋体"/>
                <w:bCs/>
                <w:color w:val="auto"/>
                <w:sz w:val="21"/>
                <w:szCs w:val="21"/>
              </w:rPr>
              <w:t>投标产品市场知名度高得2分，较高得1分，一般得0.5分。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549" w:hRule="atLeast"/>
          <w:jc w:val="center"/>
        </w:trPr>
        <w:tc>
          <w:tcPr>
            <w:tcW w:w="713" w:type="dxa"/>
            <w:vMerge w:val="continue"/>
            <w:tcBorders>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lang w:val="en-US" w:eastAsia="zh-CN"/>
              </w:rPr>
            </w:pPr>
          </w:p>
        </w:tc>
        <w:tc>
          <w:tcPr>
            <w:tcW w:w="2575" w:type="dxa"/>
            <w:vMerge w:val="continue"/>
            <w:tcBorders>
              <w:left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p>
        </w:tc>
        <w:tc>
          <w:tcPr>
            <w:tcW w:w="5714"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hAnsi="宋体" w:cs="宋体"/>
                <w:bCs/>
                <w:color w:val="auto"/>
                <w:sz w:val="21"/>
                <w:szCs w:val="21"/>
              </w:rPr>
            </w:pPr>
            <w:r>
              <w:rPr>
                <w:rFonts w:hint="eastAsia" w:ascii="宋体"/>
                <w:bCs/>
                <w:color w:val="auto"/>
                <w:sz w:val="21"/>
                <w:szCs w:val="21"/>
              </w:rPr>
              <w:t>符</w:t>
            </w:r>
            <w:r>
              <w:rPr>
                <w:rFonts w:hint="eastAsia" w:ascii="宋体" w:hAnsi="宋体" w:cs="宋体"/>
                <w:color w:val="auto"/>
                <w:kern w:val="0"/>
                <w:sz w:val="21"/>
                <w:szCs w:val="21"/>
              </w:rPr>
              <w:t>合招标文件明确指标参数的得1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对非实质性技术参数指标属负偏离或缺漏项的每项扣</w:t>
            </w:r>
            <w:r>
              <w:rPr>
                <w:rFonts w:ascii="宋体" w:hAnsi="宋体" w:cs="宋体"/>
                <w:color w:val="auto"/>
                <w:kern w:val="0"/>
                <w:sz w:val="21"/>
                <w:szCs w:val="21"/>
              </w:rPr>
              <w:t>1</w:t>
            </w:r>
            <w:r>
              <w:rPr>
                <w:rFonts w:hint="eastAsia" w:ascii="宋体" w:hAnsi="宋体" w:cs="宋体"/>
                <w:color w:val="auto"/>
                <w:kern w:val="0"/>
                <w:sz w:val="21"/>
                <w:szCs w:val="21"/>
              </w:rPr>
              <w:t>分，扣完为止</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技术参数指标有实质性正偏离的，每项正偏离</w:t>
            </w:r>
            <w:r>
              <w:rPr>
                <w:rFonts w:hint="eastAsia" w:ascii="宋体"/>
                <w:bCs/>
                <w:color w:val="auto"/>
                <w:sz w:val="21"/>
                <w:szCs w:val="21"/>
              </w:rPr>
              <w:t>得</w:t>
            </w:r>
            <w:r>
              <w:rPr>
                <w:rFonts w:hint="eastAsia" w:ascii="宋体"/>
                <w:bCs/>
                <w:color w:val="auto"/>
                <w:sz w:val="21"/>
                <w:szCs w:val="21"/>
                <w:lang w:val="en-US" w:eastAsia="zh-CN"/>
              </w:rPr>
              <w:t>1</w:t>
            </w:r>
            <w:r>
              <w:rPr>
                <w:rFonts w:hint="eastAsia" w:ascii="宋体"/>
                <w:bCs/>
                <w:color w:val="auto"/>
                <w:sz w:val="21"/>
                <w:szCs w:val="21"/>
              </w:rPr>
              <w:t>分，最高得2分(无实质性意义的正偏离不得分)。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9" w:hRule="atLeast"/>
          <w:jc w:val="center"/>
        </w:trPr>
        <w:tc>
          <w:tcPr>
            <w:tcW w:w="10047" w:type="dxa"/>
            <w:gridSpan w:val="4"/>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
                <w:bCs/>
                <w:color w:val="auto"/>
                <w:sz w:val="21"/>
                <w:szCs w:val="21"/>
              </w:rPr>
            </w:pPr>
            <w:r>
              <w:rPr>
                <w:rFonts w:hint="eastAsia" w:ascii="宋体" w:hAnsi="宋体" w:cs="宋体"/>
                <w:b/>
                <w:bCs/>
                <w:color w:val="auto"/>
                <w:sz w:val="21"/>
                <w:szCs w:val="21"/>
              </w:rPr>
              <w:t>三、价格分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6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7</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bCs/>
                <w:color w:val="auto"/>
                <w:sz w:val="21"/>
                <w:szCs w:val="21"/>
              </w:rPr>
            </w:pPr>
            <w:r>
              <w:rPr>
                <w:rFonts w:hint="eastAsia" w:ascii="宋体" w:hAnsi="宋体" w:cs="宋体"/>
                <w:bCs/>
                <w:color w:val="auto"/>
                <w:sz w:val="21"/>
                <w:szCs w:val="21"/>
              </w:rPr>
              <w:t>投标报价</w:t>
            </w:r>
          </w:p>
        </w:tc>
        <w:tc>
          <w:tcPr>
            <w:tcW w:w="5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85"/>
              <w:rPr>
                <w:rFonts w:hint="eastAsia" w:ascii="宋体" w:hAnsi="宋体" w:cs="宋体"/>
                <w:bCs/>
                <w:color w:val="auto"/>
                <w:sz w:val="21"/>
                <w:szCs w:val="21"/>
                <w:lang w:val="zh-CN"/>
              </w:rPr>
            </w:pPr>
            <w:r>
              <w:rPr>
                <w:rFonts w:hint="eastAsia" w:ascii="宋体" w:hAnsi="宋体" w:cs="宋体"/>
                <w:bCs/>
                <w:color w:val="auto"/>
                <w:sz w:val="21"/>
                <w:szCs w:val="21"/>
                <w:lang w:val="zh-CN"/>
              </w:rPr>
              <w:t>采用低价优先法计算，即满足招标文件要求且投标价格最低的投标报价为评标基准价，其报价得满分。其他投标人的投标报价得分按下列公式计算：</w:t>
            </w:r>
          </w:p>
          <w:p>
            <w:pPr>
              <w:pStyle w:val="32"/>
              <w:spacing w:line="320" w:lineRule="exact"/>
              <w:ind w:left="0" w:leftChars="0"/>
              <w:rPr>
                <w:rFonts w:hint="eastAsia" w:ascii="宋体" w:hAnsi="宋体" w:cs="宋体"/>
                <w:bCs/>
                <w:color w:val="auto"/>
                <w:sz w:val="21"/>
                <w:szCs w:val="21"/>
              </w:rPr>
            </w:pPr>
            <w:r>
              <w:rPr>
                <w:rFonts w:hint="eastAsia" w:ascii="宋体" w:hAnsi="宋体" w:cs="宋体"/>
                <w:bCs/>
                <w:color w:val="auto"/>
                <w:sz w:val="21"/>
                <w:szCs w:val="21"/>
              </w:rPr>
              <w:t>投标报价得分=(评标基准价／投标报价)×</w:t>
            </w:r>
            <w:r>
              <w:rPr>
                <w:rFonts w:hint="eastAsia" w:ascii="宋体" w:hAnsi="宋体" w:cs="宋体"/>
                <w:bCs/>
                <w:color w:val="auto"/>
                <w:sz w:val="21"/>
                <w:szCs w:val="21"/>
                <w:lang w:val="en-US" w:eastAsia="zh-CN"/>
              </w:rPr>
              <w:t>3</w:t>
            </w:r>
            <w:r>
              <w:rPr>
                <w:rFonts w:hint="eastAsia" w:ascii="宋体" w:hAnsi="宋体" w:cs="宋体"/>
                <w:bCs/>
                <w:color w:val="auto"/>
                <w:sz w:val="21"/>
                <w:szCs w:val="21"/>
              </w:rPr>
              <w:t>0%×100 。</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0</w:t>
            </w:r>
          </w:p>
        </w:tc>
      </w:tr>
    </w:tbl>
    <w:p>
      <w:pPr>
        <w:autoSpaceDE w:val="0"/>
        <w:autoSpaceDN w:val="0"/>
        <w:adjustRightInd w:val="0"/>
        <w:spacing w:line="360" w:lineRule="auto"/>
        <w:ind w:right="85" w:firstLine="480" w:firstLineChars="200"/>
        <w:rPr>
          <w:rFonts w:hint="eastAsia" w:ascii="宋体" w:hAnsi="宋体" w:cs="宋体"/>
          <w:color w:val="auto"/>
          <w:sz w:val="24"/>
          <w:lang w:val="zh-CN"/>
        </w:rPr>
      </w:pPr>
      <w:r>
        <w:rPr>
          <w:rFonts w:hint="eastAsia" w:ascii="宋体" w:hAnsi="宋体" w:cs="宋体"/>
          <w:color w:val="auto"/>
          <w:sz w:val="24"/>
        </w:rPr>
        <w:t>三、</w:t>
      </w:r>
      <w:r>
        <w:rPr>
          <w:rFonts w:hint="eastAsia" w:ascii="宋体" w:hAnsi="宋体" w:cs="宋体"/>
          <w:color w:val="auto"/>
          <w:sz w:val="24"/>
          <w:lang w:val="zh-CN"/>
        </w:rPr>
        <w:t>政府采购政策及优惠：</w:t>
      </w:r>
    </w:p>
    <w:p>
      <w:pPr>
        <w:autoSpaceDE w:val="0"/>
        <w:autoSpaceDN w:val="0"/>
        <w:adjustRightInd w:val="0"/>
        <w:spacing w:line="360" w:lineRule="auto"/>
        <w:ind w:right="85" w:firstLine="480" w:firstLineChars="200"/>
        <w:rPr>
          <w:rFonts w:hint="eastAsia" w:ascii="宋体" w:hAnsi="宋体" w:cs="宋体"/>
          <w:color w:val="auto"/>
          <w:sz w:val="24"/>
          <w:lang w:val="zh-CN"/>
        </w:rPr>
      </w:pPr>
      <w:r>
        <w:rPr>
          <w:rFonts w:hint="eastAsia" w:ascii="宋体" w:hAnsi="宋体" w:cs="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hAnsi="宋体" w:cs="宋体"/>
          <w:color w:val="auto"/>
          <w:sz w:val="24"/>
          <w:u w:val="single"/>
          <w:lang w:val="zh-CN"/>
        </w:rPr>
        <w:t>属于小型和微型企业的，投标文件中投标人必须提供的《小微企业声明函》、《产品适用政府采购政策情况表》以及本单位、制造商（如有）“国家企业信用信息公示系统——小微企业名录”页面查询结果（查询时间为投标前一周内，并加盖本单位公章），评标委员会据此进行核查；</w:t>
      </w:r>
      <w:r>
        <w:rPr>
          <w:rFonts w:hint="eastAsia" w:ascii="宋体" w:hAnsi="宋体" w:cs="宋体"/>
          <w:color w:val="auto"/>
          <w:sz w:val="24"/>
        </w:rPr>
        <w:t>2、</w:t>
      </w:r>
      <w:r>
        <w:rPr>
          <w:rFonts w:hint="eastAsia" w:ascii="宋体" w:hAnsi="宋体" w:cs="宋体"/>
          <w:color w:val="auto"/>
          <w:sz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Pr>
          <w:rFonts w:hint="eastAsia" w:ascii="宋体" w:hAnsi="宋体" w:cs="宋体"/>
          <w:color w:val="auto"/>
          <w:sz w:val="24"/>
        </w:rPr>
        <w:t>3、</w:t>
      </w:r>
      <w:r>
        <w:rPr>
          <w:rFonts w:hint="eastAsia" w:ascii="宋体" w:hAnsi="宋体" w:cs="宋体"/>
          <w:color w:val="auto"/>
          <w:sz w:val="24"/>
          <w:lang w:val="zh-CN"/>
        </w:rPr>
        <w:t>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hint="eastAsia" w:ascii="宋体" w:hAnsi="宋体" w:cs="宋体"/>
          <w:color w:val="auto"/>
          <w:sz w:val="24"/>
          <w:lang w:val="zh-CN"/>
        </w:rPr>
      </w:pPr>
      <w:r>
        <w:rPr>
          <w:rFonts w:hint="eastAsia" w:ascii="宋体" w:hAnsi="宋体" w:cs="宋体"/>
          <w:color w:val="auto"/>
          <w:sz w:val="24"/>
          <w:lang w:val="zh-CN"/>
        </w:rPr>
        <w:t>具体优惠：对于小型微型企业产品的价格给予</w:t>
      </w:r>
      <w:r>
        <w:rPr>
          <w:rFonts w:hint="eastAsia" w:ascii="宋体" w:hAnsi="宋体" w:cs="宋体"/>
          <w:color w:val="auto"/>
          <w:sz w:val="24"/>
          <w:u w:val="single"/>
          <w:lang w:val="zh-CN"/>
        </w:rPr>
        <w:t xml:space="preserve"> </w:t>
      </w:r>
      <w:r>
        <w:rPr>
          <w:rFonts w:hint="eastAsia" w:ascii="宋体" w:hAnsi="宋体" w:cs="宋体"/>
          <w:color w:val="auto"/>
          <w:sz w:val="24"/>
          <w:u w:val="single"/>
        </w:rPr>
        <w:t>6</w:t>
      </w:r>
      <w:r>
        <w:rPr>
          <w:rFonts w:hint="eastAsia" w:ascii="宋体" w:hAnsi="宋体" w:cs="宋体"/>
          <w:color w:val="auto"/>
          <w:sz w:val="24"/>
          <w:u w:val="single"/>
          <w:lang w:val="zh-CN"/>
        </w:rPr>
        <w:t xml:space="preserve"> </w:t>
      </w:r>
      <w:r>
        <w:rPr>
          <w:rFonts w:hint="eastAsia" w:ascii="宋体" w:hAnsi="宋体" w:cs="宋体"/>
          <w:color w:val="auto"/>
          <w:sz w:val="24"/>
          <w:lang w:val="zh-CN"/>
        </w:rPr>
        <w:t>%的扣除，用扣除后的价格计算评标基准价和投标报价。同一投标人（包括联合体），小微企业、监狱企业、残疾人福利性单位价格扣除优惠只享受一次，不得重复享受。</w:t>
      </w:r>
    </w:p>
    <w:p>
      <w:pPr>
        <w:numPr>
          <w:ilvl w:val="0"/>
          <w:numId w:val="8"/>
        </w:numPr>
        <w:autoSpaceDE w:val="0"/>
        <w:autoSpaceDN w:val="0"/>
        <w:adjustRightInd w:val="0"/>
        <w:spacing w:line="360" w:lineRule="auto"/>
        <w:ind w:right="85" w:firstLine="480" w:firstLineChars="200"/>
        <w:jc w:val="center"/>
        <w:rPr>
          <w:rFonts w:hint="eastAsia" w:ascii="宋体" w:hAnsi="宋体" w:cs="宋体"/>
          <w:b/>
          <w:color w:val="auto"/>
          <w:szCs w:val="36"/>
        </w:rPr>
      </w:pPr>
      <w:r>
        <w:rPr>
          <w:rFonts w:hint="eastAsia" w:ascii="宋体" w:hAnsi="宋体" w:cs="宋体"/>
          <w:color w:val="auto"/>
          <w:sz w:val="24"/>
        </w:rPr>
        <w:br w:type="page"/>
      </w:r>
      <w:r>
        <w:rPr>
          <w:rFonts w:hint="eastAsia" w:ascii="宋体" w:hAnsi="宋体" w:cs="宋体"/>
          <w:b/>
          <w:color w:val="auto"/>
          <w:szCs w:val="36"/>
        </w:rPr>
        <w:t>公开招标需求</w:t>
      </w:r>
    </w:p>
    <w:p>
      <w:pPr>
        <w:tabs>
          <w:tab w:val="left" w:pos="8280"/>
        </w:tabs>
        <w:autoSpaceDE w:val="0"/>
        <w:autoSpaceDN w:val="0"/>
        <w:adjustRightInd w:val="0"/>
        <w:spacing w:line="360" w:lineRule="auto"/>
        <w:ind w:right="25" w:firstLine="482" w:firstLineChars="200"/>
        <w:rPr>
          <w:rFonts w:hint="eastAsia" w:ascii="宋体" w:hAnsi="宋体" w:cs="宋体"/>
          <w:b/>
          <w:color w:val="auto"/>
          <w:sz w:val="24"/>
        </w:rPr>
      </w:pPr>
      <w:bookmarkStart w:id="248" w:name="_Toc14420794"/>
      <w:bookmarkStart w:id="249" w:name="_Toc524531574"/>
      <w:bookmarkStart w:id="250" w:name="_Toc11082"/>
      <w:bookmarkStart w:id="251" w:name="_Toc359860065"/>
      <w:bookmarkStart w:id="252" w:name="_Toc18363"/>
      <w:bookmarkStart w:id="253" w:name="_Toc324836660"/>
      <w:bookmarkStart w:id="254" w:name="_Toc8240"/>
      <w:bookmarkStart w:id="255" w:name="_Toc30830"/>
      <w:bookmarkStart w:id="256" w:name="_Toc13823"/>
      <w:r>
        <w:rPr>
          <w:rFonts w:hint="eastAsia" w:ascii="宋体" w:hAnsi="宋体" w:cs="宋体"/>
          <w:b/>
          <w:bCs/>
          <w:color w:val="auto"/>
          <w:kern w:val="0"/>
          <w:sz w:val="24"/>
          <w:u w:val="single"/>
          <w:lang w:val="en-US" w:eastAsia="zh-CN"/>
        </w:rPr>
        <w:t>特别提醒：</w:t>
      </w:r>
      <w:r>
        <w:rPr>
          <w:rFonts w:hint="eastAsia" w:ascii="宋体" w:hAnsi="宋体" w:cs="宋体"/>
          <w:b/>
          <w:bCs/>
          <w:color w:val="auto"/>
          <w:kern w:val="0"/>
          <w:sz w:val="24"/>
          <w:u w:val="single"/>
          <w:lang w:val="zh-CN"/>
        </w:rPr>
        <w:t>因采购人</w:t>
      </w:r>
      <w:r>
        <w:rPr>
          <w:rFonts w:hint="eastAsia" w:ascii="宋体" w:hAnsi="宋体" w:cs="宋体"/>
          <w:b/>
          <w:bCs/>
          <w:color w:val="auto"/>
          <w:kern w:val="0"/>
          <w:sz w:val="24"/>
          <w:u w:val="single"/>
        </w:rPr>
        <w:t>考虑到本项目工作量大，工期紧，为确保本项目顺利完工，</w:t>
      </w:r>
      <w:r>
        <w:rPr>
          <w:rFonts w:hint="eastAsia" w:ascii="宋体" w:hAnsi="宋体" w:cs="宋体"/>
          <w:b/>
          <w:bCs/>
          <w:color w:val="auto"/>
          <w:kern w:val="0"/>
          <w:sz w:val="24"/>
          <w:u w:val="single"/>
          <w:lang w:val="en-US" w:eastAsia="zh-CN"/>
        </w:rPr>
        <w:t>所以本项目</w:t>
      </w:r>
      <w:r>
        <w:rPr>
          <w:rFonts w:hint="eastAsia" w:ascii="宋体" w:hAnsi="宋体" w:cs="宋体"/>
          <w:b/>
          <w:bCs/>
          <w:color w:val="auto"/>
          <w:kern w:val="0"/>
          <w:sz w:val="24"/>
          <w:u w:val="single"/>
        </w:rPr>
        <w:t>同一供应商</w:t>
      </w:r>
      <w:r>
        <w:rPr>
          <w:rFonts w:hint="eastAsia" w:ascii="宋体" w:hAnsi="宋体" w:cs="宋体"/>
          <w:b/>
          <w:bCs/>
          <w:color w:val="auto"/>
          <w:kern w:val="0"/>
          <w:sz w:val="24"/>
          <w:u w:val="single"/>
          <w:lang w:val="en-US" w:eastAsia="zh-CN"/>
        </w:rPr>
        <w:t>最多</w:t>
      </w:r>
      <w:r>
        <w:rPr>
          <w:rFonts w:hint="eastAsia" w:ascii="宋体" w:hAnsi="宋体" w:cs="宋体"/>
          <w:b/>
          <w:bCs/>
          <w:color w:val="auto"/>
          <w:kern w:val="0"/>
          <w:sz w:val="24"/>
          <w:u w:val="single"/>
        </w:rPr>
        <w:t>同时中标两个标项，即被推荐为标项一</w:t>
      </w:r>
      <w:r>
        <w:rPr>
          <w:rFonts w:hint="eastAsia" w:ascii="宋体" w:hAnsi="宋体" w:cs="宋体"/>
          <w:b/>
          <w:bCs/>
          <w:color w:val="auto"/>
          <w:kern w:val="0"/>
          <w:sz w:val="24"/>
          <w:u w:val="single"/>
          <w:lang w:eastAsia="zh-CN"/>
        </w:rPr>
        <w:t>、</w:t>
      </w:r>
      <w:r>
        <w:rPr>
          <w:rFonts w:hint="eastAsia" w:ascii="宋体" w:hAnsi="宋体" w:cs="宋体"/>
          <w:b/>
          <w:bCs/>
          <w:color w:val="auto"/>
          <w:kern w:val="0"/>
          <w:sz w:val="24"/>
          <w:u w:val="single"/>
          <w:lang w:val="en-US" w:eastAsia="zh-CN"/>
        </w:rPr>
        <w:t>二</w:t>
      </w:r>
      <w:r>
        <w:rPr>
          <w:rFonts w:hint="eastAsia" w:ascii="宋体" w:hAnsi="宋体" w:cs="宋体"/>
          <w:b/>
          <w:bCs/>
          <w:color w:val="auto"/>
          <w:kern w:val="0"/>
          <w:sz w:val="24"/>
          <w:u w:val="single"/>
        </w:rPr>
        <w:t>的第一中标候选人同时投标标项</w:t>
      </w:r>
      <w:r>
        <w:rPr>
          <w:rFonts w:hint="eastAsia" w:ascii="宋体" w:hAnsi="宋体" w:cs="宋体"/>
          <w:b/>
          <w:bCs/>
          <w:color w:val="auto"/>
          <w:kern w:val="0"/>
          <w:sz w:val="24"/>
          <w:u w:val="single"/>
          <w:lang w:val="en-US" w:eastAsia="zh-CN"/>
        </w:rPr>
        <w:t>三</w:t>
      </w:r>
      <w:r>
        <w:rPr>
          <w:rFonts w:hint="eastAsia" w:ascii="宋体" w:hAnsi="宋体" w:cs="宋体"/>
          <w:b/>
          <w:bCs/>
          <w:color w:val="auto"/>
          <w:kern w:val="0"/>
          <w:sz w:val="24"/>
          <w:u w:val="single"/>
        </w:rPr>
        <w:t>的，其标项</w:t>
      </w:r>
      <w:r>
        <w:rPr>
          <w:rFonts w:hint="eastAsia" w:ascii="宋体" w:hAnsi="宋体" w:cs="宋体"/>
          <w:b/>
          <w:bCs/>
          <w:color w:val="auto"/>
          <w:kern w:val="0"/>
          <w:sz w:val="24"/>
          <w:u w:val="single"/>
          <w:lang w:val="en-US" w:eastAsia="zh-CN"/>
        </w:rPr>
        <w:t>三</w:t>
      </w:r>
      <w:r>
        <w:rPr>
          <w:rFonts w:hint="eastAsia" w:ascii="宋体" w:hAnsi="宋体" w:cs="宋体"/>
          <w:b/>
          <w:bCs/>
          <w:color w:val="auto"/>
          <w:kern w:val="0"/>
          <w:sz w:val="24"/>
          <w:u w:val="single"/>
        </w:rPr>
        <w:t>投标文件作无效标处理。</w:t>
      </w:r>
    </w:p>
    <w:p>
      <w:pPr>
        <w:tabs>
          <w:tab w:val="left" w:pos="8280"/>
        </w:tabs>
        <w:autoSpaceDE w:val="0"/>
        <w:autoSpaceDN w:val="0"/>
        <w:adjustRightInd w:val="0"/>
        <w:spacing w:line="360" w:lineRule="auto"/>
        <w:ind w:right="25"/>
        <w:rPr>
          <w:rFonts w:hint="eastAsia" w:ascii="宋体" w:hAnsi="宋体" w:eastAsia="宋体" w:cs="宋体"/>
          <w:color w:val="auto"/>
          <w:sz w:val="24"/>
          <w:lang w:val="en-US" w:eastAsia="zh-CN"/>
        </w:rPr>
      </w:pPr>
      <w:r>
        <w:rPr>
          <w:rFonts w:hint="eastAsia" w:ascii="宋体" w:hAnsi="宋体" w:cs="宋体"/>
          <w:b/>
          <w:color w:val="auto"/>
          <w:sz w:val="24"/>
        </w:rPr>
        <w:t>一、</w:t>
      </w:r>
      <w:r>
        <w:rPr>
          <w:rFonts w:hint="eastAsia" w:ascii="宋体" w:hAnsi="宋体" w:cs="宋体"/>
          <w:b/>
          <w:color w:val="auto"/>
          <w:sz w:val="24"/>
          <w:lang w:val="en-US" w:eastAsia="zh-CN"/>
        </w:rPr>
        <w:t>服务内容</w:t>
      </w:r>
    </w:p>
    <w:p>
      <w:pPr>
        <w:widowControl/>
        <w:numPr>
          <w:ilvl w:val="0"/>
          <w:numId w:val="0"/>
        </w:numPr>
        <w:spacing w:before="60" w:after="60" w:line="360" w:lineRule="auto"/>
        <w:ind w:firstLine="482" w:firstLineChars="200"/>
        <w:jc w:val="left"/>
        <w:outlineLvl w:val="0"/>
        <w:rPr>
          <w:rFonts w:hint="eastAsia" w:ascii="宋体"/>
          <w:color w:val="auto"/>
          <w:sz w:val="24"/>
          <w:szCs w:val="24"/>
          <w:lang w:eastAsia="zh-CN"/>
        </w:rPr>
      </w:pPr>
      <w:r>
        <w:rPr>
          <w:rFonts w:hint="eastAsia" w:ascii="宋体" w:hAnsi="宋体" w:cs="宋体"/>
          <w:b/>
          <w:color w:val="auto"/>
          <w:sz w:val="24"/>
          <w:lang w:val="en-US" w:eastAsia="zh-CN"/>
        </w:rPr>
        <w:t>标项一：</w:t>
      </w:r>
      <w:r>
        <w:rPr>
          <w:rFonts w:hint="eastAsia" w:ascii="宋体"/>
          <w:b w:val="0"/>
          <w:bCs/>
          <w:color w:val="auto"/>
          <w:sz w:val="24"/>
          <w:szCs w:val="24"/>
          <w:lang w:val="en-US" w:eastAsia="zh-CN"/>
        </w:rPr>
        <w:t>购买</w:t>
      </w:r>
      <w:r>
        <w:rPr>
          <w:rFonts w:hint="eastAsia" w:ascii="宋体"/>
          <w:b w:val="0"/>
          <w:bCs/>
          <w:color w:val="auto"/>
          <w:sz w:val="24"/>
          <w:szCs w:val="24"/>
        </w:rPr>
        <w:t>900W超高清智能车辆卡口数据251路,后台可切换人脸卡口及道路微卡口的自带补光视频流及人脸或微卡口数据服务217路,半球人脸卡口</w:t>
      </w:r>
      <w:r>
        <w:rPr>
          <w:rFonts w:hint="eastAsia" w:ascii="宋体"/>
          <w:b w:val="0"/>
          <w:bCs/>
          <w:color w:val="auto"/>
          <w:sz w:val="24"/>
          <w:szCs w:val="24"/>
          <w:lang w:eastAsia="zh-CN"/>
        </w:rPr>
        <w:t>服务</w:t>
      </w:r>
      <w:r>
        <w:rPr>
          <w:rFonts w:hint="eastAsia" w:ascii="宋体"/>
          <w:b w:val="0"/>
          <w:bCs/>
          <w:color w:val="auto"/>
          <w:sz w:val="24"/>
          <w:szCs w:val="24"/>
        </w:rPr>
        <w:t>3路，仙居县雪亮工程公共安全视频图像共享总平台服务一套。区域覆盖为城区三个街道</w:t>
      </w:r>
      <w:r>
        <w:rPr>
          <w:rFonts w:hint="eastAsia" w:ascii="宋体"/>
          <w:b w:val="0"/>
          <w:bCs/>
          <w:color w:val="auto"/>
          <w:sz w:val="24"/>
          <w:szCs w:val="24"/>
          <w:lang w:eastAsia="zh-CN"/>
        </w:rPr>
        <w:t>（</w:t>
      </w:r>
      <w:r>
        <w:rPr>
          <w:rFonts w:hint="eastAsia" w:ascii="宋体"/>
          <w:b w:val="0"/>
          <w:bCs/>
          <w:color w:val="auto"/>
          <w:sz w:val="24"/>
          <w:szCs w:val="24"/>
        </w:rPr>
        <w:t>福应街道、南峰街道、安洲街道</w:t>
      </w:r>
      <w:r>
        <w:rPr>
          <w:rFonts w:hint="eastAsia" w:ascii="宋体"/>
          <w:b w:val="0"/>
          <w:bCs/>
          <w:color w:val="auto"/>
          <w:sz w:val="24"/>
          <w:szCs w:val="24"/>
          <w:lang w:eastAsia="zh-CN"/>
        </w:rPr>
        <w:t>）</w:t>
      </w:r>
      <w:r>
        <w:rPr>
          <w:rFonts w:hint="eastAsia" w:ascii="宋体"/>
          <w:b w:val="0"/>
          <w:bCs/>
          <w:color w:val="auto"/>
          <w:sz w:val="24"/>
          <w:szCs w:val="24"/>
        </w:rPr>
        <w:t>。</w:t>
      </w:r>
    </w:p>
    <w:p>
      <w:pPr>
        <w:widowControl/>
        <w:numPr>
          <w:ilvl w:val="0"/>
          <w:numId w:val="0"/>
        </w:numPr>
        <w:spacing w:before="60" w:after="60" w:line="360" w:lineRule="auto"/>
        <w:ind w:firstLine="482" w:firstLineChars="200"/>
        <w:jc w:val="left"/>
        <w:outlineLvl w:val="0"/>
        <w:rPr>
          <w:rFonts w:hint="eastAsia" w:ascii="宋体"/>
          <w:color w:val="auto"/>
          <w:sz w:val="24"/>
          <w:szCs w:val="24"/>
          <w:lang w:eastAsia="zh-CN"/>
        </w:rPr>
      </w:pPr>
      <w:r>
        <w:rPr>
          <w:rFonts w:hint="eastAsia" w:ascii="宋体" w:hAnsi="宋体" w:cs="宋体"/>
          <w:b/>
          <w:color w:val="auto"/>
          <w:sz w:val="24"/>
          <w:lang w:val="en-US" w:eastAsia="zh-CN"/>
        </w:rPr>
        <w:t>标项二：</w:t>
      </w:r>
      <w:r>
        <w:rPr>
          <w:rFonts w:hint="eastAsia" w:ascii="宋体"/>
          <w:b w:val="0"/>
          <w:bCs/>
          <w:color w:val="auto"/>
          <w:sz w:val="24"/>
          <w:szCs w:val="24"/>
          <w:lang w:val="en-US" w:eastAsia="zh-CN"/>
        </w:rPr>
        <w:t>购买</w:t>
      </w:r>
      <w:r>
        <w:rPr>
          <w:rFonts w:hint="eastAsia" w:ascii="宋体"/>
          <w:b w:val="0"/>
          <w:bCs/>
          <w:color w:val="auto"/>
          <w:sz w:val="24"/>
          <w:szCs w:val="24"/>
        </w:rPr>
        <w:t>900W超高清智能车辆卡口数据94路,</w:t>
      </w:r>
      <w:r>
        <w:rPr>
          <w:rFonts w:hint="eastAsia" w:ascii="宋体"/>
          <w:b w:val="0"/>
          <w:bCs/>
          <w:color w:val="auto"/>
          <w:sz w:val="24"/>
          <w:szCs w:val="24"/>
          <w:lang w:eastAsia="zh-CN"/>
        </w:rPr>
        <w:t>后台</w:t>
      </w:r>
      <w:r>
        <w:rPr>
          <w:rFonts w:hint="eastAsia" w:ascii="宋体"/>
          <w:b w:val="0"/>
          <w:bCs/>
          <w:color w:val="auto"/>
          <w:sz w:val="24"/>
          <w:szCs w:val="24"/>
        </w:rPr>
        <w:t>可切换人脸卡口及道路微卡口的自带补光</w:t>
      </w:r>
      <w:r>
        <w:rPr>
          <w:rFonts w:hint="eastAsia" w:ascii="宋体"/>
          <w:b w:val="0"/>
          <w:bCs/>
          <w:color w:val="auto"/>
          <w:sz w:val="24"/>
          <w:szCs w:val="24"/>
          <w:lang w:eastAsia="zh-CN"/>
        </w:rPr>
        <w:t>带云台</w:t>
      </w:r>
      <w:r>
        <w:rPr>
          <w:rFonts w:hint="eastAsia" w:ascii="宋体"/>
          <w:b w:val="0"/>
          <w:bCs/>
          <w:color w:val="auto"/>
          <w:sz w:val="24"/>
          <w:szCs w:val="24"/>
        </w:rPr>
        <w:t>视频流及人脸或微卡口数据服务349路,半球人脸卡口</w:t>
      </w:r>
      <w:r>
        <w:rPr>
          <w:rFonts w:hint="eastAsia" w:ascii="宋体"/>
          <w:b w:val="0"/>
          <w:bCs/>
          <w:color w:val="auto"/>
          <w:sz w:val="24"/>
          <w:szCs w:val="24"/>
          <w:lang w:eastAsia="zh-CN"/>
        </w:rPr>
        <w:t>服务</w:t>
      </w:r>
      <w:r>
        <w:rPr>
          <w:rFonts w:hint="eastAsia" w:ascii="宋体"/>
          <w:b w:val="0"/>
          <w:bCs/>
          <w:color w:val="auto"/>
          <w:sz w:val="24"/>
          <w:szCs w:val="24"/>
        </w:rPr>
        <w:t>2路，星光级高空</w:t>
      </w:r>
      <w:r>
        <w:rPr>
          <w:rFonts w:hint="eastAsia" w:ascii="宋体"/>
          <w:b w:val="0"/>
          <w:bCs/>
          <w:color w:val="auto"/>
          <w:sz w:val="24"/>
          <w:szCs w:val="24"/>
          <w:lang w:eastAsia="zh-CN"/>
        </w:rPr>
        <w:t>瞭望数据</w:t>
      </w:r>
      <w:r>
        <w:rPr>
          <w:rFonts w:hint="eastAsia" w:ascii="宋体"/>
          <w:b w:val="0"/>
          <w:bCs/>
          <w:color w:val="auto"/>
          <w:sz w:val="24"/>
          <w:szCs w:val="24"/>
        </w:rPr>
        <w:t>3路，4G移动人脸车辆布控球</w:t>
      </w:r>
      <w:r>
        <w:rPr>
          <w:rFonts w:hint="eastAsia" w:ascii="宋体"/>
          <w:b w:val="0"/>
          <w:bCs/>
          <w:color w:val="auto"/>
          <w:sz w:val="24"/>
          <w:szCs w:val="24"/>
          <w:lang w:eastAsia="zh-CN"/>
        </w:rPr>
        <w:t>服务</w:t>
      </w:r>
      <w:r>
        <w:rPr>
          <w:rFonts w:hint="eastAsia" w:ascii="宋体"/>
          <w:b w:val="0"/>
          <w:bCs/>
          <w:color w:val="auto"/>
          <w:sz w:val="24"/>
          <w:szCs w:val="24"/>
        </w:rPr>
        <w:t>10路，SIM卡码及MAC采集数据服务</w:t>
      </w:r>
      <w:r>
        <w:rPr>
          <w:rFonts w:hint="eastAsia" w:ascii="宋体"/>
          <w:b w:val="0"/>
          <w:bCs/>
          <w:color w:val="auto"/>
          <w:sz w:val="24"/>
          <w:szCs w:val="24"/>
          <w:lang w:val="en-US" w:eastAsia="zh-CN"/>
        </w:rPr>
        <w:t>40</w:t>
      </w:r>
      <w:r>
        <w:rPr>
          <w:rFonts w:hint="eastAsia" w:ascii="宋体"/>
          <w:b w:val="0"/>
          <w:bCs/>
          <w:color w:val="auto"/>
          <w:sz w:val="24"/>
          <w:szCs w:val="24"/>
        </w:rPr>
        <w:t>路</w:t>
      </w:r>
      <w:r>
        <w:rPr>
          <w:rFonts w:hint="eastAsia" w:ascii="宋体"/>
          <w:b w:val="0"/>
          <w:bCs/>
          <w:color w:val="auto"/>
          <w:sz w:val="24"/>
          <w:szCs w:val="24"/>
          <w:lang w:eastAsia="zh-CN"/>
        </w:rPr>
        <w:t>，天网视频作战侦查平台升级扩容</w:t>
      </w:r>
      <w:r>
        <w:rPr>
          <w:rFonts w:hint="eastAsia" w:ascii="宋体"/>
          <w:b w:val="0"/>
          <w:bCs/>
          <w:color w:val="auto"/>
          <w:sz w:val="24"/>
          <w:szCs w:val="24"/>
        </w:rPr>
        <w:t>服务及图像视频结构化处理二次分析平台服务各一套,</w:t>
      </w:r>
      <w:r>
        <w:rPr>
          <w:rFonts w:hint="eastAsia" w:ascii="宋体"/>
          <w:b w:val="0"/>
          <w:bCs/>
          <w:color w:val="auto"/>
          <w:sz w:val="24"/>
          <w:szCs w:val="24"/>
          <w:lang w:eastAsia="zh-CN"/>
        </w:rPr>
        <w:t>包括</w:t>
      </w:r>
      <w:r>
        <w:rPr>
          <w:rFonts w:hint="eastAsia" w:ascii="宋体"/>
          <w:b w:val="0"/>
          <w:bCs/>
          <w:color w:val="auto"/>
          <w:sz w:val="24"/>
          <w:szCs w:val="24"/>
        </w:rPr>
        <w:t>转码网关</w:t>
      </w:r>
      <w:r>
        <w:rPr>
          <w:rFonts w:hint="eastAsia" w:ascii="宋体"/>
          <w:b w:val="0"/>
          <w:bCs/>
          <w:color w:val="auto"/>
          <w:sz w:val="24"/>
          <w:szCs w:val="24"/>
          <w:lang w:eastAsia="zh-CN"/>
        </w:rPr>
        <w:t>及视频边界接入系统各</w:t>
      </w:r>
      <w:r>
        <w:rPr>
          <w:rFonts w:hint="eastAsia" w:ascii="宋体"/>
          <w:b w:val="0"/>
          <w:bCs/>
          <w:color w:val="auto"/>
          <w:sz w:val="24"/>
          <w:szCs w:val="24"/>
        </w:rPr>
        <w:t>一套</w:t>
      </w:r>
      <w:r>
        <w:rPr>
          <w:rFonts w:hint="eastAsia" w:ascii="宋体"/>
          <w:b w:val="0"/>
          <w:bCs/>
          <w:color w:val="auto"/>
          <w:sz w:val="24"/>
          <w:szCs w:val="24"/>
          <w:lang w:eastAsia="zh-CN"/>
        </w:rPr>
        <w:t>。</w:t>
      </w:r>
      <w:r>
        <w:rPr>
          <w:rFonts w:hint="eastAsia" w:ascii="宋体"/>
          <w:b w:val="0"/>
          <w:bCs/>
          <w:color w:val="auto"/>
          <w:sz w:val="24"/>
          <w:szCs w:val="24"/>
        </w:rPr>
        <w:t>区域覆盖为下各、大战、上张、双庙、朱溪、步路、官路等乡镇。</w:t>
      </w:r>
    </w:p>
    <w:p>
      <w:pPr>
        <w:widowControl/>
        <w:numPr>
          <w:ilvl w:val="0"/>
          <w:numId w:val="0"/>
        </w:numPr>
        <w:spacing w:before="60" w:after="60" w:line="360" w:lineRule="auto"/>
        <w:ind w:firstLine="482" w:firstLineChars="200"/>
        <w:jc w:val="left"/>
        <w:outlineLvl w:val="0"/>
        <w:rPr>
          <w:rFonts w:hint="eastAsia" w:ascii="宋体" w:hAnsi="宋体" w:cs="宋体"/>
          <w:b/>
          <w:color w:val="auto"/>
          <w:kern w:val="0"/>
          <w:sz w:val="24"/>
        </w:rPr>
      </w:pPr>
      <w:r>
        <w:rPr>
          <w:rFonts w:hint="eastAsia" w:ascii="宋体" w:hAnsi="宋体" w:cs="宋体"/>
          <w:b/>
          <w:color w:val="auto"/>
          <w:sz w:val="24"/>
          <w:lang w:val="en-US" w:eastAsia="zh-CN"/>
        </w:rPr>
        <w:t>标项三：</w:t>
      </w:r>
      <w:r>
        <w:rPr>
          <w:rFonts w:hint="eastAsia" w:ascii="宋体"/>
          <w:b w:val="0"/>
          <w:bCs/>
          <w:color w:val="auto"/>
          <w:sz w:val="24"/>
          <w:szCs w:val="24"/>
          <w:lang w:val="en-US" w:eastAsia="zh-CN"/>
        </w:rPr>
        <w:t>购买</w:t>
      </w:r>
      <w:r>
        <w:rPr>
          <w:rFonts w:hint="eastAsia" w:ascii="宋体"/>
          <w:b w:val="0"/>
          <w:bCs/>
          <w:color w:val="auto"/>
          <w:sz w:val="24"/>
          <w:szCs w:val="24"/>
        </w:rPr>
        <w:t xml:space="preserve"> 900W超高清智能车辆卡口数据168路,后台可切换人脸卡口及道路微卡口的自带补光视频流及人脸或微卡口数据服务582路,半球人脸卡口</w:t>
      </w:r>
      <w:r>
        <w:rPr>
          <w:rFonts w:hint="eastAsia" w:ascii="宋体"/>
          <w:b w:val="0"/>
          <w:bCs/>
          <w:color w:val="auto"/>
          <w:sz w:val="24"/>
          <w:szCs w:val="24"/>
          <w:lang w:eastAsia="zh-CN"/>
        </w:rPr>
        <w:t>服务</w:t>
      </w:r>
      <w:r>
        <w:rPr>
          <w:rFonts w:hint="eastAsia" w:ascii="宋体"/>
          <w:b w:val="0"/>
          <w:bCs/>
          <w:color w:val="auto"/>
          <w:sz w:val="24"/>
          <w:szCs w:val="24"/>
        </w:rPr>
        <w:t>2路，完全能无缝对接台州市公安局人脸比对平台系统的仙居县动态视频流人像识别比对系统数据服务6</w:t>
      </w:r>
      <w:r>
        <w:rPr>
          <w:rFonts w:hint="eastAsia" w:ascii="宋体"/>
          <w:b w:val="0"/>
          <w:bCs/>
          <w:color w:val="auto"/>
          <w:sz w:val="24"/>
          <w:szCs w:val="24"/>
          <w:lang w:val="en-US" w:eastAsia="zh-CN"/>
        </w:rPr>
        <w:t>4</w:t>
      </w:r>
      <w:r>
        <w:rPr>
          <w:rFonts w:hint="eastAsia" w:ascii="宋体"/>
          <w:b w:val="0"/>
          <w:bCs/>
          <w:color w:val="auto"/>
          <w:sz w:val="24"/>
          <w:szCs w:val="24"/>
        </w:rPr>
        <w:t>0路,区域覆盖为田市、白塔、淡竹、皤滩、埠头、横溪、湫山等乡镇。</w:t>
      </w:r>
    </w:p>
    <w:p>
      <w:pPr>
        <w:spacing w:line="360" w:lineRule="auto"/>
        <w:rPr>
          <w:rFonts w:ascii="宋体" w:hAnsi="宋体" w:cs="宋体"/>
          <w:b/>
          <w:color w:val="auto"/>
          <w:sz w:val="24"/>
        </w:rPr>
      </w:pPr>
      <w:r>
        <w:rPr>
          <w:rFonts w:hint="eastAsia" w:ascii="宋体" w:hAnsi="宋体" w:cs="宋体"/>
          <w:b/>
          <w:color w:val="auto"/>
          <w:sz w:val="24"/>
          <w:lang w:val="en-US" w:eastAsia="zh-CN"/>
        </w:rPr>
        <w:t>二、服务</w:t>
      </w:r>
      <w:r>
        <w:rPr>
          <w:rFonts w:hint="eastAsia" w:ascii="宋体" w:hAnsi="宋体" w:cs="宋体"/>
          <w:b/>
          <w:color w:val="auto"/>
          <w:sz w:val="24"/>
        </w:rPr>
        <w:t>期</w:t>
      </w:r>
      <w:r>
        <w:rPr>
          <w:rFonts w:hint="eastAsia" w:ascii="宋体" w:hAnsi="宋体" w:cs="宋体"/>
          <w:b/>
          <w:color w:val="auto"/>
          <w:sz w:val="24"/>
          <w:lang w:val="en-US" w:eastAsia="zh-CN"/>
        </w:rPr>
        <w:t>限</w:t>
      </w:r>
      <w:r>
        <w:rPr>
          <w:rFonts w:hint="eastAsia" w:ascii="宋体" w:hAnsi="宋体" w:cs="宋体"/>
          <w:b/>
          <w:color w:val="auto"/>
          <w:sz w:val="24"/>
        </w:rPr>
        <w:t>：</w:t>
      </w:r>
      <w:r>
        <w:rPr>
          <w:rFonts w:hint="eastAsia" w:ascii="宋体"/>
          <w:color w:val="auto"/>
          <w:sz w:val="24"/>
        </w:rPr>
        <w:t>项目服务合同期为三年，</w:t>
      </w:r>
      <w:r>
        <w:rPr>
          <w:rFonts w:hint="eastAsia" w:ascii="宋体"/>
          <w:color w:val="auto"/>
          <w:sz w:val="24"/>
          <w:lang w:val="en-US" w:eastAsia="zh-CN"/>
        </w:rPr>
        <w:t>鼓励供应商在服务质量不变的基础上提供更长的服务质量保证期</w:t>
      </w:r>
      <w:r>
        <w:rPr>
          <w:rFonts w:hint="eastAsia" w:ascii="宋体"/>
          <w:color w:val="auto"/>
          <w:sz w:val="24"/>
        </w:rPr>
        <w:t>。</w:t>
      </w:r>
    </w:p>
    <w:p>
      <w:pPr>
        <w:tabs>
          <w:tab w:val="left" w:pos="8280"/>
        </w:tabs>
        <w:autoSpaceDE w:val="0"/>
        <w:autoSpaceDN w:val="0"/>
        <w:adjustRightInd w:val="0"/>
        <w:spacing w:line="360" w:lineRule="auto"/>
        <w:ind w:right="25"/>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三</w:t>
      </w:r>
      <w:r>
        <w:rPr>
          <w:rFonts w:hint="eastAsia" w:ascii="宋体" w:hAnsi="宋体" w:cs="宋体"/>
          <w:b/>
          <w:color w:val="auto"/>
          <w:sz w:val="24"/>
        </w:rPr>
        <w:t>、</w:t>
      </w:r>
      <w:r>
        <w:rPr>
          <w:rFonts w:hint="eastAsia" w:ascii="宋体" w:hAnsi="宋体" w:cs="宋体"/>
          <w:b/>
          <w:color w:val="auto"/>
          <w:sz w:val="24"/>
          <w:lang w:val="en-US" w:eastAsia="zh-CN"/>
        </w:rPr>
        <w:t>服务要求</w:t>
      </w:r>
    </w:p>
    <w:bookmarkEnd w:id="248"/>
    <w:bookmarkEnd w:id="249"/>
    <w:bookmarkEnd w:id="250"/>
    <w:bookmarkEnd w:id="251"/>
    <w:bookmarkEnd w:id="252"/>
    <w:bookmarkEnd w:id="253"/>
    <w:bookmarkEnd w:id="254"/>
    <w:bookmarkEnd w:id="255"/>
    <w:bookmarkEnd w:id="256"/>
    <w:p>
      <w:pPr>
        <w:spacing w:line="360" w:lineRule="auto"/>
        <w:jc w:val="center"/>
        <w:outlineLvl w:val="0"/>
        <w:rPr>
          <w:rFonts w:hint="eastAsia" w:ascii="宋体"/>
          <w:b/>
          <w:color w:val="auto"/>
          <w:kern w:val="21"/>
          <w:sz w:val="28"/>
          <w:szCs w:val="28"/>
        </w:rPr>
      </w:pPr>
      <w:r>
        <w:rPr>
          <w:rFonts w:hint="eastAsia" w:ascii="宋体"/>
          <w:b/>
          <w:color w:val="auto"/>
          <w:kern w:val="21"/>
          <w:sz w:val="28"/>
          <w:szCs w:val="28"/>
        </w:rPr>
        <w:t>标项一</w:t>
      </w:r>
    </w:p>
    <w:p>
      <w:pPr>
        <w:pStyle w:val="3"/>
        <w:spacing w:before="60" w:after="60" w:line="360" w:lineRule="auto"/>
        <w:ind w:firstLine="482" w:firstLineChars="200"/>
        <w:rPr>
          <w:rFonts w:hint="eastAsia" w:ascii="宋体" w:hAnsi="宋体" w:eastAsia="宋体" w:cs="宋体"/>
          <w:color w:val="auto"/>
          <w:sz w:val="24"/>
          <w:szCs w:val="24"/>
        </w:rPr>
      </w:pPr>
      <w:bookmarkStart w:id="257" w:name="_Toc524531575"/>
      <w:r>
        <w:rPr>
          <w:rFonts w:hint="eastAsia" w:ascii="宋体" w:hAnsi="宋体" w:eastAsia="宋体" w:cs="宋体"/>
          <w:b/>
          <w:bCs w:val="0"/>
          <w:color w:val="auto"/>
          <w:kern w:val="2"/>
          <w:sz w:val="24"/>
          <w:szCs w:val="24"/>
          <w:lang w:val="en-US" w:eastAsia="zh-CN" w:bidi="ar-SA"/>
        </w:rPr>
        <w:t>（一）项目建设依据及技术规范</w:t>
      </w:r>
    </w:p>
    <w:p>
      <w:pPr>
        <w:snapToGrid w:val="0"/>
        <w:spacing w:line="360" w:lineRule="auto"/>
        <w:ind w:firstLine="480"/>
        <w:rPr>
          <w:rFonts w:hint="eastAsia" w:ascii="宋体"/>
          <w:color w:val="auto"/>
          <w:sz w:val="24"/>
        </w:rPr>
      </w:pPr>
      <w:r>
        <w:rPr>
          <w:rFonts w:hint="eastAsia" w:ascii="宋体"/>
          <w:color w:val="auto"/>
          <w:sz w:val="24"/>
        </w:rPr>
        <w:t>本项目建设根据《浙江省公共安全视频监控建设联网应用工作实施方案（2016-2020年）》、《浙江省公共安全视频监控建设联网应用协调工作制度》中央综治委全国“雪亮工程”推进会精神、仙居县2018-2020雪亮工程建设推进会精神、浙江省大数据管理局关于《浙江省公共安全视频图像信息共享总平台建设规范的通知》及台州市创建无盗抢城市全域智能防控的要求。</w:t>
      </w:r>
    </w:p>
    <w:p>
      <w:pPr>
        <w:snapToGrid w:val="0"/>
        <w:spacing w:line="360" w:lineRule="auto"/>
        <w:ind w:firstLine="480"/>
        <w:rPr>
          <w:rFonts w:hint="eastAsia" w:ascii="宋体"/>
          <w:color w:val="auto"/>
          <w:sz w:val="24"/>
        </w:rPr>
      </w:pPr>
      <w:r>
        <w:rPr>
          <w:rFonts w:hint="eastAsia" w:ascii="宋体"/>
          <w:color w:val="auto"/>
          <w:sz w:val="24"/>
        </w:rPr>
        <w:t>本项目建设技术规范参照执行</w:t>
      </w:r>
      <w:r>
        <w:rPr>
          <w:rFonts w:hint="eastAsia" w:ascii="宋体"/>
          <w:color w:val="auto"/>
          <w:sz w:val="24"/>
          <w:lang w:val="en-US" w:eastAsia="zh-CN"/>
        </w:rPr>
        <w:t>GB28181-2016公共安全视频监控联网系统信息传输、交换、控制技术要求，</w:t>
      </w:r>
      <w:r>
        <w:rPr>
          <w:rFonts w:hint="eastAsia" w:ascii="宋体"/>
          <w:color w:val="auto"/>
          <w:sz w:val="24"/>
        </w:rPr>
        <w:t>DB33/T502-2018《浙江省社会治安动态视频监控系统技术规范》、DB33/T629-2011标准-点位编码之接入类型码表、DB33/T 629.1-2011《跨区域视频监控联网共享技术规范》、DB33/768-2009《安全技术防范系统建设技术规范》、GA/T 751-2008视频图像文字标注规范及《浙江省公安机关人像比对应用系统技术规范》。中标供应商需遵照上述标准进行设备安装调试及按标准设置视频图像及卡口图片中的文字标识、位置格式等。</w:t>
      </w:r>
    </w:p>
    <w:p>
      <w:pPr>
        <w:pStyle w:val="3"/>
        <w:spacing w:before="60" w:after="60"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w:t>
      </w:r>
      <w:bookmarkEnd w:id="257"/>
      <w:r>
        <w:rPr>
          <w:rFonts w:hint="eastAsia" w:ascii="宋体" w:hAnsi="宋体" w:eastAsia="宋体" w:cs="宋体"/>
          <w:color w:val="auto"/>
          <w:sz w:val="24"/>
          <w:szCs w:val="24"/>
          <w:lang w:val="en-US" w:eastAsia="zh-CN"/>
        </w:rPr>
        <w:t>点位内容分布</w:t>
      </w:r>
    </w:p>
    <w:p>
      <w:pPr>
        <w:pStyle w:val="204"/>
        <w:widowControl/>
        <w:numPr>
          <w:ilvl w:val="0"/>
          <w:numId w:val="9"/>
        </w:numPr>
        <w:spacing w:before="60" w:after="60" w:line="360" w:lineRule="auto"/>
        <w:ind w:firstLine="480"/>
        <w:rPr>
          <w:rFonts w:hint="eastAsia" w:ascii="宋体" w:hAnsi="宋体" w:cs="宋体"/>
          <w:vanish/>
          <w:color w:val="auto"/>
          <w:kern w:val="0"/>
          <w:sz w:val="24"/>
          <w:szCs w:val="24"/>
        </w:rPr>
      </w:pPr>
    </w:p>
    <w:p>
      <w:pPr>
        <w:snapToGrid w:val="0"/>
        <w:spacing w:line="360" w:lineRule="auto"/>
        <w:ind w:firstLine="480"/>
        <w:rPr>
          <w:rFonts w:hint="eastAsia" w:ascii="宋体"/>
          <w:color w:val="auto"/>
          <w:sz w:val="24"/>
        </w:rPr>
      </w:pPr>
      <w:r>
        <w:rPr>
          <w:rFonts w:hint="eastAsia" w:ascii="宋体"/>
          <w:color w:val="auto"/>
          <w:sz w:val="24"/>
        </w:rPr>
        <w:t>本项目规划建设</w:t>
      </w:r>
      <w:r>
        <w:rPr>
          <w:rFonts w:hint="eastAsia" w:ascii="宋体"/>
          <w:color w:val="auto"/>
          <w:sz w:val="24"/>
          <w:lang w:eastAsia="zh-CN"/>
        </w:rPr>
        <w:t>前端</w:t>
      </w:r>
      <w:r>
        <w:rPr>
          <w:rFonts w:hint="eastAsia" w:ascii="宋体"/>
          <w:color w:val="auto"/>
          <w:sz w:val="24"/>
        </w:rPr>
        <w:t>点位221个，新增摄像头471个，其中900W卡口抓拍机251个，</w:t>
      </w:r>
      <w:r>
        <w:rPr>
          <w:rFonts w:hint="eastAsia" w:ascii="宋体"/>
          <w:color w:val="auto"/>
          <w:sz w:val="24"/>
          <w:lang w:eastAsia="zh-CN"/>
        </w:rPr>
        <w:t>星光级多功能摄像机</w:t>
      </w:r>
      <w:r>
        <w:rPr>
          <w:rFonts w:hint="eastAsia" w:ascii="宋体"/>
          <w:color w:val="auto"/>
          <w:sz w:val="24"/>
        </w:rPr>
        <w:t>217个以及人脸抓拍半球3个。范围覆盖</w:t>
      </w:r>
      <w:r>
        <w:rPr>
          <w:rFonts w:hint="eastAsia" w:ascii="宋体"/>
          <w:color w:val="auto"/>
          <w:sz w:val="24"/>
          <w:szCs w:val="24"/>
        </w:rPr>
        <w:t>福应街道、南峰街道、安洲街道三个城区街道</w:t>
      </w:r>
      <w:r>
        <w:rPr>
          <w:rFonts w:hint="eastAsia" w:ascii="宋体"/>
          <w:color w:val="auto"/>
          <w:sz w:val="24"/>
        </w:rPr>
        <w:t>。</w:t>
      </w:r>
    </w:p>
    <w:p>
      <w:pPr>
        <w:pStyle w:val="251"/>
        <w:spacing w:before="60" w:after="60" w:line="360" w:lineRule="auto"/>
        <w:ind w:firstLine="482" w:firstLineChars="200"/>
        <w:rPr>
          <w:rFonts w:hint="eastAsia" w:cs="宋体"/>
          <w:color w:val="auto"/>
          <w:sz w:val="24"/>
          <w:szCs w:val="24"/>
        </w:rPr>
      </w:pPr>
      <w:r>
        <w:rPr>
          <w:rFonts w:hint="eastAsia" w:ascii="宋体"/>
          <w:b/>
          <w:color w:val="auto"/>
          <w:sz w:val="24"/>
        </w:rPr>
        <w:t>具体分布表：详见附表一标项一点位统计表</w:t>
      </w:r>
    </w:p>
    <w:p>
      <w:pPr>
        <w:pStyle w:val="251"/>
        <w:spacing w:before="60" w:after="60" w:line="360" w:lineRule="auto"/>
        <w:ind w:firstLine="482" w:firstLineChars="200"/>
        <w:rPr>
          <w:rFonts w:hint="eastAsia" w:eastAsia="宋体" w:cs="宋体"/>
          <w:color w:val="auto"/>
          <w:sz w:val="24"/>
          <w:szCs w:val="24"/>
          <w:lang w:eastAsia="zh-CN"/>
        </w:rPr>
      </w:pPr>
      <w:r>
        <w:rPr>
          <w:rFonts w:hint="eastAsia" w:ascii="宋体"/>
          <w:b/>
          <w:color w:val="auto"/>
          <w:kern w:val="21"/>
          <w:sz w:val="24"/>
          <w:szCs w:val="24"/>
          <w:lang w:eastAsia="zh-CN"/>
        </w:rPr>
        <w:t>（</w:t>
      </w:r>
      <w:r>
        <w:rPr>
          <w:rFonts w:hint="eastAsia"/>
          <w:b/>
          <w:color w:val="auto"/>
          <w:kern w:val="21"/>
          <w:sz w:val="24"/>
          <w:szCs w:val="24"/>
          <w:lang w:val="en-US" w:eastAsia="zh-CN"/>
        </w:rPr>
        <w:t>三</w:t>
      </w:r>
      <w:r>
        <w:rPr>
          <w:rFonts w:hint="eastAsia" w:ascii="宋体"/>
          <w:b/>
          <w:color w:val="auto"/>
          <w:kern w:val="21"/>
          <w:sz w:val="24"/>
          <w:szCs w:val="24"/>
          <w:lang w:eastAsia="zh-CN"/>
        </w:rPr>
        <w:t>）</w:t>
      </w:r>
      <w:r>
        <w:rPr>
          <w:rFonts w:hint="eastAsia" w:ascii="宋体"/>
          <w:b/>
          <w:color w:val="auto"/>
          <w:kern w:val="21"/>
          <w:sz w:val="24"/>
          <w:szCs w:val="24"/>
        </w:rPr>
        <w:t>系统功能组成及要求</w:t>
      </w:r>
    </w:p>
    <w:p>
      <w:pPr>
        <w:snapToGrid w:val="0"/>
        <w:spacing w:line="360" w:lineRule="auto"/>
        <w:ind w:firstLine="480"/>
        <w:rPr>
          <w:rFonts w:hint="eastAsia" w:ascii="宋体"/>
          <w:color w:val="auto"/>
          <w:sz w:val="24"/>
        </w:rPr>
      </w:pPr>
      <w:r>
        <w:rPr>
          <w:rFonts w:hint="eastAsia" w:ascii="宋体"/>
          <w:color w:val="auto"/>
          <w:sz w:val="24"/>
        </w:rPr>
        <w:t>1、前端监控的布点安装地点、监控目标不同，视频监控资源的重要性也不同。为了有效利用警力和设备资源，工程实施单位应对已勘察前端点位进行基础开挖前的复查与核实，按重要程度不同进行分类管理和配置。</w:t>
      </w:r>
    </w:p>
    <w:p>
      <w:pPr>
        <w:snapToGrid w:val="0"/>
        <w:spacing w:line="360" w:lineRule="auto"/>
        <w:ind w:firstLine="480"/>
        <w:rPr>
          <w:rFonts w:hint="eastAsia" w:ascii="宋体"/>
          <w:color w:val="auto"/>
          <w:sz w:val="24"/>
        </w:rPr>
      </w:pPr>
      <w:r>
        <w:rPr>
          <w:rFonts w:hint="eastAsia" w:ascii="宋体"/>
          <w:color w:val="auto"/>
          <w:sz w:val="24"/>
        </w:rPr>
        <w:t>2、本项目依托已建电子政务视联网建设仙居县公共安全视频图像共享平台，形成政府职能部门共享视频图像信息的核心平台，平台纵向将视频资源推送至市级共享平台，并覆盖至县、乡镇、社区（村）三级，横向连接电子政务视联网、公安专网、以及互联网等网络，与公安共享监控平台资源互通，实现视频信息整合汇聚和共享应用，形成无</w:t>
      </w:r>
      <w:r>
        <w:rPr>
          <w:rFonts w:ascii="宋体"/>
          <w:color w:val="auto"/>
          <w:sz w:val="24"/>
        </w:rPr>
        <w:t>IP隔离区，保证国家信息安全。</w:t>
      </w:r>
      <w:r>
        <w:rPr>
          <w:rFonts w:hint="eastAsia" w:ascii="宋体"/>
          <w:color w:val="auto"/>
          <w:sz w:val="24"/>
          <w:lang w:eastAsia="zh-CN"/>
        </w:rPr>
        <w:t>可管理的前端监控点数量不小于</w:t>
      </w:r>
      <w:r>
        <w:rPr>
          <w:rFonts w:hint="eastAsia" w:ascii="宋体"/>
          <w:color w:val="auto"/>
          <w:sz w:val="24"/>
          <w:lang w:val="en-US" w:eastAsia="zh-CN"/>
        </w:rPr>
        <w:t>20000路，支持实时图像浏览并发路数不小于1000路，历史图像回放并发路数不小于200路，支持对有存储需求的视频图像进行集中存储，支持的用户数不少于1000个，并发用户数不少于200个。</w:t>
      </w:r>
    </w:p>
    <w:p>
      <w:pPr>
        <w:snapToGrid w:val="0"/>
        <w:spacing w:line="360" w:lineRule="auto"/>
        <w:ind w:firstLine="480"/>
        <w:rPr>
          <w:rFonts w:hint="eastAsia" w:ascii="宋体"/>
          <w:color w:val="auto"/>
          <w:sz w:val="24"/>
        </w:rPr>
      </w:pPr>
      <w:r>
        <w:rPr>
          <w:rFonts w:hint="eastAsia" w:ascii="宋体"/>
          <w:color w:val="auto"/>
          <w:sz w:val="24"/>
        </w:rPr>
        <w:t>3、前端视频图像采集设备到后端机房交换机之间的传输网络包括传输光缆、光转换设备、前端汇聚/分线设备、尾纤跳线等；允许投标人采用裸光纤方式或G-P</w:t>
      </w:r>
      <w:r>
        <w:rPr>
          <w:rFonts w:hint="eastAsia" w:ascii="宋体"/>
          <w:color w:val="auto"/>
          <w:sz w:val="24"/>
          <w:lang w:val="en-US" w:eastAsia="zh-CN"/>
        </w:rPr>
        <w:t>ON</w:t>
      </w:r>
      <w:r>
        <w:rPr>
          <w:rFonts w:hint="eastAsia" w:ascii="宋体"/>
          <w:color w:val="auto"/>
          <w:sz w:val="24"/>
        </w:rPr>
        <w:t>方式组网。若采用裸光纤方式组网，则要求自行增加汇聚交换机相应数量的扩展板卡来实现接口数增加。若采用G-Pon方式组网，则要求自行增加汇聚/核心交换机上的万兆光模块，以实现ONU双万兆链路互联。为保障网络稳定运行，各光纤模块应采用原厂产品。网络性能指标（网络时延、时延抖动、丢包率、包误差率）应达到</w:t>
      </w:r>
      <w:r>
        <w:rPr>
          <w:rFonts w:ascii="宋体"/>
          <w:color w:val="auto"/>
          <w:sz w:val="24"/>
        </w:rPr>
        <w:t>YD/T 1171中规定的0级服务质量等级,网络时延上限值为150ms；时延抖动上限值为50ms；丢包率上限值为1x</w:t>
      </w:r>
      <w:r>
        <w:rPr>
          <w:rFonts w:ascii="宋体"/>
          <w:color w:val="auto"/>
          <w:sz w:val="24"/>
          <w:szCs w:val="24"/>
        </w:rPr>
        <w:t>10</w:t>
      </w:r>
      <w:r>
        <w:rPr>
          <w:rFonts w:ascii="宋体"/>
          <w:color w:val="auto"/>
          <w:sz w:val="24"/>
          <w:szCs w:val="24"/>
          <w:vertAlign w:val="superscript"/>
        </w:rPr>
        <w:t>-</w:t>
      </w:r>
      <w:r>
        <w:rPr>
          <w:rFonts w:hint="eastAsia" w:ascii="宋体"/>
          <w:color w:val="auto"/>
          <w:sz w:val="24"/>
          <w:szCs w:val="24"/>
          <w:vertAlign w:val="superscript"/>
        </w:rPr>
        <w:t>3</w:t>
      </w:r>
      <w:r>
        <w:rPr>
          <w:rFonts w:ascii="宋体"/>
          <w:color w:val="auto"/>
          <w:sz w:val="24"/>
        </w:rPr>
        <w:t>；包误差率上限值为1x</w:t>
      </w:r>
      <w:r>
        <w:rPr>
          <w:rFonts w:ascii="宋体"/>
          <w:color w:val="auto"/>
          <w:sz w:val="24"/>
          <w:szCs w:val="24"/>
        </w:rPr>
        <w:t>10</w:t>
      </w:r>
      <w:r>
        <w:rPr>
          <w:rFonts w:ascii="宋体"/>
          <w:color w:val="auto"/>
          <w:sz w:val="24"/>
          <w:szCs w:val="24"/>
          <w:vertAlign w:val="superscript"/>
        </w:rPr>
        <w:t>-4</w:t>
      </w:r>
      <w:r>
        <w:rPr>
          <w:rFonts w:hint="eastAsia" w:ascii="宋体"/>
          <w:color w:val="auto"/>
          <w:sz w:val="24"/>
        </w:rPr>
        <w:t>。</w:t>
      </w:r>
    </w:p>
    <w:p>
      <w:pPr>
        <w:snapToGrid w:val="0"/>
        <w:spacing w:line="360" w:lineRule="auto"/>
        <w:ind w:firstLine="480"/>
        <w:rPr>
          <w:rFonts w:hint="eastAsia" w:ascii="宋体"/>
          <w:color w:val="auto"/>
          <w:sz w:val="24"/>
        </w:rPr>
      </w:pPr>
      <w:r>
        <w:rPr>
          <w:rFonts w:hint="eastAsia" w:ascii="宋体"/>
          <w:color w:val="auto"/>
          <w:sz w:val="24"/>
        </w:rPr>
        <w:t>4、存储设备必须能无缝与原天网平台连接，录像保存时间不少于30天，图片保存时间不少于180天。</w:t>
      </w:r>
    </w:p>
    <w:p>
      <w:pPr>
        <w:snapToGrid w:val="0"/>
        <w:spacing w:line="360" w:lineRule="auto"/>
        <w:ind w:firstLine="480"/>
        <w:rPr>
          <w:rFonts w:hint="eastAsia" w:ascii="宋体"/>
          <w:color w:val="auto"/>
          <w:sz w:val="24"/>
        </w:rPr>
      </w:pPr>
      <w:r>
        <w:rPr>
          <w:rFonts w:hint="default" w:ascii="宋体"/>
          <w:color w:val="auto"/>
          <w:sz w:val="24"/>
          <w:lang w:val="en-US"/>
        </w:rPr>
        <w:t>5</w:t>
      </w:r>
      <w:r>
        <w:rPr>
          <w:rFonts w:hint="eastAsia" w:ascii="宋体"/>
          <w:color w:val="auto"/>
          <w:sz w:val="24"/>
          <w:lang w:val="en-US" w:eastAsia="zh-CN"/>
        </w:rPr>
        <w:t>、为保证视频监控系统运维质量，建议相关设备准备充足的备品备件；根据各自不同组网方式涉及的相关设备自行配置。</w:t>
      </w:r>
    </w:p>
    <w:p>
      <w:pPr>
        <w:tabs>
          <w:tab w:val="left" w:pos="8280"/>
        </w:tabs>
        <w:autoSpaceDE w:val="0"/>
        <w:autoSpaceDN w:val="0"/>
        <w:adjustRightInd w:val="0"/>
        <w:spacing w:line="360" w:lineRule="auto"/>
        <w:ind w:right="25" w:firstLine="482" w:firstLineChars="200"/>
        <w:rPr>
          <w:rFonts w:hint="eastAsia" w:ascii="宋体"/>
          <w:b/>
          <w:color w:val="auto"/>
          <w:kern w:val="21"/>
          <w:sz w:val="24"/>
          <w:szCs w:val="24"/>
        </w:rPr>
      </w:pPr>
      <w:r>
        <w:rPr>
          <w:rFonts w:hint="eastAsia" w:ascii="宋体" w:hAnsi="宋体" w:cs="宋体"/>
          <w:b/>
          <w:color w:val="auto"/>
          <w:sz w:val="24"/>
          <w:lang w:eastAsia="zh-CN"/>
        </w:rPr>
        <w:t>（</w:t>
      </w:r>
      <w:r>
        <w:rPr>
          <w:rFonts w:hint="eastAsia" w:ascii="宋体" w:hAnsi="宋体" w:cs="宋体"/>
          <w:b/>
          <w:color w:val="auto"/>
          <w:sz w:val="24"/>
          <w:lang w:val="en-US" w:eastAsia="zh-CN"/>
        </w:rPr>
        <w:t>四</w:t>
      </w:r>
      <w:r>
        <w:rPr>
          <w:rFonts w:hint="eastAsia" w:ascii="宋体" w:hAnsi="宋体" w:cs="宋体"/>
          <w:b/>
          <w:color w:val="auto"/>
          <w:sz w:val="24"/>
          <w:lang w:eastAsia="zh-CN"/>
        </w:rPr>
        <w:t>）</w:t>
      </w:r>
      <w:r>
        <w:rPr>
          <w:rFonts w:hint="eastAsia" w:ascii="宋体"/>
          <w:b/>
          <w:bCs/>
          <w:color w:val="auto"/>
          <w:sz w:val="24"/>
          <w:lang w:eastAsia="zh-CN"/>
        </w:rPr>
        <w:t>拟投入的</w:t>
      </w:r>
      <w:r>
        <w:rPr>
          <w:rFonts w:hint="eastAsia" w:ascii="宋体"/>
          <w:b/>
          <w:bCs/>
          <w:color w:val="auto"/>
          <w:sz w:val="24"/>
          <w:lang w:val="en-US" w:eastAsia="zh-CN"/>
        </w:rPr>
        <w:t>主要</w:t>
      </w:r>
      <w:r>
        <w:rPr>
          <w:rFonts w:hint="eastAsia" w:ascii="宋体"/>
          <w:b/>
          <w:bCs/>
          <w:color w:val="auto"/>
          <w:sz w:val="24"/>
          <w:lang w:eastAsia="zh-CN"/>
        </w:rPr>
        <w:t>软硬件设备</w:t>
      </w:r>
      <w:r>
        <w:rPr>
          <w:rFonts w:hint="eastAsia" w:ascii="宋体"/>
          <w:b/>
          <w:color w:val="auto"/>
          <w:kern w:val="21"/>
          <w:sz w:val="24"/>
          <w:szCs w:val="24"/>
        </w:rPr>
        <w:t>技术参数及参考数量</w:t>
      </w:r>
    </w:p>
    <w:p>
      <w:pPr>
        <w:tabs>
          <w:tab w:val="left" w:pos="900"/>
        </w:tabs>
        <w:snapToGrid w:val="0"/>
        <w:spacing w:line="360" w:lineRule="auto"/>
        <w:ind w:firstLine="480"/>
        <w:rPr>
          <w:rFonts w:hint="eastAsia" w:ascii="宋体"/>
          <w:color w:val="auto"/>
          <w:sz w:val="24"/>
          <w:lang w:eastAsia="zh-CN"/>
        </w:rPr>
      </w:pPr>
      <w:r>
        <w:rPr>
          <w:rFonts w:hint="eastAsia" w:ascii="宋体"/>
          <w:color w:val="auto"/>
          <w:sz w:val="24"/>
          <w:lang w:eastAsia="zh-CN"/>
        </w:rPr>
        <w:t>技术参数与数量的参考表是组成整体服务项目最基本的单元，</w:t>
      </w:r>
      <w:r>
        <w:rPr>
          <w:rFonts w:hint="eastAsia" w:ascii="宋体"/>
          <w:color w:val="auto"/>
          <w:sz w:val="24"/>
        </w:rPr>
        <w:t>投标人可</w:t>
      </w:r>
      <w:r>
        <w:rPr>
          <w:rFonts w:hint="eastAsia" w:ascii="宋体"/>
          <w:color w:val="auto"/>
          <w:sz w:val="24"/>
          <w:lang w:val="en-US" w:eastAsia="zh-CN"/>
        </w:rPr>
        <w:t>按</w:t>
      </w:r>
      <w:r>
        <w:rPr>
          <w:rFonts w:hint="eastAsia" w:ascii="宋体"/>
          <w:color w:val="auto"/>
          <w:sz w:val="24"/>
        </w:rPr>
        <w:t>实际情况调整，</w:t>
      </w:r>
      <w:r>
        <w:rPr>
          <w:rFonts w:hint="eastAsia" w:ascii="宋体"/>
          <w:color w:val="auto"/>
          <w:sz w:val="24"/>
          <w:lang w:val="en-US" w:eastAsia="zh-CN"/>
        </w:rPr>
        <w:t>但</w:t>
      </w:r>
      <w:r>
        <w:rPr>
          <w:rFonts w:hint="eastAsia" w:ascii="宋体"/>
          <w:color w:val="auto"/>
          <w:sz w:val="24"/>
        </w:rPr>
        <w:t>整</w:t>
      </w:r>
      <w:r>
        <w:rPr>
          <w:rFonts w:hint="eastAsia" w:ascii="宋体"/>
          <w:color w:val="auto"/>
          <w:sz w:val="24"/>
          <w:lang w:val="en-US" w:eastAsia="zh-CN"/>
        </w:rPr>
        <w:t>体必须</w:t>
      </w:r>
      <w:r>
        <w:rPr>
          <w:rFonts w:hint="eastAsia" w:ascii="宋体"/>
          <w:color w:val="auto"/>
          <w:sz w:val="24"/>
        </w:rPr>
        <w:t>实现</w:t>
      </w:r>
      <w:r>
        <w:rPr>
          <w:rFonts w:hint="eastAsia" w:ascii="宋体"/>
          <w:color w:val="auto"/>
          <w:sz w:val="24"/>
          <w:lang w:val="en-US" w:eastAsia="zh-CN"/>
        </w:rPr>
        <w:t>项目服务目标</w:t>
      </w:r>
      <w:r>
        <w:rPr>
          <w:rFonts w:hint="eastAsia" w:ascii="宋体"/>
          <w:color w:val="auto"/>
          <w:sz w:val="24"/>
        </w:rPr>
        <w:t>，</w:t>
      </w:r>
      <w:r>
        <w:rPr>
          <w:rFonts w:hint="eastAsia" w:ascii="宋体"/>
          <w:color w:val="auto"/>
          <w:sz w:val="24"/>
          <w:lang w:eastAsia="zh-CN"/>
        </w:rPr>
        <w:t>如因所选设备无法满足人脸抓拍场景宽度或其他服务需求的自行增加设备</w:t>
      </w:r>
      <w:r>
        <w:rPr>
          <w:rFonts w:hint="eastAsia" w:ascii="宋体"/>
          <w:color w:val="auto"/>
          <w:sz w:val="24"/>
        </w:rPr>
        <w:t>并与</w:t>
      </w:r>
      <w:r>
        <w:rPr>
          <w:rFonts w:hint="eastAsia" w:ascii="宋体"/>
          <w:color w:val="auto"/>
          <w:sz w:val="24"/>
          <w:lang w:eastAsia="zh-CN"/>
        </w:rPr>
        <w:t>相关服务</w:t>
      </w:r>
      <w:r>
        <w:rPr>
          <w:rFonts w:hint="eastAsia" w:ascii="宋体"/>
          <w:color w:val="auto"/>
          <w:sz w:val="24"/>
        </w:rPr>
        <w:t>平台实现无缝对接</w:t>
      </w:r>
      <w:r>
        <w:rPr>
          <w:rFonts w:hint="eastAsia" w:ascii="宋体"/>
          <w:color w:val="auto"/>
          <w:sz w:val="24"/>
          <w:lang w:eastAsia="zh-CN"/>
        </w:rPr>
        <w:t>，</w:t>
      </w:r>
      <w:r>
        <w:rPr>
          <w:rFonts w:hint="eastAsia" w:ascii="宋体"/>
          <w:color w:val="auto"/>
          <w:sz w:val="24"/>
        </w:rPr>
        <w:t>由中标人承担相关的一切费用</w:t>
      </w:r>
      <w:r>
        <w:rPr>
          <w:rFonts w:hint="eastAsia" w:ascii="宋体"/>
          <w:color w:val="auto"/>
          <w:sz w:val="24"/>
          <w:lang w:eastAsia="zh-CN"/>
        </w:rPr>
        <w:t>；鼓励使用更先进的技术及设备提供更好的服务（需在治安复杂及智安村居小区等区域根据业主指定制作悬挂“无盗抢视频监控区域”警示牌</w:t>
      </w:r>
      <w:r>
        <w:rPr>
          <w:rFonts w:hint="eastAsia" w:ascii="宋体"/>
          <w:color w:val="auto"/>
          <w:sz w:val="24"/>
          <w:lang w:val="en-US" w:eastAsia="zh-CN"/>
        </w:rPr>
        <w:t>50个</w:t>
      </w:r>
      <w:r>
        <w:rPr>
          <w:rFonts w:hint="eastAsia" w:ascii="宋体"/>
          <w:color w:val="auto"/>
          <w:sz w:val="24"/>
          <w:lang w:eastAsia="zh-CN"/>
        </w:rPr>
        <w:t>）。</w:t>
      </w:r>
    </w:p>
    <w:p>
      <w:pPr>
        <w:tabs>
          <w:tab w:val="left" w:pos="900"/>
        </w:tabs>
        <w:snapToGrid w:val="0"/>
        <w:spacing w:line="360" w:lineRule="auto"/>
        <w:ind w:firstLine="480"/>
        <w:jc w:val="center"/>
        <w:rPr>
          <w:rFonts w:hint="eastAsia" w:ascii="宋体"/>
          <w:b/>
          <w:bCs/>
          <w:color w:val="auto"/>
          <w:sz w:val="24"/>
          <w:lang w:val="en-US" w:eastAsia="zh-CN"/>
        </w:rPr>
      </w:pPr>
      <w:r>
        <w:rPr>
          <w:rFonts w:hint="eastAsia" w:ascii="宋体"/>
          <w:b/>
          <w:bCs/>
          <w:color w:val="auto"/>
          <w:sz w:val="24"/>
          <w:lang w:val="en-US" w:eastAsia="zh-CN"/>
        </w:rPr>
        <w:t>表</w:t>
      </w:r>
      <w:r>
        <w:rPr>
          <w:rFonts w:hint="eastAsia" w:ascii="宋体"/>
          <w:b/>
          <w:bCs/>
          <w:color w:val="auto"/>
          <w:sz w:val="24"/>
          <w:lang w:eastAsia="zh-CN"/>
        </w:rPr>
        <w:t>1.拟投入的</w:t>
      </w:r>
      <w:r>
        <w:rPr>
          <w:rFonts w:hint="eastAsia" w:ascii="宋体"/>
          <w:b/>
          <w:bCs/>
          <w:color w:val="auto"/>
          <w:sz w:val="24"/>
          <w:lang w:val="en-US" w:eastAsia="zh-CN"/>
        </w:rPr>
        <w:t>主要</w:t>
      </w:r>
      <w:r>
        <w:rPr>
          <w:rFonts w:hint="eastAsia" w:ascii="宋体"/>
          <w:b/>
          <w:bCs/>
          <w:color w:val="auto"/>
          <w:sz w:val="24"/>
          <w:lang w:eastAsia="zh-CN"/>
        </w:rPr>
        <w:t>软硬件设备</w:t>
      </w:r>
      <w:r>
        <w:rPr>
          <w:rFonts w:hint="eastAsia" w:ascii="宋体"/>
          <w:b/>
          <w:bCs/>
          <w:color w:val="auto"/>
          <w:sz w:val="24"/>
          <w:lang w:val="en-US" w:eastAsia="zh-CN"/>
        </w:rPr>
        <w:t>数量</w:t>
      </w:r>
    </w:p>
    <w:tbl>
      <w:tblPr>
        <w:tblStyle w:val="39"/>
        <w:tblW w:w="0" w:type="auto"/>
        <w:tblInd w:w="0" w:type="dxa"/>
        <w:tblLayout w:type="fixed"/>
        <w:tblCellMar>
          <w:top w:w="0" w:type="dxa"/>
          <w:left w:w="0" w:type="dxa"/>
          <w:bottom w:w="0" w:type="dxa"/>
          <w:right w:w="0" w:type="dxa"/>
        </w:tblCellMar>
      </w:tblPr>
      <w:tblGrid>
        <w:gridCol w:w="732"/>
        <w:gridCol w:w="4383"/>
        <w:gridCol w:w="2137"/>
        <w:gridCol w:w="824"/>
        <w:gridCol w:w="980"/>
      </w:tblGrid>
      <w:tr>
        <w:tblPrEx>
          <w:tblCellMar>
            <w:top w:w="0" w:type="dxa"/>
            <w:left w:w="0" w:type="dxa"/>
            <w:bottom w:w="0" w:type="dxa"/>
            <w:right w:w="0" w:type="dxa"/>
          </w:tblCellMar>
        </w:tblPrEx>
        <w:trPr>
          <w:trHeight w:val="240" w:hRule="atLeast"/>
          <w:tblHead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序号</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color w:val="auto"/>
                <w:sz w:val="21"/>
                <w:szCs w:val="21"/>
              </w:rPr>
            </w:pPr>
            <w:r>
              <w:rPr>
                <w:rFonts w:hint="eastAsia" w:ascii="宋体" w:cs="宋体"/>
                <w:b/>
                <w:color w:val="auto"/>
                <w:sz w:val="21"/>
                <w:szCs w:val="21"/>
                <w:lang w:bidi="ar"/>
              </w:rPr>
              <w:t>设备名称</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color w:val="auto"/>
                <w:sz w:val="21"/>
                <w:szCs w:val="21"/>
              </w:rPr>
            </w:pPr>
            <w:r>
              <w:rPr>
                <w:rFonts w:hint="eastAsia" w:ascii="宋体" w:cs="宋体"/>
                <w:b/>
                <w:color w:val="auto"/>
                <w:sz w:val="21"/>
                <w:szCs w:val="21"/>
                <w:lang w:eastAsia="zh-CN" w:bidi="ar"/>
              </w:rPr>
              <w:t>参考</w:t>
            </w:r>
            <w:r>
              <w:rPr>
                <w:rFonts w:hint="eastAsia" w:ascii="宋体" w:cs="宋体"/>
                <w:b/>
                <w:color w:val="auto"/>
                <w:sz w:val="21"/>
                <w:szCs w:val="21"/>
                <w:lang w:bidi="ar"/>
              </w:rPr>
              <w:t>品牌</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单位</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数量</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（一）视频监控设备</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星光级</w:t>
            </w:r>
            <w:r>
              <w:rPr>
                <w:rFonts w:hint="eastAsia" w:ascii="宋体" w:cs="宋体"/>
                <w:color w:val="auto"/>
                <w:sz w:val="21"/>
                <w:szCs w:val="21"/>
                <w:lang w:val="en-US" w:eastAsia="zh-CN" w:bidi="ar"/>
              </w:rPr>
              <w:t>多功能</w:t>
            </w:r>
            <w:r>
              <w:rPr>
                <w:rFonts w:hint="eastAsia" w:ascii="宋体" w:cs="宋体"/>
                <w:color w:val="auto"/>
                <w:sz w:val="21"/>
                <w:szCs w:val="21"/>
                <w:lang w:eastAsia="zh-CN" w:bidi="ar"/>
              </w:rPr>
              <w:t>摄像机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217</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900万</w:t>
            </w:r>
            <w:r>
              <w:rPr>
                <w:rFonts w:hint="eastAsia" w:ascii="宋体" w:cs="宋体"/>
                <w:color w:val="auto"/>
                <w:sz w:val="21"/>
                <w:szCs w:val="21"/>
                <w:lang w:eastAsia="zh-CN" w:bidi="ar"/>
              </w:rPr>
              <w:t>卡口</w:t>
            </w:r>
            <w:r>
              <w:rPr>
                <w:rFonts w:hint="eastAsia" w:ascii="宋体" w:cs="宋体"/>
                <w:color w:val="auto"/>
                <w:sz w:val="21"/>
                <w:szCs w:val="21"/>
                <w:lang w:bidi="ar"/>
              </w:rPr>
              <w:t>视频抓拍机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251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人脸半球摄像机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聚光闪光灯</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502</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（二）杆件</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Y型监控杆，高6米,挑3米，挑3米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T型监控杆，高6米,挑6米，挑4米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T型监控杆，高6米,挑3米，挑3米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L型监控杆等径杆，高6米,挑3米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23</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L型监控杆等径杆，高6米,挑2米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L型监控杆等径杆，高3米,挑3米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L型监控杆等径杆，高3米,挑2米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45"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L型监控杆等径杆，高3米,挑1米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43"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L型监控杆等径杆，高5米,挑3米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43"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T型监控杆等径杆，高5米,挑3米,挑3米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壁装挑臂1M</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抱杆挑臂,挑臂3米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29</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抱杆挑臂,挑臂2米</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挑臂延伸杆-3M</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15</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预埋件(中)</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预埋件(小)</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42</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17</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接地棒</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个</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45</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42</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20</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枪机壁装支架</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借杆抱箍</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下吊支架（可升缩1-3m）</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（三）辅材</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杆件挂箱（大）</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只</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87</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杆件挂箱（小）</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只</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辅材</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国产</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项</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（四）传输设备</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一光八电</w:t>
            </w:r>
            <w:r>
              <w:rPr>
                <w:rFonts w:hint="eastAsia" w:ascii="宋体" w:cs="宋体"/>
                <w:color w:val="auto"/>
                <w:sz w:val="21"/>
                <w:szCs w:val="21"/>
                <w:lang w:bidi="ar"/>
              </w:rPr>
              <w:t>前端以太网接入设备</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89</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二</w:t>
            </w:r>
            <w:r>
              <w:rPr>
                <w:rFonts w:hint="eastAsia" w:ascii="宋体" w:cs="宋体"/>
                <w:color w:val="auto"/>
                <w:sz w:val="21"/>
                <w:szCs w:val="21"/>
                <w:lang w:eastAsia="zh-CN" w:bidi="ar"/>
              </w:rPr>
              <w:t>光八电</w:t>
            </w:r>
            <w:r>
              <w:rPr>
                <w:rFonts w:hint="eastAsia" w:ascii="宋体" w:cs="宋体"/>
                <w:color w:val="auto"/>
                <w:sz w:val="21"/>
                <w:szCs w:val="21"/>
                <w:lang w:bidi="ar"/>
              </w:rPr>
              <w:t>前端以太网接入设备</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0</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8口交换机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华三、华为、中威</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中心板卡4光1电（光口千兆电口千兆）</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23</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光端机箱</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（五）网络设备</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24口全千兆三层交换机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24口全千兆二层交换机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（六）存储设备</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机架式SSU存储机头</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立元、海康、华为</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企业级6T硬盘</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希捷、西部数据、东芝</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168</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机柜</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图腾、华丰、博华</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企业级4T硬盘</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希捷、西部数据、东芝</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400</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w:t>
            </w:r>
            <w:r>
              <w:rPr>
                <w:rFonts w:hint="eastAsia" w:ascii="宋体" w:cs="宋体"/>
                <w:color w:val="auto"/>
                <w:sz w:val="21"/>
                <w:szCs w:val="21"/>
                <w:lang w:val="en-US" w:eastAsia="zh-CN" w:bidi="ar"/>
              </w:rPr>
              <w:t>七</w:t>
            </w:r>
            <w:r>
              <w:rPr>
                <w:rFonts w:hint="eastAsia" w:ascii="宋体" w:cs="宋体"/>
                <w:color w:val="auto"/>
                <w:sz w:val="21"/>
                <w:szCs w:val="21"/>
                <w:lang w:bidi="ar"/>
              </w:rPr>
              <w:t>）仙居县雪亮工程公共安全视频图像共享平台</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视联网核心服务平台系统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4</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视联网/统一视频</w:t>
            </w:r>
            <w:r>
              <w:rPr>
                <w:rFonts w:hint="eastAsia" w:ascii="宋体" w:cs="宋体"/>
                <w:color w:val="auto"/>
                <w:sz w:val="21"/>
                <w:szCs w:val="21"/>
                <w:lang w:bidi="ar"/>
              </w:rPr>
              <w:br w:type="textWrapping"/>
            </w:r>
            <w:r>
              <w:rPr>
                <w:rFonts w:hint="eastAsia" w:ascii="宋体" w:cs="宋体"/>
                <w:color w:val="auto"/>
                <w:sz w:val="21"/>
                <w:szCs w:val="21"/>
                <w:lang w:bidi="ar"/>
              </w:rPr>
              <w:t>监控融合调度平台服务系统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72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视联网/统一视频</w:t>
            </w:r>
            <w:r>
              <w:rPr>
                <w:rFonts w:hint="eastAsia" w:ascii="宋体" w:cs="宋体"/>
                <w:color w:val="auto"/>
                <w:sz w:val="21"/>
                <w:szCs w:val="21"/>
                <w:lang w:bidi="ar"/>
              </w:rPr>
              <w:br w:type="textWrapping"/>
            </w:r>
            <w:r>
              <w:rPr>
                <w:rFonts w:hint="eastAsia" w:ascii="宋体" w:cs="宋体"/>
                <w:color w:val="auto"/>
                <w:sz w:val="21"/>
                <w:szCs w:val="21"/>
                <w:lang w:bidi="ar"/>
              </w:rPr>
              <w:t>视频监控接入服务系统</w:t>
            </w:r>
            <w:r>
              <w:rPr>
                <w:rFonts w:hint="eastAsia" w:ascii="宋体" w:cs="宋体"/>
                <w:color w:val="auto"/>
                <w:sz w:val="21"/>
                <w:szCs w:val="21"/>
                <w:lang w:bidi="ar"/>
              </w:rPr>
              <w:br w:type="textWrapping"/>
            </w:r>
            <w:r>
              <w:rPr>
                <w:rFonts w:hint="eastAsia" w:ascii="宋体" w:cs="宋体"/>
                <w:color w:val="auto"/>
                <w:sz w:val="21"/>
                <w:szCs w:val="21"/>
                <w:lang w:bidi="ar"/>
              </w:rPr>
              <w:t>（接公安平台）</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视联网/统一视频</w:t>
            </w:r>
            <w:r>
              <w:rPr>
                <w:rFonts w:hint="eastAsia" w:ascii="宋体" w:cs="宋体"/>
                <w:color w:val="auto"/>
                <w:sz w:val="21"/>
                <w:szCs w:val="21"/>
                <w:lang w:bidi="ar"/>
              </w:rPr>
              <w:br w:type="textWrapping"/>
            </w:r>
            <w:r>
              <w:rPr>
                <w:rFonts w:hint="eastAsia" w:ascii="宋体" w:cs="宋体"/>
                <w:color w:val="auto"/>
                <w:sz w:val="21"/>
                <w:szCs w:val="21"/>
                <w:lang w:bidi="ar"/>
              </w:rPr>
              <w:t>监控资源分享服务系统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GISM地理信息模块服务系统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ITAM智能标注模块服务系统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OVM融合通信模块服务系统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GVSI业务联动模块服务系统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智能大数据服务系统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智能网络服务系统</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视联动力</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48口交换机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防火墙</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边界设备-视频安全交换接入系统（万兆）</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合众、国保金泰、天行网安</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社会资源点位接入平台</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15</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通用服务器</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华为、浪潮、中科曙光</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互联网专线</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电信、移动、联通</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条</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17</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部门</w:t>
            </w:r>
            <w:r>
              <w:rPr>
                <w:rFonts w:hint="eastAsia" w:ascii="宋体" w:cs="宋体"/>
                <w:color w:val="auto"/>
                <w:sz w:val="21"/>
                <w:szCs w:val="21"/>
                <w:lang w:bidi="ar"/>
              </w:rPr>
              <w:t>资源点位接入平台</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通用服务器</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华为、浪潮、中科曙光</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48口全千兆三层交换机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20</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4端口万兆SFP Plus以太网光接口模块</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22</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24口全千兆三层交换机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23</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24</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r>
      <w:tr>
        <w:tblPrEx>
          <w:tblCellMar>
            <w:top w:w="0" w:type="dxa"/>
            <w:left w:w="0" w:type="dxa"/>
            <w:bottom w:w="0" w:type="dxa"/>
            <w:right w:w="0" w:type="dxa"/>
          </w:tblCellMar>
        </w:tblPrEx>
        <w:trPr>
          <w:trHeight w:val="279" w:hRule="atLeast"/>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25</w:t>
            </w:r>
          </w:p>
        </w:tc>
        <w:tc>
          <w:tcPr>
            <w:tcW w:w="4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24口全千兆二层交换机</w:t>
            </w:r>
          </w:p>
        </w:tc>
        <w:tc>
          <w:tcPr>
            <w:tcW w:w="2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bl>
    <w:p>
      <w:pPr>
        <w:tabs>
          <w:tab w:val="left" w:pos="8280"/>
        </w:tabs>
        <w:autoSpaceDE w:val="0"/>
        <w:autoSpaceDN w:val="0"/>
        <w:adjustRightInd w:val="0"/>
        <w:spacing w:line="360" w:lineRule="auto"/>
        <w:ind w:right="25" w:firstLine="482" w:firstLineChars="200"/>
        <w:rPr>
          <w:rFonts w:hint="eastAsia" w:ascii="宋体" w:hAnsi="宋体" w:cs="宋体"/>
          <w:b/>
          <w:color w:val="auto"/>
          <w:sz w:val="24"/>
        </w:rPr>
      </w:pPr>
    </w:p>
    <w:p>
      <w:pPr>
        <w:tabs>
          <w:tab w:val="left" w:pos="900"/>
        </w:tabs>
        <w:snapToGrid w:val="0"/>
        <w:spacing w:line="360" w:lineRule="auto"/>
        <w:ind w:firstLine="480"/>
        <w:jc w:val="center"/>
        <w:rPr>
          <w:rFonts w:hint="eastAsia" w:ascii="宋体"/>
          <w:b/>
          <w:bCs/>
          <w:color w:val="auto"/>
          <w:sz w:val="24"/>
          <w:lang w:val="en-US" w:eastAsia="zh-CN"/>
        </w:rPr>
      </w:pPr>
      <w:r>
        <w:rPr>
          <w:rFonts w:hint="eastAsia" w:ascii="宋体"/>
          <w:b/>
          <w:bCs/>
          <w:color w:val="auto"/>
          <w:sz w:val="24"/>
          <w:lang w:eastAsia="zh-CN"/>
        </w:rPr>
        <w:t>表2.拟投入的</w:t>
      </w:r>
      <w:r>
        <w:rPr>
          <w:rFonts w:hint="eastAsia" w:ascii="宋体"/>
          <w:b/>
          <w:bCs/>
          <w:color w:val="auto"/>
          <w:sz w:val="24"/>
          <w:lang w:val="en-US" w:eastAsia="zh-CN"/>
        </w:rPr>
        <w:t>主要</w:t>
      </w:r>
      <w:r>
        <w:rPr>
          <w:rFonts w:hint="eastAsia" w:ascii="宋体"/>
          <w:b/>
          <w:bCs/>
          <w:color w:val="auto"/>
          <w:sz w:val="24"/>
          <w:lang w:eastAsia="zh-CN"/>
        </w:rPr>
        <w:t>软硬件设备技术参数</w:t>
      </w:r>
      <w:r>
        <w:rPr>
          <w:rFonts w:hint="eastAsia" w:ascii="宋体"/>
          <w:b/>
          <w:bCs/>
          <w:color w:val="auto"/>
          <w:sz w:val="24"/>
          <w:lang w:val="en-US" w:eastAsia="zh-CN"/>
        </w:rPr>
        <w:t>要求</w:t>
      </w:r>
    </w:p>
    <w:tbl>
      <w:tblPr>
        <w:tblStyle w:val="39"/>
        <w:tblW w:w="0" w:type="auto"/>
        <w:tblInd w:w="0" w:type="dxa"/>
        <w:tblLayout w:type="fixed"/>
        <w:tblCellMar>
          <w:top w:w="0" w:type="dxa"/>
          <w:left w:w="0" w:type="dxa"/>
          <w:bottom w:w="0" w:type="dxa"/>
          <w:right w:w="0" w:type="dxa"/>
        </w:tblCellMar>
      </w:tblPr>
      <w:tblGrid>
        <w:gridCol w:w="724"/>
        <w:gridCol w:w="2126"/>
        <w:gridCol w:w="6202"/>
      </w:tblGrid>
      <w:tr>
        <w:tblPrEx>
          <w:tblCellMar>
            <w:top w:w="0" w:type="dxa"/>
            <w:left w:w="0" w:type="dxa"/>
            <w:bottom w:w="0" w:type="dxa"/>
            <w:right w:w="0" w:type="dxa"/>
          </w:tblCellMar>
        </w:tblPrEx>
        <w:trPr>
          <w:trHeight w:val="240" w:hRule="atLeast"/>
          <w:tblHeader/>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序号</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bottom"/>
              <w:rPr>
                <w:rFonts w:hint="eastAsia" w:ascii="宋体" w:cs="宋体"/>
                <w:b/>
                <w:color w:val="auto"/>
                <w:sz w:val="21"/>
                <w:szCs w:val="21"/>
              </w:rPr>
            </w:pPr>
            <w:r>
              <w:rPr>
                <w:rFonts w:hint="eastAsia" w:ascii="宋体" w:cs="宋体"/>
                <w:b/>
                <w:color w:val="auto"/>
                <w:sz w:val="21"/>
                <w:szCs w:val="21"/>
                <w:lang w:bidi="ar"/>
              </w:rPr>
              <w:t>设备名称</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主要技术参数</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color w:val="auto"/>
                <w:sz w:val="21"/>
                <w:szCs w:val="21"/>
              </w:rPr>
            </w:pPr>
            <w:r>
              <w:rPr>
                <w:rFonts w:hint="eastAsia" w:ascii="宋体" w:cs="宋体"/>
                <w:b/>
                <w:color w:val="auto"/>
                <w:sz w:val="21"/>
                <w:szCs w:val="21"/>
                <w:lang w:bidi="ar"/>
              </w:rPr>
              <w:t>（一）视频监控设备</w:t>
            </w:r>
          </w:p>
        </w:tc>
      </w:tr>
      <w:tr>
        <w:tblPrEx>
          <w:tblCellMar>
            <w:top w:w="0" w:type="dxa"/>
            <w:left w:w="0" w:type="dxa"/>
            <w:bottom w:w="0" w:type="dxa"/>
            <w:right w:w="0" w:type="dxa"/>
          </w:tblCellMar>
        </w:tblPrEx>
        <w:trPr>
          <w:trHeight w:val="3247"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星光级</w:t>
            </w:r>
            <w:r>
              <w:rPr>
                <w:rFonts w:hint="eastAsia" w:ascii="宋体" w:cs="宋体"/>
                <w:b w:val="0"/>
                <w:bCs/>
                <w:color w:val="auto"/>
                <w:sz w:val="21"/>
                <w:szCs w:val="21"/>
                <w:lang w:eastAsia="zh-CN" w:bidi="ar"/>
              </w:rPr>
              <w:t>多功能摄像机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lang w:eastAsia="zh-CN"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采用GPU的硬件架构，深度学习算法</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支持智能资源切换：人脸抓拍、</w:t>
            </w:r>
            <w:r>
              <w:rPr>
                <w:rFonts w:hint="eastAsia" w:ascii="宋体" w:cs="宋体"/>
                <w:b w:val="0"/>
                <w:bCs/>
                <w:color w:val="auto"/>
                <w:sz w:val="21"/>
                <w:szCs w:val="21"/>
                <w:lang w:eastAsia="zh-CN" w:bidi="ar"/>
              </w:rPr>
              <w:t>道路监控、</w:t>
            </w:r>
            <w:r>
              <w:rPr>
                <w:rFonts w:hint="eastAsia" w:ascii="宋体" w:cs="宋体"/>
                <w:b w:val="0"/>
                <w:bCs/>
                <w:color w:val="auto"/>
                <w:sz w:val="21"/>
                <w:szCs w:val="21"/>
                <w:lang w:bidi="ar"/>
              </w:rPr>
              <w:t>混合目标检测</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lang w:eastAsia="zh-CN"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传感器类型：≥1/</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"CMOS,</w:t>
            </w:r>
            <w:r>
              <w:rPr>
                <w:rFonts w:hint="eastAsia" w:ascii="宋体" w:cs="宋体"/>
                <w:b w:val="0"/>
                <w:bCs/>
                <w:color w:val="auto"/>
                <w:sz w:val="21"/>
                <w:szCs w:val="21"/>
                <w:lang w:val="en-US" w:eastAsia="zh-CN" w:bidi="ar"/>
              </w:rPr>
              <w:t>400万以上像素，</w:t>
            </w:r>
            <w:r>
              <w:rPr>
                <w:rFonts w:hint="eastAsia" w:ascii="宋体" w:cs="宋体"/>
                <w:b w:val="0"/>
                <w:bCs/>
                <w:color w:val="auto"/>
                <w:sz w:val="21"/>
                <w:szCs w:val="21"/>
                <w:lang w:bidi="ar"/>
              </w:rPr>
              <w:t>最低照度彩色：0.001 lx，黑白:0.0001 lx</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3</w:t>
            </w:r>
            <w:r>
              <w:rPr>
                <w:rFonts w:hint="eastAsia" w:ascii="宋体" w:cs="宋体"/>
                <w:b w:val="0"/>
                <w:bCs/>
                <w:color w:val="auto"/>
                <w:sz w:val="21"/>
                <w:szCs w:val="21"/>
                <w:lang w:val="en-US" w:eastAsia="zh-CN" w:bidi="ar"/>
              </w:rPr>
              <w:t>、</w:t>
            </w:r>
            <w:r>
              <w:rPr>
                <w:rFonts w:hint="eastAsia" w:ascii="宋体" w:cs="宋体"/>
                <w:b w:val="0"/>
                <w:bCs/>
                <w:color w:val="auto"/>
                <w:sz w:val="21"/>
                <w:szCs w:val="21"/>
                <w:lang w:bidi="ar"/>
              </w:rPr>
              <w:t>电动变焦镜头，</w:t>
            </w:r>
            <w:r>
              <w:rPr>
                <w:rFonts w:hint="eastAsia" w:ascii="宋体" w:cs="宋体"/>
                <w:b w:val="0"/>
                <w:bCs/>
                <w:color w:val="auto"/>
                <w:sz w:val="21"/>
                <w:szCs w:val="21"/>
                <w:lang w:eastAsia="zh-CN" w:bidi="ar"/>
              </w:rPr>
              <w:t>最大变焦</w:t>
            </w:r>
            <w:r>
              <w:rPr>
                <w:rFonts w:hint="eastAsia" w:ascii="宋体" w:cs="宋体"/>
                <w:b w:val="0"/>
                <w:bCs/>
                <w:color w:val="auto"/>
                <w:sz w:val="21"/>
                <w:szCs w:val="21"/>
                <w:lang w:bidi="ar"/>
              </w:rPr>
              <w:t>焦距≥5</w:t>
            </w:r>
            <w:r>
              <w:rPr>
                <w:rFonts w:hint="eastAsia" w:ascii="宋体" w:cs="宋体"/>
                <w:b w:val="0"/>
                <w:bCs/>
                <w:color w:val="auto"/>
                <w:sz w:val="21"/>
                <w:szCs w:val="21"/>
                <w:lang w:val="en-US" w:eastAsia="zh-CN" w:bidi="ar"/>
              </w:rPr>
              <w:t>0</w:t>
            </w:r>
            <w:r>
              <w:rPr>
                <w:rFonts w:hint="eastAsia" w:ascii="宋体" w:cs="宋体"/>
                <w:b w:val="0"/>
                <w:bCs/>
                <w:color w:val="auto"/>
                <w:sz w:val="21"/>
                <w:szCs w:val="21"/>
                <w:lang w:bidi="ar"/>
              </w:rPr>
              <w:t>mm</w:t>
            </w:r>
            <w:r>
              <w:rPr>
                <w:rFonts w:hint="eastAsia" w:ascii="宋体" w:cs="宋体"/>
                <w:b w:val="0"/>
                <w:bCs/>
                <w:color w:val="auto"/>
                <w:sz w:val="21"/>
                <w:szCs w:val="21"/>
                <w:lang w:eastAsia="zh-CN" w:bidi="ar"/>
              </w:rPr>
              <w:t>，支持平台后端控制</w:t>
            </w:r>
            <w:r>
              <w:rPr>
                <w:rFonts w:hint="eastAsia" w:ascii="宋体" w:cs="宋体"/>
                <w:b w:val="0"/>
                <w:bCs/>
                <w:color w:val="auto"/>
                <w:sz w:val="21"/>
                <w:szCs w:val="21"/>
                <w:lang w:bidi="ar"/>
              </w:rPr>
              <w:t>方便运维。</w:t>
            </w:r>
          </w:p>
          <w:p>
            <w:pPr>
              <w:widowControl/>
              <w:jc w:val="left"/>
              <w:textAlignment w:val="center"/>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4、安装在5.5至6米高度</w:t>
            </w:r>
            <w:r>
              <w:rPr>
                <w:rFonts w:hint="eastAsia" w:ascii="宋体" w:cs="宋体"/>
                <w:b w:val="0"/>
                <w:bCs/>
                <w:color w:val="auto"/>
                <w:sz w:val="21"/>
                <w:szCs w:val="21"/>
                <w:lang w:eastAsia="zh-CN" w:bidi="ar"/>
              </w:rPr>
              <w:t>人脸抓拍图片</w:t>
            </w:r>
            <w:r>
              <w:rPr>
                <w:rFonts w:hint="eastAsia" w:ascii="宋体" w:cs="宋体"/>
                <w:b w:val="0"/>
                <w:bCs/>
                <w:color w:val="auto"/>
                <w:sz w:val="21"/>
                <w:szCs w:val="21"/>
                <w:lang w:val="en-US" w:eastAsia="zh-CN" w:bidi="ar"/>
              </w:rPr>
              <w:t>符合浙江省公安厅人像像素标准，车牌抓拍识别支持三车道及以上。</w:t>
            </w:r>
          </w:p>
          <w:p>
            <w:pPr>
              <w:widowControl/>
              <w:jc w:val="left"/>
              <w:textAlignment w:val="center"/>
              <w:rPr>
                <w:rFonts w:hint="eastAsia" w:ascii="宋体" w:cs="宋体"/>
                <w:b w:val="0"/>
                <w:bCs/>
                <w:color w:val="auto"/>
                <w:sz w:val="21"/>
                <w:szCs w:val="21"/>
                <w:lang w:bidi="ar"/>
              </w:rPr>
            </w:pPr>
            <w:r>
              <w:rPr>
                <w:rFonts w:hint="eastAsia" w:ascii="宋体" w:hAnsi="宋体" w:eastAsia="宋体" w:cs="宋体"/>
                <w:b w:val="0"/>
                <w:bCs/>
                <w:color w:val="auto"/>
                <w:sz w:val="21"/>
                <w:szCs w:val="21"/>
                <w:lang w:val="en-US" w:eastAsia="zh-CN" w:bidi="ar"/>
              </w:rPr>
              <w:t>5、</w:t>
            </w:r>
            <w:r>
              <w:rPr>
                <w:rFonts w:hint="eastAsia" w:ascii="宋体" w:cs="宋体"/>
                <w:b w:val="0"/>
                <w:bCs/>
                <w:color w:val="auto"/>
                <w:sz w:val="21"/>
                <w:szCs w:val="21"/>
                <w:lang w:bidi="ar"/>
              </w:rPr>
              <w:t>人脸抓拍支持同时检测≥30张，混合目标检测：支持人脸+人体抓拍，输出最优抓拍图</w:t>
            </w:r>
            <w:r>
              <w:rPr>
                <w:rFonts w:hint="eastAsia" w:ascii="宋体" w:cs="宋体"/>
                <w:b w:val="0"/>
                <w:bCs/>
                <w:color w:val="auto"/>
                <w:sz w:val="21"/>
                <w:szCs w:val="21"/>
                <w:lang w:eastAsia="zh-CN" w:bidi="ar"/>
              </w:rPr>
              <w:t>，支持道路监控行人、车辆抓拍及车牌识别；</w:t>
            </w:r>
          </w:p>
          <w:p>
            <w:pPr>
              <w:widowControl/>
              <w:jc w:val="left"/>
              <w:textAlignment w:val="center"/>
              <w:rPr>
                <w:rFonts w:hint="eastAsia" w:ascii="宋体" w:cs="宋体"/>
                <w:b w:val="0"/>
                <w:bCs/>
                <w:color w:val="auto"/>
                <w:sz w:val="21"/>
                <w:szCs w:val="21"/>
              </w:rPr>
            </w:pPr>
            <w:r>
              <w:rPr>
                <w:rFonts w:hint="eastAsia" w:ascii="宋体" w:hAnsi="宋体" w:eastAsia="宋体" w:cs="宋体"/>
                <w:b w:val="0"/>
                <w:bCs/>
                <w:color w:val="auto"/>
                <w:sz w:val="21"/>
                <w:szCs w:val="21"/>
                <w:lang w:val="en-US" w:eastAsia="zh-CN" w:bidi="ar"/>
              </w:rPr>
              <w:t>6、</w:t>
            </w:r>
            <w:r>
              <w:rPr>
                <w:rFonts w:hint="eastAsia" w:ascii="宋体" w:cs="宋体"/>
                <w:b w:val="0"/>
                <w:bCs/>
                <w:color w:val="auto"/>
                <w:sz w:val="21"/>
                <w:szCs w:val="21"/>
                <w:lang w:bidi="ar"/>
              </w:rPr>
              <w:t>视频压缩标准：H.265/H.264 / MJPEG</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设备内置高效</w:t>
            </w:r>
            <w:r>
              <w:rPr>
                <w:rFonts w:hint="eastAsia" w:ascii="宋体" w:cs="宋体"/>
                <w:b w:val="0"/>
                <w:bCs/>
                <w:color w:val="auto"/>
                <w:sz w:val="21"/>
                <w:szCs w:val="21"/>
                <w:lang w:eastAsia="zh-CN" w:bidi="ar"/>
              </w:rPr>
              <w:t>补光</w:t>
            </w:r>
            <w:r>
              <w:rPr>
                <w:rFonts w:hint="eastAsia" w:ascii="宋体" w:cs="宋体"/>
                <w:b w:val="0"/>
                <w:bCs/>
                <w:color w:val="auto"/>
                <w:sz w:val="21"/>
                <w:szCs w:val="21"/>
                <w:lang w:bidi="ar"/>
              </w:rPr>
              <w:t>阵列灯，低功耗，无光污染，夜间能正常进行人脸</w:t>
            </w:r>
            <w:r>
              <w:rPr>
                <w:rFonts w:hint="eastAsia" w:ascii="宋体" w:cs="宋体"/>
                <w:b w:val="0"/>
                <w:bCs/>
                <w:color w:val="auto"/>
                <w:sz w:val="21"/>
                <w:szCs w:val="21"/>
                <w:lang w:eastAsia="zh-CN" w:bidi="ar"/>
              </w:rPr>
              <w:t>及车辆</w:t>
            </w:r>
            <w:r>
              <w:rPr>
                <w:rFonts w:hint="eastAsia" w:ascii="宋体" w:cs="宋体"/>
                <w:b w:val="0"/>
                <w:bCs/>
                <w:color w:val="auto"/>
                <w:sz w:val="21"/>
                <w:szCs w:val="21"/>
                <w:lang w:bidi="ar"/>
              </w:rPr>
              <w:t>抓拍</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7、</w:t>
            </w:r>
            <w:r>
              <w:rPr>
                <w:rFonts w:hint="eastAsia" w:ascii="宋体" w:cs="宋体"/>
                <w:b w:val="0"/>
                <w:bCs/>
                <w:color w:val="auto"/>
                <w:sz w:val="21"/>
                <w:szCs w:val="21"/>
                <w:lang w:bidi="ar"/>
              </w:rPr>
              <w:t>宽动态≥100dB</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防护等级：IP67</w:t>
            </w:r>
            <w:r>
              <w:rPr>
                <w:rFonts w:hint="eastAsia" w:ascii="宋体" w:cs="宋体"/>
                <w:b w:val="0"/>
                <w:bCs/>
                <w:color w:val="auto"/>
                <w:sz w:val="21"/>
                <w:szCs w:val="21"/>
                <w:lang w:eastAsia="zh-CN" w:bidi="ar"/>
              </w:rPr>
              <w:t>，含</w:t>
            </w:r>
            <w:r>
              <w:rPr>
                <w:rFonts w:hint="eastAsia" w:ascii="宋体" w:cs="宋体"/>
                <w:b w:val="0"/>
                <w:bCs/>
                <w:color w:val="auto"/>
                <w:sz w:val="21"/>
                <w:szCs w:val="21"/>
                <w:lang w:bidi="ar"/>
              </w:rPr>
              <w:t>配套电源</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31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900万</w:t>
            </w:r>
            <w:r>
              <w:rPr>
                <w:rFonts w:hint="eastAsia" w:ascii="宋体" w:cs="宋体"/>
                <w:b w:val="0"/>
                <w:bCs/>
                <w:color w:val="auto"/>
                <w:sz w:val="21"/>
                <w:szCs w:val="21"/>
                <w:lang w:eastAsia="zh-CN" w:bidi="ar"/>
              </w:rPr>
              <w:t>卡口</w:t>
            </w:r>
            <w:r>
              <w:rPr>
                <w:rFonts w:hint="eastAsia" w:ascii="宋体" w:cs="宋体"/>
                <w:b w:val="0"/>
                <w:bCs/>
                <w:color w:val="auto"/>
                <w:sz w:val="21"/>
                <w:szCs w:val="21"/>
                <w:lang w:bidi="ar"/>
              </w:rPr>
              <w:t>视频抓拍机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采用≥1" GMOS  ,900万像素</w:t>
            </w:r>
            <w:r>
              <w:rPr>
                <w:rFonts w:hint="eastAsia" w:ascii="宋体" w:cs="宋体"/>
                <w:b w:val="0"/>
                <w:bCs/>
                <w:color w:val="auto"/>
                <w:sz w:val="21"/>
                <w:szCs w:val="21"/>
                <w:lang w:eastAsia="zh-CN" w:bidi="ar"/>
              </w:rPr>
              <w:t>，最大</w:t>
            </w:r>
            <w:r>
              <w:rPr>
                <w:rFonts w:hint="eastAsia" w:ascii="宋体" w:cs="宋体"/>
                <w:b w:val="0"/>
                <w:bCs/>
                <w:color w:val="auto"/>
                <w:sz w:val="21"/>
                <w:szCs w:val="21"/>
                <w:lang w:bidi="ar"/>
              </w:rPr>
              <w:t>分辨率：4096(H)×2160(V)</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采用深度学习芯片架构，支持至少两车道车窗人脸抓拍，并自动人脸抠图</w:t>
            </w:r>
            <w:r>
              <w:rPr>
                <w:rFonts w:hint="eastAsia" w:ascii="宋体" w:cs="宋体"/>
                <w:b w:val="0"/>
                <w:bCs/>
                <w:color w:val="auto"/>
                <w:sz w:val="21"/>
                <w:szCs w:val="21"/>
                <w:lang w:eastAsia="zh-CN" w:bidi="ar"/>
              </w:rPr>
              <w:t>并叠加大图上或上传中心可选</w:t>
            </w:r>
            <w:r>
              <w:rPr>
                <w:rFonts w:hint="eastAsia" w:ascii="宋体" w:cs="宋体"/>
                <w:b w:val="0"/>
                <w:bCs/>
                <w:color w:val="auto"/>
                <w:sz w:val="21"/>
                <w:szCs w:val="21"/>
                <w:lang w:bidi="ar"/>
              </w:rPr>
              <w:t>。</w:t>
            </w:r>
          </w:p>
          <w:p>
            <w:pPr>
              <w:widowControl/>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摄像机带偏振镜、50MM高清镜头或16至50MM以上可变焦镜头、室外防护罩、内置补光灯、网络防雷器、电源适配器、安装万向节、防水软管、32G CLASS 10等，支持场景卡口图片向天网平台及人脸抠图向人脸比对平台双路同时推送。</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最低照度：彩色:0.005Lux；图片分辨率4096*2160、1600*1200、1280*720；视频压缩支持H.265、H.264、M-JPEG、MPEG4。</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支持车牌识别、视频触发、车身颜色识别、车型识别、车标识别和通行车辆信息捕获，支持闪光灯触发，图片支持前端存储，断电续传、保证链路故障时数据不丢失；支持对行人和非机动车的人脸检测功能</w:t>
            </w:r>
            <w:r>
              <w:rPr>
                <w:rFonts w:hint="eastAsia" w:ascii="宋体" w:cs="宋体"/>
                <w:b w:val="0"/>
                <w:bCs/>
                <w:color w:val="auto"/>
                <w:sz w:val="21"/>
                <w:szCs w:val="21"/>
                <w:lang w:eastAsia="zh-CN" w:bidi="ar"/>
              </w:rPr>
              <w:t>并抠</w:t>
            </w:r>
            <w:r>
              <w:rPr>
                <w:rFonts w:hint="eastAsia" w:ascii="宋体" w:cs="宋体"/>
                <w:b w:val="0"/>
                <w:bCs/>
                <w:color w:val="auto"/>
                <w:sz w:val="21"/>
                <w:szCs w:val="21"/>
                <w:lang w:bidi="ar"/>
              </w:rPr>
              <w:t>取人脸图片</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123"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人脸半球摄像机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1、</w:t>
            </w:r>
            <w:r>
              <w:rPr>
                <w:rFonts w:hint="eastAsia" w:ascii="宋体" w:cs="宋体"/>
                <w:b w:val="0"/>
                <w:bCs w:val="0"/>
                <w:color w:val="auto"/>
                <w:sz w:val="21"/>
                <w:szCs w:val="21"/>
                <w:lang w:bidi="ar"/>
              </w:rPr>
              <w:t>人脸抓拍：支持同时检测≥30张，输出最优的人脸抓图</w:t>
            </w:r>
            <w:r>
              <w:rPr>
                <w:rFonts w:hint="eastAsia" w:ascii="宋体" w:cs="宋体"/>
                <w:b w:val="0"/>
                <w:bCs w:val="0"/>
                <w:color w:val="auto"/>
                <w:sz w:val="21"/>
                <w:szCs w:val="21"/>
                <w:lang w:eastAsia="zh-CN" w:bidi="ar"/>
              </w:rPr>
              <w:t>。</w:t>
            </w:r>
          </w:p>
          <w:p>
            <w:pPr>
              <w:widowControl/>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2、</w:t>
            </w:r>
            <w:r>
              <w:rPr>
                <w:rFonts w:hint="eastAsia" w:ascii="宋体" w:cs="宋体"/>
                <w:b w:val="0"/>
                <w:bCs w:val="0"/>
                <w:color w:val="auto"/>
                <w:sz w:val="21"/>
                <w:szCs w:val="21"/>
                <w:lang w:bidi="ar"/>
              </w:rPr>
              <w:t>电动云台和一体化变焦镜头</w:t>
            </w:r>
            <w:r>
              <w:rPr>
                <w:rFonts w:hint="eastAsia" w:ascii="宋体" w:cs="宋体"/>
                <w:b w:val="0"/>
                <w:bCs w:val="0"/>
                <w:color w:val="auto"/>
                <w:sz w:val="21"/>
                <w:szCs w:val="21"/>
                <w:lang w:eastAsia="zh-CN" w:bidi="ar"/>
              </w:rPr>
              <w:t>或手动定向变焦镜头</w:t>
            </w:r>
            <w:r>
              <w:rPr>
                <w:rFonts w:hint="eastAsia" w:ascii="宋体" w:cs="宋体"/>
                <w:b w:val="0"/>
                <w:bCs w:val="0"/>
                <w:color w:val="auto"/>
                <w:sz w:val="21"/>
                <w:szCs w:val="21"/>
                <w:lang w:bidi="ar"/>
              </w:rPr>
              <w:t>，</w:t>
            </w:r>
            <w:r>
              <w:rPr>
                <w:rFonts w:hint="eastAsia" w:ascii="宋体" w:cs="宋体"/>
                <w:b w:val="0"/>
                <w:bCs w:val="0"/>
                <w:color w:val="auto"/>
                <w:sz w:val="21"/>
                <w:szCs w:val="21"/>
                <w:lang w:eastAsia="zh-CN" w:bidi="ar"/>
              </w:rPr>
              <w:t>支持天网平台后端控制</w:t>
            </w:r>
            <w:r>
              <w:rPr>
                <w:rFonts w:hint="eastAsia" w:ascii="宋体" w:cs="宋体"/>
                <w:b w:val="0"/>
                <w:bCs w:val="0"/>
                <w:color w:val="auto"/>
                <w:sz w:val="21"/>
                <w:szCs w:val="21"/>
                <w:lang w:bidi="ar"/>
              </w:rPr>
              <w:t>方便运维</w:t>
            </w:r>
            <w:r>
              <w:rPr>
                <w:rFonts w:hint="eastAsia" w:ascii="宋体" w:cs="宋体"/>
                <w:b w:val="0"/>
                <w:bCs w:val="0"/>
                <w:color w:val="auto"/>
                <w:sz w:val="21"/>
                <w:szCs w:val="21"/>
                <w:lang w:eastAsia="zh-CN" w:bidi="ar"/>
              </w:rPr>
              <w:t>，最大变焦</w:t>
            </w:r>
            <w:r>
              <w:rPr>
                <w:rFonts w:hint="eastAsia" w:ascii="宋体" w:cs="宋体"/>
                <w:b w:val="0"/>
                <w:bCs w:val="0"/>
                <w:color w:val="auto"/>
                <w:sz w:val="21"/>
                <w:szCs w:val="21"/>
                <w:lang w:bidi="ar"/>
              </w:rPr>
              <w:t>焦距≥12mm</w:t>
            </w:r>
            <w:r>
              <w:rPr>
                <w:rFonts w:hint="eastAsia" w:ascii="宋体" w:cs="宋体"/>
                <w:b w:val="0"/>
                <w:bCs w:val="0"/>
                <w:color w:val="auto"/>
                <w:sz w:val="21"/>
                <w:szCs w:val="21"/>
                <w:lang w:eastAsia="zh-CN" w:bidi="ar"/>
              </w:rPr>
              <w:t>。</w:t>
            </w:r>
          </w:p>
          <w:p>
            <w:pPr>
              <w:widowControl/>
              <w:numPr>
                <w:ilvl w:val="0"/>
                <w:numId w:val="0"/>
              </w:numPr>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传感元器件：≥1/</w:t>
            </w: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 CMOS</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val="en-US" w:eastAsia="zh-CN" w:bidi="ar"/>
              </w:rPr>
              <w:t>200万以上像素；</w:t>
            </w:r>
            <w:r>
              <w:rPr>
                <w:rFonts w:hint="eastAsia" w:ascii="宋体" w:cs="宋体"/>
                <w:b w:val="0"/>
                <w:bCs w:val="0"/>
                <w:color w:val="auto"/>
                <w:sz w:val="21"/>
                <w:szCs w:val="21"/>
                <w:lang w:bidi="ar"/>
              </w:rPr>
              <w:t>最低照度彩色不</w:t>
            </w:r>
            <w:r>
              <w:rPr>
                <w:rFonts w:hint="eastAsia" w:ascii="宋体" w:cs="宋体"/>
                <w:b w:val="0"/>
                <w:bCs w:val="0"/>
                <w:color w:val="auto"/>
                <w:sz w:val="21"/>
                <w:szCs w:val="21"/>
                <w:lang w:eastAsia="zh-CN" w:bidi="ar"/>
              </w:rPr>
              <w:t>大</w:t>
            </w:r>
            <w:r>
              <w:rPr>
                <w:rFonts w:hint="eastAsia" w:ascii="宋体" w:cs="宋体"/>
                <w:b w:val="0"/>
                <w:bCs w:val="0"/>
                <w:color w:val="auto"/>
                <w:sz w:val="21"/>
                <w:szCs w:val="21"/>
                <w:lang w:bidi="ar"/>
              </w:rPr>
              <w:t>于0.007 lx，黑白不</w:t>
            </w:r>
            <w:r>
              <w:rPr>
                <w:rFonts w:hint="eastAsia" w:ascii="宋体" w:cs="宋体"/>
                <w:b w:val="0"/>
                <w:bCs w:val="0"/>
                <w:color w:val="auto"/>
                <w:sz w:val="21"/>
                <w:szCs w:val="21"/>
                <w:lang w:eastAsia="zh-CN" w:bidi="ar"/>
              </w:rPr>
              <w:t>大</w:t>
            </w:r>
            <w:r>
              <w:rPr>
                <w:rFonts w:hint="eastAsia" w:ascii="宋体" w:cs="宋体"/>
                <w:b w:val="0"/>
                <w:bCs w:val="0"/>
                <w:color w:val="auto"/>
                <w:sz w:val="21"/>
                <w:szCs w:val="21"/>
                <w:lang w:bidi="ar"/>
              </w:rPr>
              <w:t>于0.0005 lx</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≥1</w:t>
            </w:r>
            <w:r>
              <w:rPr>
                <w:rFonts w:hint="eastAsia" w:ascii="宋体" w:cs="宋体"/>
                <w:b w:val="0"/>
                <w:bCs w:val="0"/>
                <w:color w:val="auto"/>
                <w:sz w:val="21"/>
                <w:szCs w:val="21"/>
                <w:lang w:val="en-US" w:eastAsia="zh-CN" w:bidi="ar"/>
              </w:rPr>
              <w:t>0</w:t>
            </w:r>
            <w:r>
              <w:rPr>
                <w:rFonts w:hint="eastAsia" w:ascii="宋体" w:cs="宋体"/>
                <w:b w:val="0"/>
                <w:bCs w:val="0"/>
                <w:color w:val="auto"/>
                <w:sz w:val="21"/>
                <w:szCs w:val="21"/>
                <w:lang w:bidi="ar"/>
              </w:rPr>
              <w:t>0dB超宽动态、强光抑制、电子防抖</w:t>
            </w:r>
            <w:r>
              <w:rPr>
                <w:rFonts w:hint="eastAsia" w:ascii="宋体" w:cs="宋体"/>
                <w:b w:val="0"/>
                <w:bCs w:val="0"/>
                <w:color w:val="auto"/>
                <w:sz w:val="21"/>
                <w:szCs w:val="21"/>
                <w:lang w:eastAsia="zh-CN" w:bidi="ar"/>
              </w:rPr>
              <w:t>；</w:t>
            </w:r>
          </w:p>
          <w:p>
            <w:pPr>
              <w:widowControl/>
              <w:numPr>
                <w:ilvl w:val="0"/>
                <w:numId w:val="0"/>
              </w:numPr>
              <w:jc w:val="left"/>
              <w:textAlignment w:val="center"/>
              <w:rPr>
                <w:rFonts w:hint="eastAsia" w:ascii="宋体" w:cs="宋体"/>
                <w:b w:val="0"/>
                <w:bCs/>
                <w:color w:val="auto"/>
                <w:sz w:val="21"/>
                <w:szCs w:val="21"/>
              </w:rPr>
            </w:pPr>
            <w:r>
              <w:rPr>
                <w:rFonts w:hint="eastAsia" w:ascii="宋体" w:cs="宋体"/>
                <w:b w:val="0"/>
                <w:bCs w:val="0"/>
                <w:color w:val="auto"/>
                <w:sz w:val="21"/>
                <w:szCs w:val="21"/>
                <w:lang w:val="en-US" w:eastAsia="zh-CN" w:bidi="ar"/>
              </w:rPr>
              <w:t>4、</w:t>
            </w:r>
            <w:r>
              <w:rPr>
                <w:rFonts w:hint="eastAsia" w:ascii="宋体" w:cs="宋体"/>
                <w:b w:val="0"/>
                <w:bCs w:val="0"/>
                <w:color w:val="auto"/>
                <w:sz w:val="21"/>
                <w:szCs w:val="21"/>
                <w:lang w:bidi="ar"/>
              </w:rPr>
              <w:t>防护等级:IP6</w:t>
            </w:r>
            <w:r>
              <w:rPr>
                <w:rFonts w:hint="eastAsia" w:ascii="宋体" w:cs="宋体"/>
                <w:b w:val="0"/>
                <w:bCs w:val="0"/>
                <w:color w:val="auto"/>
                <w:sz w:val="21"/>
                <w:szCs w:val="21"/>
                <w:lang w:val="en-US" w:eastAsia="zh-CN" w:bidi="ar"/>
              </w:rPr>
              <w:t>7</w:t>
            </w:r>
            <w:r>
              <w:rPr>
                <w:rFonts w:hint="eastAsia" w:ascii="宋体" w:cs="宋体"/>
                <w:b w:val="0"/>
                <w:bCs w:val="0"/>
                <w:color w:val="auto"/>
                <w:sz w:val="21"/>
                <w:szCs w:val="21"/>
                <w:lang w:bidi="ar"/>
              </w:rPr>
              <w:t>，支持IK10防暴等级</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含配套电源</w:t>
            </w:r>
            <w:r>
              <w:rPr>
                <w:rFonts w:hint="eastAsia" w:ascii="宋体" w:cs="宋体"/>
                <w:b w:val="0"/>
                <w:bCs w:val="0"/>
                <w:color w:val="auto"/>
                <w:sz w:val="21"/>
                <w:szCs w:val="21"/>
                <w:lang w:eastAsia="zh-CN" w:bidi="ar"/>
              </w:rPr>
              <w:t>。</w:t>
            </w:r>
          </w:p>
        </w:tc>
      </w:tr>
      <w:tr>
        <w:tblPrEx>
          <w:tblCellMar>
            <w:top w:w="0" w:type="dxa"/>
            <w:left w:w="0" w:type="dxa"/>
            <w:bottom w:w="0" w:type="dxa"/>
            <w:right w:w="0" w:type="dxa"/>
          </w:tblCellMar>
        </w:tblPrEx>
        <w:trPr>
          <w:trHeight w:val="14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b w:val="0"/>
                <w:bCs/>
                <w:color w:val="auto"/>
                <w:sz w:val="21"/>
                <w:szCs w:val="21"/>
                <w:lang w:eastAsia="zh-CN"/>
              </w:rPr>
            </w:pPr>
            <w:r>
              <w:rPr>
                <w:rFonts w:hint="eastAsia" w:ascii="宋体" w:cs="宋体"/>
                <w:b w:val="0"/>
                <w:bCs/>
                <w:color w:val="auto"/>
                <w:sz w:val="21"/>
                <w:szCs w:val="21"/>
                <w:lang w:val="en-US" w:eastAsia="zh-CN" w:bidi="ar"/>
              </w:rPr>
              <w:t>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聚光闪光灯</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配合抓拍机,补光距离大于25米。</w:t>
            </w:r>
          </w:p>
          <w:p>
            <w:pPr>
              <w:widowControl/>
              <w:numPr>
                <w:ilvl w:val="0"/>
                <w:numId w:val="0"/>
              </w:numPr>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技术参数：采用透镜光栅聚光，闪光能量：250J；色温：≥5500K；回电时间：＜300ms；峰值闪光持续时间：1/30ms；工作寿命：≥300万次；触发方式：电平，+5VDC；覆盖范围：大于7.5m @25m处；电压：165VAC～265VAC；频率：48Hz～52Hz；功耗：平均＜100W（@1闪/s），瞬间最大＜300W</w:t>
            </w:r>
            <w:r>
              <w:rPr>
                <w:rFonts w:hint="eastAsia" w:ascii="宋体" w:cs="宋体"/>
                <w:b w:val="0"/>
                <w:bCs/>
                <w:color w:val="auto"/>
                <w:sz w:val="21"/>
                <w:szCs w:val="21"/>
                <w:lang w:eastAsia="zh-CN" w:bidi="ar"/>
              </w:rPr>
              <w:t>。</w:t>
            </w:r>
          </w:p>
          <w:p>
            <w:pPr>
              <w:widowControl/>
              <w:numPr>
                <w:ilvl w:val="0"/>
                <w:numId w:val="0"/>
              </w:numPr>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工作环境温度：-20℃～+60℃；工作环境湿度：5%~95%@40℃，无凝结；防护等级：IP66</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color w:val="auto"/>
                <w:sz w:val="21"/>
                <w:szCs w:val="21"/>
              </w:rPr>
            </w:pPr>
            <w:r>
              <w:rPr>
                <w:rFonts w:hint="eastAsia" w:ascii="宋体" w:cs="宋体"/>
                <w:b/>
                <w:color w:val="auto"/>
                <w:sz w:val="21"/>
                <w:szCs w:val="21"/>
                <w:lang w:bidi="ar"/>
              </w:rPr>
              <w:t>（二）杆件</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Y型监控杆，高6米,挑3米，挑3米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镀锌，八角形，主杆上口φ150mm,下口φ230mm, 厚度6mm;</w:t>
            </w:r>
          </w:p>
          <w:p>
            <w:pPr>
              <w:widowControl/>
              <w:jc w:val="left"/>
              <w:textAlignment w:val="center"/>
              <w:rPr>
                <w:rFonts w:hint="eastAsia" w:ascii="宋体" w:cs="宋体"/>
                <w:color w:val="auto"/>
                <w:sz w:val="21"/>
                <w:szCs w:val="21"/>
              </w:rPr>
            </w:pPr>
            <w:r>
              <w:rPr>
                <w:rFonts w:hint="eastAsia" w:ascii="宋体" w:cs="宋体"/>
                <w:color w:val="auto"/>
                <w:sz w:val="21"/>
                <w:szCs w:val="21"/>
                <w:lang w:bidi="ar"/>
              </w:rPr>
              <w:t>副杆1、2镀锌φ114mm等径, 厚度5mm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T型监控杆，高6米,挑6米，挑4米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镀锌，八角形，主杆上口φ220mm(对角),下口φ280mm, 厚度6mm; 副杆1上口φ90mm(对角),下口φ190mm,厚度5mm；副杆2镀锌φ114mm等径, 厚度5mm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T型监控杆，高6米,挑3米，挑3米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镀锌，八角形，主杆上口φ150mm,下口φ230mm, 厚度6mm;副杆1、2镀锌φ114mm等径, 厚度5mm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L型监控杆等径杆，高6米,挑3米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5</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L型监控杆等径杆，高6米,挑2米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6</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L型监控杆等径杆，高3米,挑3米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副杆镀锌φ76mm等径,厚度4mm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7</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L型监控杆等径杆，高3米,挑2米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8</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L型监控杆等径杆，高3米,挑1米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9</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L型监控杆等径杆，高5米,挑3米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10</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T型监控杆等径杆，高5米,挑3米,挑3米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副杆镀锌φ76mm等径,厚度4mm ,副杆带有导轨。</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壁装挑臂1M</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镀锌，水平管径76mm，臂厚4mm；支撑杆管径48mm，臂厚4mm,带有导轨。</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抱杆挑臂,挑臂3米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镀锌，水平管径76mm，臂厚4mm；支撑杆管径48mm，臂厚4mm ,带有导轨。</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抱杆挑臂,挑臂2米</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镀锌，水平管径76mm，臂厚4mm；支撑杆管径48mm，臂厚4mm ,带有导轨。</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挑臂延伸杆-3M</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镀锌，水平管径50mm，臂厚3mm。</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15</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预埋件(中)</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M24*6*1200（中）</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16</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预埋件(小)</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M20*4*1000（小）</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17</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接地棒</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50*50*5镀锌角铁，长度1.5m</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18</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长1.7m</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19</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长1.5m</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20</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枪机壁装支架</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借杆抱箍</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下吊支架（可升缩1-3m）</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下挂支架，两端长0.5</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color w:val="auto"/>
                <w:sz w:val="21"/>
                <w:szCs w:val="21"/>
              </w:rPr>
            </w:pPr>
            <w:r>
              <w:rPr>
                <w:rFonts w:hint="eastAsia" w:ascii="宋体" w:cs="宋体"/>
                <w:b/>
                <w:color w:val="auto"/>
                <w:sz w:val="21"/>
                <w:szCs w:val="21"/>
                <w:lang w:bidi="ar"/>
              </w:rPr>
              <w:t>（三）辅材</w:t>
            </w:r>
          </w:p>
        </w:tc>
      </w:tr>
      <w:tr>
        <w:tblPrEx>
          <w:tblCellMar>
            <w:top w:w="0" w:type="dxa"/>
            <w:left w:w="0" w:type="dxa"/>
            <w:bottom w:w="0" w:type="dxa"/>
            <w:right w:w="0" w:type="dxa"/>
          </w:tblCellMar>
        </w:tblPrEx>
        <w:trPr>
          <w:trHeight w:val="6086"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杆件挂箱（大）</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箱体外观及结构要求:采用悬挂式安装或墙装方式。</w:t>
            </w:r>
          </w:p>
          <w:p>
            <w:pPr>
              <w:widowControl/>
              <w:numPr>
                <w:ilvl w:val="0"/>
                <w:numId w:val="10"/>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尺寸：(宽)560×(深)275×(高)580mm</w:t>
            </w:r>
            <w:r>
              <w:rPr>
                <w:rFonts w:hint="eastAsia" w:ascii="宋体" w:cs="宋体"/>
                <w:color w:val="auto"/>
                <w:sz w:val="21"/>
                <w:szCs w:val="21"/>
                <w:lang w:eastAsia="zh-CN" w:bidi="ar"/>
              </w:rPr>
              <w:t>；</w:t>
            </w:r>
            <w:r>
              <w:rPr>
                <w:rFonts w:hint="eastAsia" w:ascii="宋体" w:cs="宋体"/>
                <w:color w:val="auto"/>
                <w:sz w:val="21"/>
                <w:szCs w:val="21"/>
                <w:lang w:bidi="ar"/>
              </w:rPr>
              <w:t>厚度：箱体≥1.0mm;箱门≥1.2mm。</w:t>
            </w:r>
          </w:p>
          <w:p>
            <w:pPr>
              <w:widowControl/>
              <w:numPr>
                <w:ilvl w:val="0"/>
                <w:numId w:val="10"/>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箱体材料：采用不锈钢304或201。表面防锈处理、瓦楞纸箱包装。结构为露天防雨箱，门采用防水结构，锁采用防水全封闭式，采用遮阳顶棚，在机箱侧面下部设计了换气百叶窗，箱体顶部设置换气轴流风扇，通过温控开关实现高温时的通风换气</w:t>
            </w:r>
            <w:r>
              <w:rPr>
                <w:rFonts w:hint="eastAsia" w:ascii="宋体" w:cs="宋体"/>
                <w:color w:val="auto"/>
                <w:sz w:val="21"/>
                <w:szCs w:val="21"/>
                <w:lang w:eastAsia="zh-CN" w:bidi="ar"/>
              </w:rPr>
              <w:t>，</w:t>
            </w:r>
            <w:r>
              <w:rPr>
                <w:rFonts w:hint="eastAsia" w:ascii="宋体" w:cs="宋体"/>
                <w:color w:val="auto"/>
                <w:sz w:val="21"/>
                <w:szCs w:val="21"/>
                <w:lang w:bidi="ar"/>
              </w:rPr>
              <w:t>喷涂“公安”“</w:t>
            </w:r>
            <w:r>
              <w:rPr>
                <w:rFonts w:hint="eastAsia" w:ascii="宋体" w:cs="宋体"/>
                <w:color w:val="auto"/>
                <w:sz w:val="21"/>
                <w:szCs w:val="21"/>
                <w:lang w:eastAsia="zh-CN" w:bidi="ar"/>
              </w:rPr>
              <w:t>雪亮</w:t>
            </w:r>
            <w:r>
              <w:rPr>
                <w:rFonts w:hint="eastAsia" w:ascii="宋体" w:cs="宋体"/>
                <w:color w:val="auto"/>
                <w:sz w:val="21"/>
                <w:szCs w:val="21"/>
                <w:lang w:bidi="ar"/>
              </w:rPr>
              <w:t>工程</w:t>
            </w:r>
            <w:r>
              <w:rPr>
                <w:rFonts w:hint="eastAsia" w:ascii="宋体" w:cs="宋体"/>
                <w:color w:val="auto"/>
                <w:sz w:val="21"/>
                <w:szCs w:val="21"/>
                <w:lang w:eastAsia="zh-CN" w:bidi="ar"/>
              </w:rPr>
              <w:t>”</w:t>
            </w:r>
            <w:r>
              <w:rPr>
                <w:rFonts w:hint="eastAsia" w:ascii="宋体" w:cs="宋体"/>
                <w:color w:val="auto"/>
                <w:sz w:val="21"/>
                <w:szCs w:val="21"/>
                <w:lang w:bidi="ar"/>
              </w:rPr>
              <w:t>。</w:t>
            </w:r>
          </w:p>
          <w:p>
            <w:pPr>
              <w:widowControl/>
              <w:numPr>
                <w:ilvl w:val="0"/>
                <w:numId w:val="10"/>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箱体内强电系统:包括1个单相三插插座、1个C63/2P空开、1个C32/2P空开、3个C16/2P空开、电源避雷器、光纤盒、光纤固定脚、接地排。</w:t>
            </w:r>
          </w:p>
          <w:p>
            <w:pPr>
              <w:widowControl/>
              <w:numPr>
                <w:ilvl w:val="0"/>
                <w:numId w:val="10"/>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配电设备安装底板采用5mm绝缘板制作或镀锌喷塑板， 底板应留有各种设备的安装孔位，需安装的设备有光端机及电源、球机电源、枪机电源、防雷模块等。</w:t>
            </w:r>
          </w:p>
          <w:p>
            <w:pPr>
              <w:widowControl/>
              <w:numPr>
                <w:ilvl w:val="0"/>
                <w:numId w:val="10"/>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箱体内进出线开关（或小型断路器）和电源避雷器等强电部分和工程弱电控制部分元器件原则上要求分开排列；并要求排列整齐、美观和便于安装及维护。</w:t>
            </w:r>
          </w:p>
          <w:p>
            <w:pPr>
              <w:widowControl/>
              <w:numPr>
                <w:ilvl w:val="0"/>
                <w:numId w:val="10"/>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配套防雷器:标称工作电压：AC220V;最大持续工作电压Uc：220/275V AC;标称放电电流In：20kA;最大放电电流Imax：40kA</w:t>
            </w:r>
            <w:r>
              <w:rPr>
                <w:rFonts w:hint="eastAsia" w:ascii="宋体" w:cs="宋体"/>
                <w:color w:val="auto"/>
                <w:sz w:val="21"/>
                <w:szCs w:val="21"/>
                <w:lang w:eastAsia="zh-CN" w:bidi="ar"/>
              </w:rPr>
              <w:t>。</w:t>
            </w:r>
          </w:p>
          <w:p>
            <w:pPr>
              <w:widowControl/>
              <w:numPr>
                <w:ilvl w:val="0"/>
                <w:numId w:val="10"/>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其他要求:箱体内应装有进出线电线电缆线夹及接地</w:t>
            </w:r>
            <w:r>
              <w:rPr>
                <w:rFonts w:hint="eastAsia" w:ascii="宋体" w:cs="宋体"/>
                <w:color w:val="auto"/>
                <w:sz w:val="21"/>
                <w:szCs w:val="21"/>
                <w:lang w:eastAsia="zh-CN" w:bidi="ar"/>
              </w:rPr>
              <w:t>，</w:t>
            </w:r>
            <w:r>
              <w:rPr>
                <w:rFonts w:hint="eastAsia" w:ascii="宋体" w:cs="宋体"/>
                <w:color w:val="auto"/>
                <w:sz w:val="21"/>
                <w:szCs w:val="21"/>
                <w:lang w:bidi="ar"/>
              </w:rPr>
              <w:t>箱体外面应有公安部门专用标识和有电危险警</w:t>
            </w:r>
            <w:r>
              <w:rPr>
                <w:rFonts w:hint="eastAsia" w:ascii="宋体" w:cs="宋体"/>
                <w:color w:val="auto"/>
                <w:sz w:val="21"/>
                <w:szCs w:val="21"/>
                <w:lang w:eastAsia="zh-CN" w:bidi="ar"/>
              </w:rPr>
              <w:t>，</w:t>
            </w:r>
            <w:r>
              <w:rPr>
                <w:rFonts w:hint="eastAsia" w:ascii="宋体" w:cs="宋体"/>
                <w:color w:val="auto"/>
                <w:sz w:val="21"/>
                <w:szCs w:val="21"/>
                <w:lang w:bidi="ar"/>
              </w:rPr>
              <w:t>导线（或导电排）要求按照国家相关标准配置挂杆机箱应配备相应抱箍。紧固件表面电镀处理。</w:t>
            </w:r>
          </w:p>
        </w:tc>
      </w:tr>
      <w:tr>
        <w:tblPrEx>
          <w:tblCellMar>
            <w:top w:w="0" w:type="dxa"/>
            <w:left w:w="0" w:type="dxa"/>
            <w:bottom w:w="0" w:type="dxa"/>
            <w:right w:w="0"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杆件挂箱（小）</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箱体外观及结构要求:采用悬挂式安装或墙装方式。</w:t>
            </w:r>
          </w:p>
          <w:p>
            <w:pPr>
              <w:widowControl/>
              <w:numPr>
                <w:ilvl w:val="0"/>
                <w:numId w:val="11"/>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尺寸：(宽)320×(深)250×(高)400mm。厚度：箱体≥1.0mm;箱门≥1.2mm。</w:t>
            </w:r>
          </w:p>
          <w:p>
            <w:pPr>
              <w:widowControl/>
              <w:numPr>
                <w:ilvl w:val="0"/>
                <w:numId w:val="11"/>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材料：采用不锈钢304或201。表面防锈处理、瓦楞纸箱包装。结构为露天防雨箱，门采用防水结构，锁采用防水全封闭式，采用遮阳顶棚，在机箱侧面下部设计了换气百叶窗，箱体顶部设置换气轴流风扇，通过温控开关实现高温时的通风换气。喷涂“公安”“</w:t>
            </w:r>
            <w:r>
              <w:rPr>
                <w:rFonts w:hint="eastAsia" w:ascii="宋体" w:cs="宋体"/>
                <w:color w:val="auto"/>
                <w:sz w:val="21"/>
                <w:szCs w:val="21"/>
                <w:lang w:eastAsia="zh-CN" w:bidi="ar"/>
              </w:rPr>
              <w:t>雪亮</w:t>
            </w:r>
            <w:r>
              <w:rPr>
                <w:rFonts w:hint="eastAsia" w:ascii="宋体" w:cs="宋体"/>
                <w:color w:val="auto"/>
                <w:sz w:val="21"/>
                <w:szCs w:val="21"/>
                <w:lang w:bidi="ar"/>
              </w:rPr>
              <w:t>工程</w:t>
            </w:r>
            <w:r>
              <w:rPr>
                <w:rFonts w:hint="eastAsia" w:ascii="宋体" w:cs="宋体"/>
                <w:color w:val="auto"/>
                <w:sz w:val="21"/>
                <w:szCs w:val="21"/>
                <w:lang w:eastAsia="zh-CN" w:bidi="ar"/>
              </w:rPr>
              <w:t>”</w:t>
            </w:r>
            <w:r>
              <w:rPr>
                <w:rFonts w:hint="eastAsia" w:ascii="宋体" w:cs="宋体"/>
                <w:color w:val="auto"/>
                <w:sz w:val="21"/>
                <w:szCs w:val="21"/>
                <w:lang w:bidi="ar"/>
              </w:rPr>
              <w:t>。</w:t>
            </w:r>
          </w:p>
          <w:p>
            <w:pPr>
              <w:widowControl/>
              <w:numPr>
                <w:ilvl w:val="0"/>
                <w:numId w:val="11"/>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箱体内强电系统:包括1个单相三插插座、1个C63/2P空开、1个C32/2P空开、3个C16/2P空开、电源避雷器、光纤盒、光纤固定脚、接地排。</w:t>
            </w:r>
          </w:p>
          <w:p>
            <w:pPr>
              <w:widowControl/>
              <w:numPr>
                <w:ilvl w:val="0"/>
                <w:numId w:val="11"/>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配电设备安装底板采用5mm绝缘板制作或镀锌喷塑板， 底板应留有各种设备的安装孔位，需安装的设备有光端机及电源、球机电源、枪机电源、防雷模块等。</w:t>
            </w:r>
          </w:p>
          <w:p>
            <w:pPr>
              <w:widowControl/>
              <w:numPr>
                <w:ilvl w:val="0"/>
                <w:numId w:val="11"/>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箱体内进出线开关（或小型断路器）和电源避雷器等强电部分和工程弱电控制部分元器件原则上要求分开排列；并要求排列整齐、美观和便于安装及维护。</w:t>
            </w:r>
          </w:p>
          <w:p>
            <w:pPr>
              <w:widowControl/>
              <w:numPr>
                <w:ilvl w:val="0"/>
                <w:numId w:val="11"/>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配套防雷器:标称工作电压：AC220V;最大持续工作电压Uc：220/275V AC;标称放电电流In：20kA;最大放电电流Imax：40kA</w:t>
            </w:r>
            <w:r>
              <w:rPr>
                <w:rFonts w:hint="eastAsia" w:ascii="宋体" w:cs="宋体"/>
                <w:color w:val="auto"/>
                <w:sz w:val="21"/>
                <w:szCs w:val="21"/>
                <w:lang w:eastAsia="zh-CN" w:bidi="ar"/>
              </w:rPr>
              <w:t>。</w:t>
            </w:r>
          </w:p>
          <w:p>
            <w:pPr>
              <w:widowControl/>
              <w:numPr>
                <w:ilvl w:val="0"/>
                <w:numId w:val="11"/>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其他要求:箱体内应装有进出线电线电缆线夹及接地排</w:t>
            </w:r>
            <w:r>
              <w:rPr>
                <w:rFonts w:hint="eastAsia" w:ascii="宋体" w:cs="宋体"/>
                <w:color w:val="auto"/>
                <w:sz w:val="21"/>
                <w:szCs w:val="21"/>
                <w:lang w:eastAsia="zh-CN" w:bidi="ar"/>
              </w:rPr>
              <w:t>，</w:t>
            </w:r>
            <w:r>
              <w:rPr>
                <w:rFonts w:hint="eastAsia" w:ascii="宋体" w:cs="宋体"/>
                <w:color w:val="auto"/>
                <w:sz w:val="21"/>
                <w:szCs w:val="21"/>
                <w:lang w:bidi="ar"/>
              </w:rPr>
              <w:t>箱体外面应有公安部门专用标识和有电危险警示</w:t>
            </w:r>
            <w:r>
              <w:rPr>
                <w:rFonts w:hint="eastAsia" w:ascii="宋体" w:cs="宋体"/>
                <w:color w:val="auto"/>
                <w:sz w:val="21"/>
                <w:szCs w:val="21"/>
                <w:lang w:eastAsia="zh-CN" w:bidi="ar"/>
              </w:rPr>
              <w:t>，</w:t>
            </w:r>
            <w:r>
              <w:rPr>
                <w:rFonts w:hint="eastAsia" w:ascii="宋体" w:cs="宋体"/>
                <w:color w:val="auto"/>
                <w:sz w:val="21"/>
                <w:szCs w:val="21"/>
                <w:lang w:bidi="ar"/>
              </w:rPr>
              <w:t>导线（或导电排）要求按照国家相关标准配置挂杆机箱应配备相应抱箍</w:t>
            </w:r>
            <w:r>
              <w:rPr>
                <w:rFonts w:hint="eastAsia" w:ascii="宋体" w:cs="宋体"/>
                <w:color w:val="auto"/>
                <w:sz w:val="21"/>
                <w:szCs w:val="21"/>
                <w:lang w:eastAsia="zh-CN" w:bidi="ar"/>
              </w:rPr>
              <w:t>，</w:t>
            </w:r>
            <w:r>
              <w:rPr>
                <w:rFonts w:hint="eastAsia" w:ascii="宋体" w:cs="宋体"/>
                <w:color w:val="auto"/>
                <w:sz w:val="21"/>
                <w:szCs w:val="21"/>
                <w:lang w:bidi="ar"/>
              </w:rPr>
              <w:t>紧固件表面电镀处理。</w:t>
            </w:r>
          </w:p>
        </w:tc>
      </w:tr>
      <w:tr>
        <w:tblPrEx>
          <w:tblCellMar>
            <w:top w:w="0" w:type="dxa"/>
            <w:left w:w="0" w:type="dxa"/>
            <w:bottom w:w="0" w:type="dxa"/>
            <w:right w:w="0" w:type="dxa"/>
          </w:tblCellMar>
        </w:tblPrEx>
        <w:trPr>
          <w:trHeight w:val="684"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辅材</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PVC管、室外超五类网线、国标RVV3*1.0电源线、水晶头及六类网线等施工必备所有辅材</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b/>
                <w:color w:val="auto"/>
                <w:sz w:val="21"/>
                <w:szCs w:val="21"/>
              </w:rPr>
            </w:pPr>
            <w:r>
              <w:rPr>
                <w:rFonts w:hint="eastAsia" w:ascii="宋体" w:cs="宋体"/>
                <w:b/>
                <w:color w:val="auto"/>
                <w:sz w:val="21"/>
                <w:szCs w:val="21"/>
                <w:lang w:bidi="ar"/>
              </w:rPr>
              <w:t>（四）传输设备</w:t>
            </w:r>
          </w:p>
        </w:tc>
      </w:tr>
      <w:tr>
        <w:tblPrEx>
          <w:tblCellMar>
            <w:top w:w="0" w:type="dxa"/>
            <w:left w:w="0" w:type="dxa"/>
            <w:bottom w:w="0" w:type="dxa"/>
            <w:right w:w="0" w:type="dxa"/>
          </w:tblCellMar>
        </w:tblPrEx>
        <w:trPr>
          <w:trHeight w:val="10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一光八电</w:t>
            </w:r>
            <w:r>
              <w:rPr>
                <w:rFonts w:hint="eastAsia" w:ascii="宋体" w:cs="宋体"/>
                <w:color w:val="auto"/>
                <w:sz w:val="21"/>
                <w:szCs w:val="21"/>
                <w:lang w:bidi="ar"/>
              </w:rPr>
              <w:t xml:space="preserve">前端以太网接入设备                      </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独立式1个千兆光口8个千兆电口。</w:t>
            </w:r>
          </w:p>
          <w:p>
            <w:pPr>
              <w:widowControl/>
              <w:numPr>
                <w:ilvl w:val="0"/>
                <w:numId w:val="12"/>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光模块支持热插拔，采用全SFP模块设计，可灵活选择不同公里数设计配置；光接收灵敏度：≤-28dBm，传输距离20KM/40KM，光口带宽1.25Gbps,单纤单模传输；</w:t>
            </w:r>
          </w:p>
          <w:p>
            <w:pPr>
              <w:widowControl/>
              <w:numPr>
                <w:ilvl w:val="0"/>
                <w:numId w:val="12"/>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无风扇可在75℃以上恶劣工作环境温度下可靠工作；电源3级EMC保护，端口防雷设计，电口能通过接触±7KV、间隙±9KV静电测试，±4KV浪涌测试；无故障时间大于100000h。</w:t>
            </w:r>
          </w:p>
        </w:tc>
      </w:tr>
      <w:tr>
        <w:tblPrEx>
          <w:tblCellMar>
            <w:top w:w="0" w:type="dxa"/>
            <w:left w:w="0" w:type="dxa"/>
            <w:bottom w:w="0" w:type="dxa"/>
            <w:right w:w="0" w:type="dxa"/>
          </w:tblCellMar>
        </w:tblPrEx>
        <w:trPr>
          <w:trHeight w:val="106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cs="宋体"/>
                <w:color w:val="auto"/>
                <w:sz w:val="21"/>
                <w:szCs w:val="21"/>
              </w:rPr>
            </w:pPr>
            <w:r>
              <w:rPr>
                <w:rFonts w:hint="eastAsia" w:ascii="宋体" w:cs="宋体"/>
                <w:color w:val="auto"/>
                <w:sz w:val="21"/>
                <w:szCs w:val="21"/>
                <w:lang w:eastAsia="zh-CN" w:bidi="ar"/>
              </w:rPr>
              <w:t>二光八电</w:t>
            </w:r>
            <w:r>
              <w:rPr>
                <w:rFonts w:hint="eastAsia" w:ascii="宋体" w:cs="宋体"/>
                <w:color w:val="auto"/>
                <w:sz w:val="21"/>
                <w:szCs w:val="21"/>
                <w:lang w:bidi="ar"/>
              </w:rPr>
              <w:t>前端以太网接入设备</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独立式2个千兆光口8个千兆电口。</w:t>
            </w:r>
          </w:p>
          <w:p>
            <w:pPr>
              <w:widowControl/>
              <w:numPr>
                <w:ilvl w:val="0"/>
                <w:numId w:val="13"/>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光模块支持热插拔，采用全SFP模块设计，可灵活选择不同公里数设计配置；光接收灵敏度：≤-28dBm，传输距离20KM/40KM，采用单纤单模传输</w:t>
            </w:r>
            <w:r>
              <w:rPr>
                <w:rFonts w:hint="eastAsia" w:ascii="宋体" w:cs="宋体"/>
                <w:color w:val="auto"/>
                <w:sz w:val="21"/>
                <w:szCs w:val="21"/>
                <w:lang w:eastAsia="zh-CN" w:bidi="ar"/>
              </w:rPr>
              <w:t>。</w:t>
            </w:r>
          </w:p>
          <w:p>
            <w:pPr>
              <w:widowControl/>
              <w:numPr>
                <w:ilvl w:val="0"/>
                <w:numId w:val="13"/>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无风扇可在75℃以上恶劣工作环境温度下可靠工作；电源3级EMC保护，端口防雷设计， 每秒包转发数 148800PPS, 端口吞吐量1000M。</w:t>
            </w:r>
          </w:p>
        </w:tc>
      </w:tr>
      <w:tr>
        <w:tblPrEx>
          <w:tblCellMar>
            <w:top w:w="0" w:type="dxa"/>
            <w:left w:w="0" w:type="dxa"/>
            <w:bottom w:w="0" w:type="dxa"/>
            <w:right w:w="0" w:type="dxa"/>
          </w:tblCellMar>
        </w:tblPrEx>
        <w:trPr>
          <w:trHeight w:val="3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8口交换机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工业级</w:t>
            </w:r>
            <w:r>
              <w:rPr>
                <w:rFonts w:hint="eastAsia" w:ascii="宋体" w:cs="宋体"/>
                <w:color w:val="auto"/>
                <w:sz w:val="21"/>
                <w:szCs w:val="21"/>
                <w:lang w:bidi="ar"/>
              </w:rPr>
              <w:t>8口全千兆交换机</w:t>
            </w:r>
          </w:p>
        </w:tc>
      </w:tr>
      <w:tr>
        <w:tblPrEx>
          <w:tblCellMar>
            <w:top w:w="0" w:type="dxa"/>
            <w:left w:w="0" w:type="dxa"/>
            <w:bottom w:w="0" w:type="dxa"/>
            <w:right w:w="0" w:type="dxa"/>
          </w:tblCellMar>
        </w:tblPrEx>
        <w:trPr>
          <w:trHeight w:val="8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中心板卡4光1电（光口千兆电口千兆）</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中心机房为标准的19英寸子框架沟，配置双电源，光口带宽1.25Gbps，SFP插拔式光模块，单模单纤传输；</w:t>
            </w:r>
          </w:p>
          <w:p>
            <w:pPr>
              <w:widowControl/>
              <w:numPr>
                <w:ilvl w:val="0"/>
                <w:numId w:val="1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无故障时间大于100000h;传输距离可选择20km,40km，80km型号。</w:t>
            </w:r>
          </w:p>
          <w:p>
            <w:pPr>
              <w:widowControl/>
              <w:numPr>
                <w:ilvl w:val="0"/>
                <w:numId w:val="1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每块板汇聚4个100/1000M自适应光口-1个10/100/1000M自适应电口。</w:t>
            </w:r>
          </w:p>
        </w:tc>
      </w:tr>
      <w:tr>
        <w:tblPrEx>
          <w:tblCellMar>
            <w:top w:w="0" w:type="dxa"/>
            <w:left w:w="0" w:type="dxa"/>
            <w:bottom w:w="0" w:type="dxa"/>
            <w:right w:w="0" w:type="dxa"/>
          </w:tblCellMar>
        </w:tblPrEx>
        <w:trPr>
          <w:trHeight w:val="6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光端机箱</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需可上19英寸标准机架(各投标供应商根据技术自行配置)，可插15张以上板卡。使用直流48V电源或220V交流电输入；双电源供电模式；铝金结构；可利用光纤接入数&gt;=60个。</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b/>
                <w:color w:val="auto"/>
                <w:sz w:val="21"/>
                <w:szCs w:val="21"/>
              </w:rPr>
            </w:pPr>
            <w:r>
              <w:rPr>
                <w:rFonts w:hint="eastAsia" w:ascii="宋体" w:cs="宋体"/>
                <w:b/>
                <w:color w:val="auto"/>
                <w:sz w:val="21"/>
                <w:szCs w:val="21"/>
                <w:lang w:bidi="ar"/>
              </w:rPr>
              <w:t>（五）网络设备</w:t>
            </w:r>
          </w:p>
        </w:tc>
      </w:tr>
      <w:tr>
        <w:tblPrEx>
          <w:tblCellMar>
            <w:top w:w="0" w:type="dxa"/>
            <w:left w:w="0" w:type="dxa"/>
            <w:bottom w:w="0" w:type="dxa"/>
            <w:right w:w="0" w:type="dxa"/>
          </w:tblCellMar>
        </w:tblPrEx>
        <w:trPr>
          <w:trHeight w:val="3089"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24口全千兆三层交换机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bidi="ar"/>
              </w:rPr>
              <w:t>▲</w:t>
            </w:r>
            <w:r>
              <w:rPr>
                <w:rFonts w:hint="eastAsia" w:ascii="宋体" w:cs="Arial"/>
                <w:color w:val="auto"/>
                <w:sz w:val="21"/>
                <w:szCs w:val="21"/>
                <w:lang w:val="en-US" w:eastAsia="zh-CN" w:bidi="ar"/>
              </w:rPr>
              <w:t>1、</w:t>
            </w:r>
            <w:r>
              <w:rPr>
                <w:rFonts w:hint="eastAsia" w:ascii="宋体" w:cs="Arial"/>
                <w:color w:val="auto"/>
                <w:sz w:val="21"/>
                <w:szCs w:val="21"/>
                <w:lang w:bidi="ar"/>
              </w:rPr>
              <w:t>设备性能：交换容量≥5.9</w:t>
            </w:r>
            <w:r>
              <w:rPr>
                <w:rFonts w:ascii="宋体" w:cs="Arial"/>
                <w:color w:val="auto"/>
                <w:sz w:val="21"/>
                <w:szCs w:val="21"/>
                <w:lang w:bidi="ar"/>
              </w:rPr>
              <w:t>0</w:t>
            </w:r>
            <w:r>
              <w:rPr>
                <w:rFonts w:hint="eastAsia" w:ascii="宋体" w:cs="Arial"/>
                <w:color w:val="auto"/>
                <w:sz w:val="21"/>
                <w:szCs w:val="21"/>
                <w:lang w:bidi="ar"/>
              </w:rPr>
              <w:t>Tbps，转发性能≥22</w:t>
            </w:r>
            <w:r>
              <w:rPr>
                <w:rFonts w:ascii="宋体" w:cs="Arial"/>
                <w:color w:val="auto"/>
                <w:sz w:val="21"/>
                <w:szCs w:val="21"/>
                <w:lang w:bidi="ar"/>
              </w:rPr>
              <w:t>0</w:t>
            </w:r>
            <w:r>
              <w:rPr>
                <w:rFonts w:hint="eastAsia" w:ascii="宋体" w:cs="Arial"/>
                <w:color w:val="auto"/>
                <w:sz w:val="21"/>
                <w:szCs w:val="21"/>
                <w:lang w:bidi="ar"/>
              </w:rPr>
              <w:t>Mpps</w:t>
            </w:r>
            <w:r>
              <w:rPr>
                <w:rFonts w:hint="eastAsia" w:ascii="宋体" w:cs="Arial"/>
                <w:color w:val="auto"/>
                <w:sz w:val="21"/>
                <w:szCs w:val="21"/>
                <w:lang w:eastAsia="zh-CN" w:bidi="ar"/>
              </w:rPr>
              <w:t>，</w:t>
            </w:r>
            <w:r>
              <w:rPr>
                <w:rFonts w:hint="eastAsia" w:ascii="宋体" w:cs="Arial"/>
                <w:color w:val="auto"/>
                <w:sz w:val="21"/>
                <w:szCs w:val="21"/>
                <w:lang w:bidi="ar"/>
              </w:rPr>
              <w:t>模块化双电源</w:t>
            </w:r>
            <w:r>
              <w:rPr>
                <w:rFonts w:hint="eastAsia" w:ascii="宋体" w:cs="Arial"/>
                <w:color w:val="auto"/>
                <w:sz w:val="21"/>
                <w:szCs w:val="21"/>
                <w:lang w:eastAsia="zh-CN" w:bidi="ar"/>
              </w:rPr>
              <w:t>，</w:t>
            </w:r>
            <w:r>
              <w:rPr>
                <w:rFonts w:hint="eastAsia" w:ascii="宋体" w:cs="Arial"/>
                <w:color w:val="auto"/>
                <w:sz w:val="21"/>
                <w:szCs w:val="21"/>
                <w:lang w:bidi="ar"/>
              </w:rPr>
              <w:t>模块化双风扇，前/后通风，</w:t>
            </w:r>
            <w:r>
              <w:rPr>
                <w:rFonts w:hint="eastAsia" w:ascii="宋体" w:cs="Arial"/>
                <w:color w:val="auto"/>
                <w:sz w:val="21"/>
                <w:szCs w:val="21"/>
                <w:lang w:val="en-US" w:eastAsia="zh-CN" w:bidi="ar"/>
              </w:rPr>
              <w:t>24个</w:t>
            </w:r>
            <w:r>
              <w:rPr>
                <w:rFonts w:ascii="宋体" w:cs="Arial"/>
                <w:color w:val="auto"/>
                <w:sz w:val="21"/>
                <w:szCs w:val="21"/>
                <w:lang w:bidi="ar"/>
              </w:rPr>
              <w:t>10/100/1000Base-T自适应以太网端口（</w:t>
            </w:r>
            <w:r>
              <w:rPr>
                <w:rFonts w:hint="eastAsia" w:ascii="宋体" w:cs="Arial"/>
                <w:color w:val="auto"/>
                <w:sz w:val="21"/>
                <w:szCs w:val="21"/>
                <w:lang w:val="en-US" w:eastAsia="zh-CN" w:bidi="ar"/>
              </w:rPr>
              <w:t>4个以上</w:t>
            </w:r>
            <w:r>
              <w:rPr>
                <w:rFonts w:ascii="宋体" w:cs="Arial"/>
                <w:color w:val="auto"/>
                <w:sz w:val="21"/>
                <w:szCs w:val="21"/>
                <w:lang w:bidi="ar"/>
              </w:rPr>
              <w:t>combo口），4个万兆SFP+口</w:t>
            </w:r>
            <w:r>
              <w:rPr>
                <w:rFonts w:hint="eastAsia" w:ascii="宋体" w:cs="Arial"/>
                <w:color w:val="auto"/>
                <w:sz w:val="21"/>
                <w:szCs w:val="21"/>
                <w:lang w:bidi="ar"/>
              </w:rPr>
              <w:t>，1个扩展插槽</w:t>
            </w:r>
            <w:r>
              <w:rPr>
                <w:rFonts w:hint="eastAsia" w:ascii="宋体" w:cs="Arial"/>
                <w:color w:val="auto"/>
                <w:sz w:val="21"/>
                <w:szCs w:val="21"/>
                <w:lang w:eastAsia="zh-CN" w:bidi="ar"/>
              </w:rPr>
              <w:t>。</w:t>
            </w:r>
          </w:p>
          <w:p>
            <w:pPr>
              <w:numPr>
                <w:ilvl w:val="0"/>
                <w:numId w:val="0"/>
              </w:num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val="en-US" w:eastAsia="zh-CN" w:bidi="ar"/>
              </w:rPr>
              <w:t>2、</w:t>
            </w:r>
            <w:r>
              <w:rPr>
                <w:rFonts w:hint="eastAsia" w:ascii="宋体" w:cs="Arial"/>
                <w:color w:val="auto"/>
                <w:sz w:val="21"/>
                <w:szCs w:val="21"/>
                <w:lang w:bidi="ar"/>
              </w:rPr>
              <w:t>性能指标：</w:t>
            </w:r>
            <w:r>
              <w:rPr>
                <w:rFonts w:hint="eastAsia" w:ascii="宋体" w:cs="Arial"/>
                <w:color w:val="auto"/>
                <w:sz w:val="21"/>
                <w:szCs w:val="21"/>
                <w:lang w:eastAsia="zh-CN" w:bidi="ar"/>
              </w:rPr>
              <w:t>支持三层交换技术。</w:t>
            </w:r>
          </w:p>
          <w:p>
            <w:pPr>
              <w:numPr>
                <w:ilvl w:val="0"/>
                <w:numId w:val="0"/>
              </w:numPr>
              <w:spacing w:line="360" w:lineRule="atLeast"/>
              <w:jc w:val="left"/>
              <w:textAlignment w:val="baseline"/>
              <w:rPr>
                <w:rFonts w:ascii="宋体" w:cs="Arial"/>
                <w:color w:val="auto"/>
                <w:sz w:val="21"/>
                <w:szCs w:val="21"/>
                <w:lang w:bidi="ar"/>
              </w:rPr>
            </w:pPr>
            <w:r>
              <w:rPr>
                <w:rFonts w:hint="eastAsia" w:ascii="宋体" w:cs="Arial"/>
                <w:color w:val="auto"/>
                <w:sz w:val="21"/>
                <w:szCs w:val="21"/>
                <w:lang w:val="en-US" w:eastAsia="zh-CN" w:bidi="ar"/>
              </w:rPr>
              <w:t>3、</w:t>
            </w:r>
            <w:r>
              <w:rPr>
                <w:rFonts w:hint="eastAsia" w:ascii="宋体" w:cs="Arial"/>
                <w:color w:val="auto"/>
                <w:sz w:val="21"/>
                <w:szCs w:val="21"/>
                <w:lang w:bidi="ar"/>
              </w:rPr>
              <w:t>路由协议：支持IPv4静态路由、RIP V1/V2、OSPF、BGP；</w:t>
            </w:r>
          </w:p>
          <w:p>
            <w:pPr>
              <w:rPr>
                <w:rFonts w:ascii="宋体" w:cs="Arial"/>
                <w:color w:val="auto"/>
                <w:sz w:val="21"/>
                <w:szCs w:val="21"/>
                <w:lang w:bidi="ar"/>
              </w:rPr>
            </w:pPr>
            <w:r>
              <w:rPr>
                <w:rFonts w:hint="eastAsia" w:ascii="宋体" w:cs="Arial"/>
                <w:color w:val="auto"/>
                <w:sz w:val="21"/>
                <w:szCs w:val="21"/>
                <w:lang w:bidi="ar"/>
              </w:rPr>
              <w:t>支持IPv6静态路由、RIPng、OSPFv3、BGP4</w:t>
            </w:r>
            <w:r>
              <w:rPr>
                <w:rFonts w:hint="eastAsia" w:ascii="宋体" w:cs="Arial"/>
                <w:color w:val="auto"/>
                <w:sz w:val="21"/>
                <w:szCs w:val="21"/>
                <w:lang w:eastAsia="zh-CN" w:bidi="ar"/>
              </w:rPr>
              <w:t>。</w:t>
            </w:r>
          </w:p>
          <w:p>
            <w:pPr>
              <w:rPr>
                <w:rFonts w:ascii="宋体" w:cs="Arial"/>
                <w:color w:val="auto"/>
                <w:sz w:val="21"/>
                <w:szCs w:val="21"/>
                <w:lang w:bidi="ar"/>
              </w:rPr>
            </w:pPr>
            <w:r>
              <w:rPr>
                <w:rFonts w:hint="eastAsia" w:ascii="宋体" w:cs="Arial"/>
                <w:color w:val="auto"/>
                <w:sz w:val="21"/>
                <w:szCs w:val="21"/>
                <w:lang w:val="en-US" w:eastAsia="zh-CN" w:bidi="ar"/>
              </w:rPr>
              <w:t>4、</w:t>
            </w:r>
            <w:r>
              <w:rPr>
                <w:rFonts w:hint="eastAsia" w:ascii="宋体" w:cs="Arial"/>
                <w:color w:val="auto"/>
                <w:sz w:val="21"/>
                <w:szCs w:val="21"/>
                <w:lang w:bidi="ar"/>
              </w:rPr>
              <w:t>VLAN特性：支持基于端口的VLAN，支持基于协议的VLAN；</w:t>
            </w:r>
          </w:p>
          <w:p>
            <w:pPr>
              <w:rPr>
                <w:rFonts w:hint="eastAsia" w:ascii="宋体" w:cs="宋体"/>
                <w:color w:val="auto"/>
                <w:sz w:val="21"/>
                <w:szCs w:val="21"/>
              </w:rPr>
            </w:pPr>
            <w:r>
              <w:rPr>
                <w:rFonts w:hint="eastAsia" w:ascii="宋体" w:cs="Arial"/>
                <w:color w:val="auto"/>
                <w:sz w:val="21"/>
                <w:szCs w:val="21"/>
                <w:lang w:bidi="ar"/>
              </w:rPr>
              <w:t>支持基于MAC的VLAN；最大VLAN数(不是VLAN ID)&gt;=4094</w:t>
            </w:r>
            <w:r>
              <w:rPr>
                <w:rFonts w:hint="eastAsia" w:ascii="宋体" w:cs="Arial"/>
                <w:color w:val="auto"/>
                <w:sz w:val="21"/>
                <w:szCs w:val="21"/>
                <w:lang w:eastAsia="zh-CN" w:bidi="ar"/>
              </w:rPr>
              <w:t>。</w:t>
            </w:r>
          </w:p>
        </w:tc>
      </w:tr>
      <w:tr>
        <w:tblPrEx>
          <w:tblCellMar>
            <w:top w:w="0" w:type="dxa"/>
            <w:left w:w="0" w:type="dxa"/>
            <w:bottom w:w="0" w:type="dxa"/>
            <w:right w:w="0" w:type="dxa"/>
          </w:tblCellMar>
        </w:tblPrEx>
        <w:trPr>
          <w:trHeight w:val="619"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Arial"/>
                <w:color w:val="auto"/>
                <w:sz w:val="21"/>
                <w:szCs w:val="21"/>
              </w:rPr>
            </w:pPr>
            <w:r>
              <w:rPr>
                <w:rFonts w:ascii="宋体" w:cs="Arial"/>
                <w:color w:val="auto"/>
                <w:sz w:val="21"/>
                <w:szCs w:val="21"/>
                <w:lang w:bidi="ar"/>
              </w:rPr>
              <w:t xml:space="preserve">150W </w:t>
            </w:r>
            <w:r>
              <w:rPr>
                <w:rStyle w:val="83"/>
                <w:rFonts w:ascii="宋体"/>
                <w:color w:val="auto"/>
                <w:sz w:val="21"/>
                <w:szCs w:val="21"/>
                <w:lang w:bidi="ar"/>
              </w:rPr>
              <w:t>资产管理交流电源模块</w:t>
            </w:r>
            <w:r>
              <w:rPr>
                <w:rStyle w:val="83"/>
                <w:rFonts w:hint="eastAsia" w:ascii="宋体"/>
                <w:color w:val="auto"/>
                <w:sz w:val="21"/>
                <w:szCs w:val="21"/>
                <w:lang w:eastAsia="zh-CN" w:bidi="ar"/>
              </w:rPr>
              <w:t>与交换机配套。</w:t>
            </w:r>
          </w:p>
        </w:tc>
      </w:tr>
      <w:tr>
        <w:tblPrEx>
          <w:tblCellMar>
            <w:top w:w="0" w:type="dxa"/>
            <w:left w:w="0" w:type="dxa"/>
            <w:bottom w:w="0" w:type="dxa"/>
            <w:right w:w="0" w:type="dxa"/>
          </w:tblCellMar>
        </w:tblPrEx>
        <w:trPr>
          <w:trHeight w:val="1491"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24口全千兆二层交换机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cs="Arial"/>
                <w:color w:val="auto"/>
                <w:sz w:val="21"/>
                <w:szCs w:val="21"/>
              </w:rPr>
            </w:pPr>
            <w:r>
              <w:rPr>
                <w:rFonts w:hint="eastAsia" w:ascii="宋体" w:cs="Arial"/>
                <w:color w:val="auto"/>
                <w:sz w:val="21"/>
                <w:szCs w:val="21"/>
              </w:rPr>
              <w:t>▲</w:t>
            </w:r>
            <w:r>
              <w:rPr>
                <w:rFonts w:hint="eastAsia" w:ascii="宋体" w:cs="Arial"/>
                <w:color w:val="auto"/>
                <w:sz w:val="21"/>
                <w:szCs w:val="21"/>
                <w:lang w:val="en-US" w:eastAsia="zh-CN"/>
              </w:rPr>
              <w:t>1、</w:t>
            </w:r>
            <w:r>
              <w:rPr>
                <w:rFonts w:hint="eastAsia" w:ascii="宋体" w:cs="Arial"/>
                <w:color w:val="auto"/>
                <w:sz w:val="21"/>
                <w:szCs w:val="21"/>
              </w:rPr>
              <w:t>设备性能：交换容量≥336Gbps，转发性能≥</w:t>
            </w:r>
            <w:r>
              <w:rPr>
                <w:rFonts w:ascii="宋体" w:cs="Arial"/>
                <w:color w:val="auto"/>
                <w:sz w:val="21"/>
                <w:szCs w:val="21"/>
              </w:rPr>
              <w:t>95</w:t>
            </w:r>
            <w:r>
              <w:rPr>
                <w:rFonts w:hint="eastAsia" w:ascii="宋体" w:cs="Arial"/>
                <w:color w:val="auto"/>
                <w:sz w:val="21"/>
                <w:szCs w:val="21"/>
              </w:rPr>
              <w:t>Mpps，≥</w:t>
            </w:r>
            <w:r>
              <w:rPr>
                <w:rFonts w:ascii="宋体" w:cs="Arial"/>
                <w:color w:val="auto"/>
                <w:sz w:val="21"/>
                <w:szCs w:val="21"/>
              </w:rPr>
              <w:t>24</w:t>
            </w:r>
            <w:r>
              <w:rPr>
                <w:rFonts w:hint="eastAsia" w:ascii="宋体" w:cs="Arial"/>
                <w:color w:val="auto"/>
                <w:sz w:val="21"/>
                <w:szCs w:val="21"/>
              </w:rPr>
              <w:t>个GE端口，≥4个千兆SFP口</w:t>
            </w:r>
            <w:r>
              <w:rPr>
                <w:rFonts w:hint="eastAsia" w:ascii="宋体" w:cs="Arial"/>
                <w:color w:val="auto"/>
                <w:sz w:val="21"/>
                <w:szCs w:val="21"/>
                <w:lang w:eastAsia="zh-CN"/>
              </w:rPr>
              <w:t>。</w:t>
            </w:r>
          </w:p>
          <w:p>
            <w:pPr>
              <w:rPr>
                <w:rFonts w:ascii="宋体" w:cs="Arial"/>
                <w:color w:val="auto"/>
                <w:sz w:val="21"/>
                <w:szCs w:val="21"/>
              </w:rPr>
            </w:pPr>
            <w:r>
              <w:rPr>
                <w:rFonts w:hint="eastAsia" w:ascii="宋体" w:cs="Arial"/>
                <w:color w:val="auto"/>
                <w:sz w:val="21"/>
                <w:szCs w:val="21"/>
                <w:lang w:val="en-US" w:eastAsia="zh-CN"/>
              </w:rPr>
              <w:t>2、</w:t>
            </w:r>
            <w:r>
              <w:rPr>
                <w:rFonts w:hint="eastAsia" w:ascii="宋体" w:cs="Arial"/>
                <w:color w:val="auto"/>
                <w:sz w:val="21"/>
                <w:szCs w:val="21"/>
              </w:rPr>
              <w:t>VLAN特性：最大VLAN数(不是VLAN ID)&gt;=4094</w:t>
            </w:r>
            <w:r>
              <w:rPr>
                <w:rFonts w:hint="eastAsia" w:ascii="宋体" w:cs="Arial"/>
                <w:color w:val="auto"/>
                <w:sz w:val="21"/>
                <w:szCs w:val="21"/>
                <w:lang w:eastAsia="zh-CN"/>
              </w:rPr>
              <w:t>。</w:t>
            </w:r>
          </w:p>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rPr>
              <w:t>3、</w:t>
            </w:r>
            <w:r>
              <w:rPr>
                <w:rFonts w:hint="eastAsia" w:ascii="宋体" w:cs="宋体"/>
                <w:color w:val="auto"/>
                <w:sz w:val="21"/>
                <w:szCs w:val="21"/>
              </w:rPr>
              <w:t>路由协议：支持IPv4静态路由、RIP V1/V2、OSPF，支持IPv6静态路由、RIPng</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447"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SFP+ 万兆模块(1550nm,40km,LC)，</w:t>
            </w:r>
            <w:r>
              <w:rPr>
                <w:rFonts w:hint="eastAsia" w:ascii="宋体" w:cs="宋体"/>
                <w:color w:val="auto"/>
                <w:sz w:val="21"/>
                <w:szCs w:val="21"/>
              </w:rPr>
              <w:t>品牌要求：和交换机同一品牌</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color w:val="auto"/>
                <w:sz w:val="21"/>
                <w:szCs w:val="21"/>
              </w:rPr>
            </w:pPr>
            <w:r>
              <w:rPr>
                <w:rFonts w:hint="eastAsia" w:ascii="宋体" w:cs="宋体"/>
                <w:b/>
                <w:color w:val="auto"/>
                <w:sz w:val="21"/>
                <w:szCs w:val="21"/>
                <w:lang w:bidi="ar"/>
              </w:rPr>
              <w:t>（六）存储设备</w:t>
            </w:r>
          </w:p>
        </w:tc>
      </w:tr>
      <w:tr>
        <w:tblPrEx>
          <w:tblCellMar>
            <w:top w:w="0" w:type="dxa"/>
            <w:left w:w="0" w:type="dxa"/>
            <w:bottom w:w="0" w:type="dxa"/>
            <w:right w:w="0" w:type="dxa"/>
          </w:tblCellMar>
        </w:tblPrEx>
        <w:trPr>
          <w:trHeight w:val="19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机架式SSU存储机头</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机架式4U 24盘位，支持SAS/SATA硬盘</w:t>
            </w:r>
            <w:r>
              <w:rPr>
                <w:rFonts w:hint="eastAsia" w:ascii="宋体" w:cs="宋体"/>
                <w:color w:val="auto"/>
                <w:sz w:val="21"/>
                <w:szCs w:val="21"/>
                <w:lang w:eastAsia="zh-CN" w:bidi="ar"/>
              </w:rPr>
              <w:t>，</w:t>
            </w:r>
            <w:r>
              <w:rPr>
                <w:rFonts w:hint="eastAsia" w:ascii="宋体" w:cs="宋体"/>
                <w:color w:val="auto"/>
                <w:sz w:val="21"/>
                <w:szCs w:val="21"/>
                <w:lang w:bidi="ar"/>
              </w:rPr>
              <w:t>服务器构架,支持RAID 0，1，10，5，6；支持CIFS、NFS、iSCSI；</w:t>
            </w:r>
          </w:p>
          <w:p>
            <w:pPr>
              <w:widowControl/>
              <w:numPr>
                <w:ilvl w:val="0"/>
                <w:numId w:val="15"/>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冗余电源，冗余风扇，监控专属安全存储单元，流式存储，无文件系统，无磁盘碎片；</w:t>
            </w:r>
          </w:p>
          <w:p>
            <w:pPr>
              <w:widowControl/>
              <w:numPr>
                <w:ilvl w:val="0"/>
                <w:numId w:val="15"/>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支持中心平台统一调度，支持统一网管，支持N+3冗余热备，支持系统断线继续存储；支持设备直连存储，支持中心转发存储，支持客户直接访问和跨网访问；支持秒级定位和秒级时移回放和下载；支持1/16~16倍率的回放（例如：1/16x、1/8x、1/4x、1/2x、1 x、2x、4x、8x、16x……），支持视频回退播放；支持视频在线剪辑，支持录像按时间下载，支持录像文件高速下载。</w:t>
            </w:r>
          </w:p>
          <w:p>
            <w:pPr>
              <w:widowControl/>
              <w:numPr>
                <w:ilvl w:val="0"/>
                <w:numId w:val="15"/>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带防断电模块</w:t>
            </w:r>
            <w:r>
              <w:rPr>
                <w:rFonts w:hint="eastAsia" w:ascii="宋体" w:cs="宋体"/>
                <w:color w:val="auto"/>
                <w:sz w:val="21"/>
                <w:szCs w:val="21"/>
                <w:lang w:eastAsia="zh-CN" w:bidi="ar"/>
              </w:rPr>
              <w:t>，</w:t>
            </w:r>
            <w:r>
              <w:rPr>
                <w:rFonts w:hint="eastAsia" w:ascii="宋体" w:cs="宋体"/>
                <w:color w:val="auto"/>
                <w:sz w:val="21"/>
                <w:szCs w:val="21"/>
                <w:lang w:bidi="ar"/>
              </w:rPr>
              <w:t xml:space="preserve">AC220V电源。                                      </w:t>
            </w:r>
          </w:p>
          <w:p>
            <w:pPr>
              <w:widowControl/>
              <w:jc w:val="left"/>
              <w:textAlignment w:val="center"/>
              <w:rPr>
                <w:rFonts w:hint="eastAsia" w:ascii="宋体" w:cs="宋体"/>
                <w:color w:val="auto"/>
                <w:sz w:val="21"/>
                <w:szCs w:val="21"/>
              </w:rPr>
            </w:pPr>
            <w:r>
              <w:rPr>
                <w:rFonts w:hint="eastAsia" w:ascii="宋体" w:cs="宋体"/>
                <w:color w:val="auto"/>
                <w:sz w:val="21"/>
                <w:szCs w:val="21"/>
                <w:lang w:bidi="ar"/>
              </w:rPr>
              <w:t>▲</w:t>
            </w:r>
            <w:r>
              <w:rPr>
                <w:rFonts w:hint="eastAsia" w:ascii="宋体" w:cs="宋体"/>
                <w:color w:val="auto"/>
                <w:sz w:val="21"/>
                <w:szCs w:val="21"/>
                <w:lang w:val="en-US" w:eastAsia="zh-CN" w:bidi="ar"/>
              </w:rPr>
              <w:t>5、</w:t>
            </w:r>
            <w:r>
              <w:rPr>
                <w:rFonts w:hint="eastAsia" w:ascii="宋体" w:cs="宋体"/>
                <w:color w:val="auto"/>
                <w:sz w:val="21"/>
                <w:szCs w:val="21"/>
                <w:lang w:bidi="ar"/>
              </w:rPr>
              <w:t>需无缝接入台州公安天网视频作战侦查平台，出具</w:t>
            </w:r>
            <w:r>
              <w:rPr>
                <w:rFonts w:hint="eastAsia" w:ascii="宋体" w:cs="宋体"/>
                <w:color w:val="auto"/>
                <w:sz w:val="21"/>
                <w:szCs w:val="21"/>
                <w:lang w:eastAsia="zh-CN" w:bidi="ar"/>
              </w:rPr>
              <w:t>天网</w:t>
            </w:r>
            <w:r>
              <w:rPr>
                <w:rFonts w:hint="eastAsia" w:ascii="宋体" w:cs="宋体"/>
                <w:color w:val="auto"/>
                <w:sz w:val="21"/>
                <w:szCs w:val="21"/>
                <w:lang w:bidi="ar"/>
              </w:rPr>
              <w:t>平台</w:t>
            </w:r>
            <w:r>
              <w:rPr>
                <w:rFonts w:hint="eastAsia" w:ascii="宋体" w:cs="宋体"/>
                <w:color w:val="auto"/>
                <w:sz w:val="21"/>
                <w:szCs w:val="21"/>
                <w:lang w:eastAsia="zh-CN" w:bidi="ar"/>
              </w:rPr>
              <w:t>服务</w:t>
            </w:r>
            <w:r>
              <w:rPr>
                <w:rFonts w:hint="eastAsia" w:ascii="宋体" w:cs="宋体"/>
                <w:color w:val="auto"/>
                <w:sz w:val="21"/>
                <w:szCs w:val="21"/>
                <w:lang w:bidi="ar"/>
              </w:rPr>
              <w:t>厂家无缝接入证明</w:t>
            </w:r>
            <w:r>
              <w:rPr>
                <w:rFonts w:hint="eastAsia" w:ascii="宋体" w:cs="宋体"/>
                <w:color w:val="auto"/>
                <w:sz w:val="21"/>
                <w:szCs w:val="21"/>
                <w:lang w:eastAsia="zh-CN" w:bidi="ar"/>
              </w:rPr>
              <w:t>，</w:t>
            </w:r>
            <w:r>
              <w:rPr>
                <w:rFonts w:hint="eastAsia" w:ascii="宋体" w:cs="宋体"/>
                <w:color w:val="auto"/>
                <w:sz w:val="21"/>
                <w:szCs w:val="21"/>
                <w:lang w:bidi="ar"/>
              </w:rPr>
              <w:t>保修五年</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企业级6T硬盘</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6TB企业级存储专用硬盘，缓存≥128MB；能与SSU存储（机架式SSU存储机头）配套，无缝兼容；</w:t>
            </w:r>
            <w:r>
              <w:rPr>
                <w:rStyle w:val="79"/>
                <w:rFonts w:ascii="宋体"/>
                <w:color w:val="auto"/>
                <w:sz w:val="21"/>
                <w:szCs w:val="21"/>
                <w:lang w:bidi="ar"/>
              </w:rPr>
              <w:t xml:space="preserve"> </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机柜</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42U标准机柜，600mm*1000mm*2055mm（宽度*深度*高度）</w:t>
            </w:r>
            <w:r>
              <w:rPr>
                <w:rFonts w:hint="eastAsia" w:ascii="宋体" w:cs="宋体"/>
                <w:color w:val="auto"/>
                <w:sz w:val="21"/>
                <w:szCs w:val="21"/>
              </w:rPr>
              <w:t>，含配4个挡板、PDU和接地设备, 前门单开网孔门，后面双开网孔门；机柜颜色为黑色。</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企业级4T硬盘</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4TB企业级存储专用硬盘，能与SSU存储（机架式SSU存储机头）配套，无缝兼容。</w:t>
            </w:r>
            <w:r>
              <w:rPr>
                <w:rStyle w:val="79"/>
                <w:rFonts w:ascii="宋体"/>
                <w:color w:val="auto"/>
                <w:sz w:val="21"/>
                <w:szCs w:val="21"/>
                <w:lang w:bidi="ar"/>
              </w:rPr>
              <w:t xml:space="preserve"> </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color w:val="auto"/>
                <w:sz w:val="21"/>
                <w:szCs w:val="21"/>
              </w:rPr>
            </w:pPr>
            <w:r>
              <w:rPr>
                <w:rFonts w:hint="eastAsia" w:ascii="宋体" w:cs="宋体"/>
                <w:b/>
                <w:color w:val="auto"/>
                <w:sz w:val="21"/>
                <w:szCs w:val="21"/>
                <w:lang w:bidi="ar"/>
              </w:rPr>
              <w:t>（七）采集设备</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lang w:bidi="ar"/>
              </w:rPr>
            </w:pPr>
            <w:r>
              <w:rPr>
                <w:rFonts w:hint="eastAsia" w:ascii="宋体" w:cs="宋体"/>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lang w:bidi="ar"/>
              </w:rPr>
            </w:pPr>
            <w:r>
              <w:rPr>
                <w:rFonts w:hint="eastAsia" w:ascii="宋体" w:cs="宋体"/>
                <w:b w:val="0"/>
                <w:bCs w:val="0"/>
                <w:color w:val="auto"/>
                <w:sz w:val="21"/>
                <w:szCs w:val="21"/>
                <w:lang w:bidi="ar"/>
              </w:rPr>
              <w:t>imsi智能终端采集设备</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6"/>
              </w:numPr>
              <w:jc w:val="left"/>
              <w:rPr>
                <w:rFonts w:hint="eastAsia" w:ascii="宋体" w:cs="宋体"/>
                <w:b w:val="0"/>
                <w:bCs w:val="0"/>
                <w:color w:val="auto"/>
                <w:sz w:val="21"/>
                <w:szCs w:val="21"/>
              </w:rPr>
            </w:pPr>
            <w:r>
              <w:rPr>
                <w:rFonts w:hint="eastAsia" w:ascii="宋体" w:cs="宋体"/>
                <w:b w:val="0"/>
                <w:bCs w:val="0"/>
                <w:color w:val="auto"/>
                <w:sz w:val="21"/>
                <w:szCs w:val="21"/>
                <w:lang w:bidi="ar"/>
              </w:rPr>
              <w:t>功率：1W</w:t>
            </w:r>
            <w:r>
              <w:rPr>
                <w:rFonts w:hint="eastAsia" w:ascii="宋体" w:cs="宋体"/>
                <w:b w:val="0"/>
                <w:bCs w:val="0"/>
                <w:color w:val="auto"/>
                <w:sz w:val="21"/>
                <w:szCs w:val="21"/>
                <w:lang w:eastAsia="zh-CN" w:bidi="ar"/>
              </w:rPr>
              <w:t>。</w:t>
            </w:r>
          </w:p>
          <w:p>
            <w:pPr>
              <w:numPr>
                <w:ilvl w:val="0"/>
                <w:numId w:val="16"/>
              </w:numPr>
              <w:jc w:val="left"/>
              <w:rPr>
                <w:rFonts w:hint="eastAsia" w:ascii="宋体" w:cs="宋体"/>
                <w:b w:val="0"/>
                <w:bCs w:val="0"/>
                <w:color w:val="auto"/>
                <w:sz w:val="21"/>
                <w:szCs w:val="21"/>
              </w:rPr>
            </w:pPr>
            <w:r>
              <w:rPr>
                <w:rFonts w:hint="eastAsia" w:ascii="宋体" w:cs="宋体"/>
                <w:b w:val="0"/>
                <w:bCs w:val="0"/>
                <w:color w:val="auto"/>
                <w:sz w:val="21"/>
                <w:szCs w:val="21"/>
                <w:lang w:bidi="ar"/>
              </w:rPr>
              <w:t>制式：全制式，支持4</w:t>
            </w:r>
            <w:r>
              <w:rPr>
                <w:rFonts w:hint="eastAsia" w:ascii="宋体" w:cs="宋体"/>
                <w:b w:val="0"/>
                <w:bCs w:val="0"/>
                <w:color w:val="auto"/>
                <w:sz w:val="21"/>
                <w:szCs w:val="21"/>
                <w:lang w:val="en-US" w:eastAsia="zh-CN" w:bidi="ar"/>
              </w:rPr>
              <w:t>G。</w:t>
            </w:r>
          </w:p>
          <w:p>
            <w:pPr>
              <w:numPr>
                <w:ilvl w:val="0"/>
                <w:numId w:val="16"/>
              </w:numPr>
              <w:jc w:val="left"/>
              <w:rPr>
                <w:rFonts w:hint="eastAsia" w:ascii="宋体" w:cs="宋体"/>
                <w:b w:val="0"/>
                <w:bCs w:val="0"/>
                <w:color w:val="auto"/>
                <w:sz w:val="21"/>
                <w:szCs w:val="21"/>
              </w:rPr>
            </w:pPr>
            <w:r>
              <w:rPr>
                <w:rFonts w:hint="eastAsia" w:ascii="宋体" w:cs="宋体"/>
                <w:b w:val="0"/>
                <w:bCs w:val="0"/>
                <w:color w:val="auto"/>
                <w:sz w:val="21"/>
                <w:szCs w:val="21"/>
                <w:lang w:bidi="ar"/>
              </w:rPr>
              <w:t>组网模式：异频</w:t>
            </w:r>
            <w:r>
              <w:rPr>
                <w:rFonts w:hint="eastAsia" w:ascii="宋体" w:cs="宋体"/>
                <w:b w:val="0"/>
                <w:bCs w:val="0"/>
                <w:color w:val="auto"/>
                <w:sz w:val="21"/>
                <w:szCs w:val="21"/>
                <w:lang w:eastAsia="zh-CN" w:bidi="ar"/>
              </w:rPr>
              <w:t>。</w:t>
            </w:r>
          </w:p>
          <w:p>
            <w:pPr>
              <w:numPr>
                <w:ilvl w:val="0"/>
                <w:numId w:val="16"/>
              </w:numPr>
              <w:jc w:val="left"/>
              <w:rPr>
                <w:rFonts w:hint="eastAsia" w:ascii="宋体" w:cs="宋体"/>
                <w:b w:val="0"/>
                <w:bCs w:val="0"/>
                <w:color w:val="auto"/>
                <w:sz w:val="21"/>
                <w:szCs w:val="21"/>
              </w:rPr>
            </w:pPr>
            <w:r>
              <w:rPr>
                <w:rFonts w:hint="eastAsia" w:ascii="宋体" w:cs="宋体"/>
                <w:b w:val="0"/>
                <w:bCs w:val="0"/>
                <w:color w:val="auto"/>
                <w:sz w:val="21"/>
                <w:szCs w:val="21"/>
                <w:lang w:bidi="ar"/>
              </w:rPr>
              <w:t>传输方式：支持有线、3G，支持内部存储，可扩展，支持全方位</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支持MAC采集</w:t>
            </w:r>
            <w:r>
              <w:rPr>
                <w:rFonts w:hint="eastAsia" w:ascii="宋体" w:cs="宋体"/>
                <w:b w:val="0"/>
                <w:bCs w:val="0"/>
                <w:color w:val="auto"/>
                <w:sz w:val="21"/>
                <w:szCs w:val="21"/>
                <w:lang w:eastAsia="zh-CN" w:bidi="ar"/>
              </w:rPr>
              <w:t>。</w:t>
            </w:r>
          </w:p>
        </w:tc>
      </w:tr>
      <w:tr>
        <w:tblPrEx>
          <w:tblCellMar>
            <w:top w:w="0" w:type="dxa"/>
            <w:left w:w="0" w:type="dxa"/>
            <w:bottom w:w="0" w:type="dxa"/>
            <w:right w:w="0" w:type="dxa"/>
          </w:tblCellMar>
        </w:tblPrEx>
        <w:trPr>
          <w:trHeight w:val="240" w:hRule="atLeast"/>
        </w:trPr>
        <w:tc>
          <w:tcPr>
            <w:tcW w:w="905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color w:val="auto"/>
                <w:sz w:val="21"/>
                <w:szCs w:val="21"/>
              </w:rPr>
            </w:pPr>
            <w:r>
              <w:rPr>
                <w:rFonts w:hint="eastAsia" w:ascii="宋体" w:cs="宋体"/>
                <w:b/>
                <w:color w:val="auto"/>
                <w:sz w:val="21"/>
                <w:szCs w:val="21"/>
                <w:lang w:bidi="ar"/>
              </w:rPr>
              <w:t>（</w:t>
            </w:r>
            <w:r>
              <w:rPr>
                <w:rFonts w:hint="eastAsia" w:ascii="宋体" w:cs="宋体"/>
                <w:b/>
                <w:color w:val="auto"/>
                <w:sz w:val="21"/>
                <w:szCs w:val="21"/>
                <w:lang w:val="en-US" w:eastAsia="zh-CN" w:bidi="ar"/>
              </w:rPr>
              <w:t>七</w:t>
            </w:r>
            <w:r>
              <w:rPr>
                <w:rFonts w:hint="eastAsia" w:ascii="宋体" w:cs="宋体"/>
                <w:b/>
                <w:color w:val="auto"/>
                <w:sz w:val="21"/>
                <w:szCs w:val="21"/>
                <w:lang w:bidi="ar"/>
              </w:rPr>
              <w:t>）仙居县雪亮工程公共安全视频图像共享平台</w:t>
            </w:r>
          </w:p>
        </w:tc>
      </w:tr>
      <w:tr>
        <w:tblPrEx>
          <w:tblCellMar>
            <w:top w:w="0" w:type="dxa"/>
            <w:left w:w="0" w:type="dxa"/>
            <w:bottom w:w="0" w:type="dxa"/>
            <w:right w:w="0" w:type="dxa"/>
          </w:tblCellMar>
        </w:tblPrEx>
        <w:trPr>
          <w:trHeight w:val="1165"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视联网核心服务平台系统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
              </w:numPr>
              <w:jc w:val="left"/>
              <w:textAlignment w:val="center"/>
              <w:rPr>
                <w:rFonts w:hint="eastAsia" w:ascii="宋体" w:cs="宋体"/>
                <w:color w:val="auto"/>
                <w:sz w:val="21"/>
                <w:szCs w:val="21"/>
                <w:lang w:bidi="ar"/>
              </w:rPr>
            </w:pPr>
            <w:r>
              <w:rPr>
                <w:rFonts w:hint="eastAsia" w:ascii="宋体" w:cs="宋体"/>
                <w:color w:val="auto"/>
                <w:sz w:val="21"/>
                <w:szCs w:val="21"/>
                <w:lang w:bidi="ar"/>
              </w:rPr>
              <w:t>视联网核心服务平台系统适用于广域网部署</w:t>
            </w:r>
            <w:r>
              <w:rPr>
                <w:rFonts w:hint="eastAsia" w:ascii="宋体" w:cs="宋体"/>
                <w:color w:val="auto"/>
                <w:sz w:val="21"/>
                <w:szCs w:val="21"/>
                <w:lang w:eastAsia="zh-CN" w:bidi="ar"/>
              </w:rPr>
              <w:t>；</w:t>
            </w:r>
            <w:r>
              <w:rPr>
                <w:rFonts w:hint="eastAsia" w:ascii="宋体" w:cs="宋体"/>
                <w:color w:val="auto"/>
                <w:sz w:val="21"/>
                <w:szCs w:val="21"/>
                <w:lang w:bidi="ar"/>
              </w:rPr>
              <w:t>以太网标准，支持V2V视联网协议、以太网802.3以及TCP/IP协议</w:t>
            </w:r>
            <w:r>
              <w:rPr>
                <w:rFonts w:hint="eastAsia" w:ascii="宋体" w:cs="宋体"/>
                <w:color w:val="auto"/>
                <w:sz w:val="21"/>
                <w:szCs w:val="21"/>
                <w:lang w:eastAsia="zh-CN" w:bidi="ar"/>
              </w:rPr>
              <w:t>，</w:t>
            </w:r>
            <w:r>
              <w:rPr>
                <w:rFonts w:hint="eastAsia" w:ascii="宋体" w:cs="宋体"/>
                <w:color w:val="auto"/>
                <w:sz w:val="21"/>
                <w:szCs w:val="21"/>
                <w:lang w:bidi="ar"/>
              </w:rPr>
              <w:t xml:space="preserve"> 新三网融合技术架构，</w:t>
            </w:r>
            <w:r>
              <w:rPr>
                <w:rFonts w:hint="eastAsia" w:ascii="宋体" w:cs="宋体"/>
                <w:color w:val="auto"/>
                <w:sz w:val="21"/>
                <w:szCs w:val="21"/>
                <w:lang w:eastAsia="zh-CN" w:bidi="ar"/>
              </w:rPr>
              <w:t>支持</w:t>
            </w:r>
            <w:r>
              <w:rPr>
                <w:rFonts w:hint="eastAsia" w:ascii="宋体" w:cs="宋体"/>
                <w:color w:val="auto"/>
                <w:sz w:val="21"/>
                <w:szCs w:val="21"/>
                <w:lang w:bidi="ar"/>
              </w:rPr>
              <w:t>接入全国高清视联网服务，</w:t>
            </w:r>
            <w:r>
              <w:rPr>
                <w:rFonts w:hint="eastAsia" w:ascii="宋体" w:cs="宋体"/>
                <w:color w:val="auto"/>
                <w:sz w:val="21"/>
                <w:szCs w:val="21"/>
                <w:lang w:eastAsia="zh-CN" w:bidi="ar"/>
              </w:rPr>
              <w:t>支持</w:t>
            </w:r>
            <w:r>
              <w:rPr>
                <w:rFonts w:hint="eastAsia" w:ascii="宋体" w:cs="宋体"/>
                <w:color w:val="auto"/>
                <w:sz w:val="21"/>
                <w:szCs w:val="21"/>
                <w:lang w:bidi="ar"/>
              </w:rPr>
              <w:t>多个产品级联提供更大服务能力或远程级联实现跨域服务。</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服务能力和网络管理能力：保证95%带宽利用时的重载丢包率小于百万分之一</w:t>
            </w:r>
            <w:r>
              <w:rPr>
                <w:rFonts w:hint="eastAsia" w:ascii="宋体" w:cs="宋体"/>
                <w:color w:val="auto"/>
                <w:sz w:val="21"/>
                <w:szCs w:val="21"/>
                <w:lang w:eastAsia="zh-CN" w:bidi="ar"/>
              </w:rPr>
              <w:t>；</w:t>
            </w:r>
            <w:r>
              <w:rPr>
                <w:rFonts w:hint="eastAsia" w:ascii="宋体" w:cs="宋体"/>
                <w:color w:val="auto"/>
                <w:sz w:val="21"/>
                <w:szCs w:val="21"/>
                <w:lang w:bidi="ar"/>
              </w:rPr>
              <w:t>全部网络设备和用户终端每秒钟状态查询，自动入网，即插即用，5秒钟故障定位，100%用户权限管理</w:t>
            </w:r>
            <w:r>
              <w:rPr>
                <w:rFonts w:hint="eastAsia" w:ascii="宋体" w:cs="宋体"/>
                <w:color w:val="auto"/>
                <w:sz w:val="21"/>
                <w:szCs w:val="21"/>
                <w:lang w:eastAsia="zh-CN" w:bidi="ar"/>
              </w:rPr>
              <w:t>；</w:t>
            </w:r>
            <w:r>
              <w:rPr>
                <w:rFonts w:hint="eastAsia" w:ascii="宋体" w:cs="宋体"/>
                <w:color w:val="auto"/>
                <w:sz w:val="21"/>
                <w:szCs w:val="21"/>
                <w:lang w:bidi="ar"/>
              </w:rPr>
              <w:t>最大视频容量:（256路/用户）</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尺寸：5U；备份机制：整机（双机热备）、网口、芯片；支持电视墙输出</w:t>
            </w:r>
            <w:r>
              <w:rPr>
                <w:rFonts w:hint="eastAsia" w:ascii="宋体" w:cs="宋体"/>
                <w:color w:val="auto"/>
                <w:sz w:val="21"/>
                <w:szCs w:val="21"/>
                <w:lang w:eastAsia="zh-CN" w:bidi="ar"/>
              </w:rPr>
              <w:t>；</w:t>
            </w:r>
            <w:r>
              <w:rPr>
                <w:rFonts w:hint="eastAsia" w:ascii="宋体" w:cs="宋体"/>
                <w:color w:val="auto"/>
                <w:sz w:val="21"/>
                <w:szCs w:val="21"/>
                <w:lang w:bidi="ar"/>
              </w:rPr>
              <w:t>支持网真接入</w:t>
            </w:r>
            <w:r>
              <w:rPr>
                <w:rFonts w:hint="eastAsia" w:ascii="宋体" w:cs="宋体"/>
                <w:color w:val="auto"/>
                <w:sz w:val="21"/>
                <w:szCs w:val="21"/>
                <w:lang w:eastAsia="zh-CN" w:bidi="ar"/>
              </w:rPr>
              <w:t>。</w:t>
            </w:r>
          </w:p>
          <w:p>
            <w:pPr>
              <w:widowControl/>
              <w:numPr>
                <w:ilvl w:val="0"/>
                <w:numId w:val="0"/>
              </w:numPr>
              <w:jc w:val="left"/>
              <w:textAlignment w:val="center"/>
              <w:rPr>
                <w:rFonts w:hint="eastAsia" w:ascii="宋体" w:cs="宋体"/>
                <w:color w:val="auto"/>
                <w:sz w:val="21"/>
                <w:szCs w:val="21"/>
              </w:rPr>
            </w:pPr>
            <w:r>
              <w:rPr>
                <w:rFonts w:hint="eastAsia" w:ascii="宋体" w:cs="宋体"/>
                <w:color w:val="auto"/>
                <w:sz w:val="21"/>
                <w:szCs w:val="21"/>
                <w:lang w:val="en-US" w:eastAsia="zh-CN" w:bidi="ar"/>
              </w:rPr>
              <w:t>4、</w:t>
            </w:r>
            <w:r>
              <w:rPr>
                <w:rFonts w:hint="eastAsia" w:ascii="宋体" w:cs="宋体"/>
                <w:color w:val="auto"/>
                <w:sz w:val="21"/>
                <w:szCs w:val="21"/>
                <w:lang w:bidi="ar"/>
              </w:rPr>
              <w:t>视频特性：活动画面分辨率：1080p、1080i、720p、4CIF、2CIF 、CIF、QCIF；视频帧率：25fps、30fps、50fps、60fps；辅流分辨率：VGA～1080p （标准分辨率）；高清性能：H.264HP 1080p60全适配，辅流支持1080p60，可平滑扩容，支持级联和licence扩容，支持更多系统功能模块扩容（如：互动电视模块、信息发布模块、应急指挥模块等</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17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视联网/统一视频监控融合调度平台服务系统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
              </w:numPr>
              <w:jc w:val="left"/>
              <w:textAlignment w:val="center"/>
              <w:rPr>
                <w:rFonts w:hint="eastAsia" w:ascii="宋体" w:cs="宋体"/>
                <w:color w:val="auto"/>
                <w:sz w:val="21"/>
                <w:szCs w:val="21"/>
                <w:lang w:bidi="ar"/>
              </w:rPr>
            </w:pPr>
            <w:r>
              <w:rPr>
                <w:rFonts w:hint="eastAsia" w:ascii="宋体" w:cs="宋体"/>
                <w:color w:val="auto"/>
                <w:sz w:val="21"/>
                <w:szCs w:val="21"/>
                <w:lang w:bidi="ar"/>
              </w:rPr>
              <w:t>采用视联网先进的视频数据传输技术，高效安全传输视频监控图像。</w:t>
            </w:r>
          </w:p>
          <w:p>
            <w:pPr>
              <w:widowControl/>
              <w:numPr>
                <w:ilvl w:val="0"/>
                <w:numId w:val="0"/>
              </w:numPr>
              <w:jc w:val="left"/>
              <w:textAlignment w:val="center"/>
              <w:rPr>
                <w:rFonts w:hint="eastAsia" w:ascii="宋体" w:cs="宋体"/>
                <w:color w:val="auto"/>
                <w:sz w:val="21"/>
                <w:szCs w:val="21"/>
              </w:rPr>
            </w:pPr>
            <w:r>
              <w:rPr>
                <w:rFonts w:hint="eastAsia" w:ascii="宋体" w:cs="宋体"/>
                <w:color w:val="auto"/>
                <w:sz w:val="21"/>
                <w:szCs w:val="21"/>
                <w:lang w:val="en-US" w:eastAsia="zh-CN" w:bidi="ar"/>
              </w:rPr>
              <w:t>2、</w:t>
            </w:r>
            <w:r>
              <w:rPr>
                <w:rFonts w:hint="eastAsia" w:ascii="宋体" w:cs="宋体"/>
                <w:color w:val="auto"/>
                <w:sz w:val="21"/>
                <w:szCs w:val="21"/>
                <w:lang w:bidi="ar"/>
              </w:rPr>
              <w:t>提供系统管理、监控资源管理和微信管理；业务应用层提供对视频监控资源的操作使用功能，包括视频监控资源查询、监控资源图像浏览、监控资源云台控制和监控资源录像查询。2万路监控点管理能力，200路license。</w:t>
            </w:r>
          </w:p>
        </w:tc>
      </w:tr>
      <w:tr>
        <w:tblPrEx>
          <w:tblCellMar>
            <w:top w:w="0" w:type="dxa"/>
            <w:left w:w="0" w:type="dxa"/>
            <w:bottom w:w="0" w:type="dxa"/>
            <w:right w:w="0"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视联网/统一视频视频监控接入服务系统</w:t>
            </w:r>
            <w:r>
              <w:rPr>
                <w:rFonts w:hint="eastAsia" w:ascii="宋体" w:cs="宋体"/>
                <w:color w:val="auto"/>
                <w:sz w:val="21"/>
                <w:szCs w:val="21"/>
                <w:lang w:bidi="ar"/>
              </w:rPr>
              <w:br w:type="textWrapping"/>
            </w:r>
            <w:r>
              <w:rPr>
                <w:rFonts w:hint="eastAsia" w:ascii="宋体" w:cs="宋体"/>
                <w:color w:val="auto"/>
                <w:sz w:val="21"/>
                <w:szCs w:val="21"/>
                <w:lang w:bidi="ar"/>
              </w:rPr>
              <w:t>（接公安平台）</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视频监控接入服务系统是实现对异构异源设备的接入层，支持GB28181、ONVIF、IP/H.323、 厂商 SDK 以及其他定制开发方式接入</w:t>
            </w:r>
            <w:r>
              <w:rPr>
                <w:rFonts w:hint="eastAsia" w:ascii="宋体" w:cs="宋体"/>
                <w:color w:val="auto"/>
                <w:sz w:val="21"/>
                <w:szCs w:val="21"/>
                <w:lang w:eastAsia="zh-CN" w:bidi="ar"/>
              </w:rPr>
              <w:t>；</w:t>
            </w:r>
            <w:r>
              <w:rPr>
                <w:rFonts w:hint="eastAsia" w:ascii="宋体" w:cs="宋体"/>
                <w:color w:val="auto"/>
                <w:sz w:val="21"/>
                <w:szCs w:val="21"/>
                <w:lang w:bidi="ar"/>
              </w:rPr>
              <w:t>可以对接多达60000路的监控信号，支持80路并发。</w:t>
            </w:r>
            <w:r>
              <w:rPr>
                <w:rFonts w:hint="eastAsia" w:ascii="宋体" w:cs="宋体"/>
                <w:color w:val="auto"/>
                <w:sz w:val="21"/>
                <w:szCs w:val="21"/>
                <w:lang w:bidi="ar"/>
              </w:rPr>
              <w:br w:type="textWrapping"/>
            </w:r>
            <w:r>
              <w:rPr>
                <w:rFonts w:hint="eastAsia" w:ascii="宋体" w:cs="宋体"/>
                <w:color w:val="auto"/>
                <w:sz w:val="21"/>
                <w:szCs w:val="21"/>
                <w:lang w:bidi="ar"/>
              </w:rPr>
              <w:t>注：（实现与现有的监控资源做对接）</w:t>
            </w:r>
          </w:p>
        </w:tc>
      </w:tr>
      <w:tr>
        <w:tblPrEx>
          <w:tblCellMar>
            <w:top w:w="0" w:type="dxa"/>
            <w:left w:w="0" w:type="dxa"/>
            <w:bottom w:w="0" w:type="dxa"/>
            <w:right w:w="0"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视联网/统一视频监控资源分享服务系统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提供平台的对外部系统访问视频监控资源的统一服务接口，平台的接口以GB/T 28181 通信协议方式提供</w:t>
            </w:r>
            <w:r>
              <w:rPr>
                <w:rFonts w:hint="eastAsia" w:ascii="宋体" w:cs="宋体"/>
                <w:color w:val="auto"/>
                <w:sz w:val="21"/>
                <w:szCs w:val="21"/>
                <w:lang w:eastAsia="zh-CN" w:bidi="ar"/>
              </w:rPr>
              <w:t>；</w:t>
            </w:r>
            <w:r>
              <w:rPr>
                <w:rFonts w:hint="eastAsia" w:ascii="宋体" w:cs="宋体"/>
                <w:color w:val="auto"/>
                <w:sz w:val="21"/>
                <w:szCs w:val="21"/>
                <w:lang w:bidi="ar"/>
              </w:rPr>
              <w:t>可以将整合的视频监控资源共享给其他系统用于联网或应用，对外提供输出GB28181协议的媒体流及信令，支持20路视频流并发。</w:t>
            </w:r>
          </w:p>
        </w:tc>
      </w:tr>
      <w:tr>
        <w:tblPrEx>
          <w:tblCellMar>
            <w:top w:w="0" w:type="dxa"/>
            <w:left w:w="0" w:type="dxa"/>
            <w:bottom w:w="0" w:type="dxa"/>
            <w:right w:w="0" w:type="dxa"/>
          </w:tblCellMar>
        </w:tblPrEx>
        <w:trPr>
          <w:trHeight w:val="16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GISM地理信息模块服务系统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
              </w:numPr>
              <w:jc w:val="left"/>
              <w:textAlignment w:val="center"/>
              <w:rPr>
                <w:rFonts w:hint="eastAsia" w:ascii="宋体" w:cs="宋体"/>
                <w:color w:val="auto"/>
                <w:sz w:val="21"/>
                <w:szCs w:val="21"/>
                <w:lang w:bidi="ar"/>
              </w:rPr>
            </w:pPr>
            <w:r>
              <w:rPr>
                <w:rFonts w:hint="eastAsia" w:ascii="宋体" w:cs="宋体"/>
                <w:color w:val="auto"/>
                <w:sz w:val="21"/>
                <w:szCs w:val="21"/>
                <w:lang w:bidi="ar"/>
              </w:rPr>
              <w:t>基于城市地图的开放平台，运用空间网格技术、地理编码技术、嵌入式地理信息引擎技术、以社会创新管理业务为依托建设而成的信息系统。</w:t>
            </w:r>
          </w:p>
          <w:p>
            <w:pPr>
              <w:widowControl/>
              <w:numPr>
                <w:ilvl w:val="0"/>
                <w:numId w:val="19"/>
              </w:numPr>
              <w:jc w:val="left"/>
              <w:textAlignment w:val="center"/>
              <w:rPr>
                <w:rFonts w:hint="eastAsia" w:ascii="宋体" w:cs="宋体"/>
                <w:color w:val="auto"/>
                <w:sz w:val="21"/>
                <w:szCs w:val="21"/>
              </w:rPr>
            </w:pPr>
            <w:r>
              <w:rPr>
                <w:rFonts w:hint="eastAsia" w:ascii="宋体" w:cs="宋体"/>
                <w:color w:val="auto"/>
                <w:sz w:val="21"/>
                <w:szCs w:val="21"/>
                <w:lang w:bidi="ar"/>
              </w:rPr>
              <w:t>基于门户式地图方式实现面向不同业务单位提供多种业务共享和服务，实现综治业务地理信息资源共享与发布，直观展现地形地貌情况、重要场所单位和视联网资源设置状况。</w:t>
            </w:r>
          </w:p>
          <w:p>
            <w:pPr>
              <w:widowControl/>
              <w:numPr>
                <w:ilvl w:val="0"/>
                <w:numId w:val="19"/>
              </w:numPr>
              <w:jc w:val="left"/>
              <w:textAlignment w:val="center"/>
              <w:rPr>
                <w:rFonts w:hint="eastAsia" w:ascii="宋体" w:cs="宋体"/>
                <w:color w:val="auto"/>
                <w:sz w:val="21"/>
                <w:szCs w:val="21"/>
              </w:rPr>
            </w:pPr>
            <w:r>
              <w:rPr>
                <w:rFonts w:hint="eastAsia" w:ascii="宋体" w:cs="宋体"/>
                <w:color w:val="auto"/>
                <w:sz w:val="21"/>
                <w:szCs w:val="21"/>
                <w:lang w:bidi="ar"/>
              </w:rPr>
              <w:t>提供基于GIS系统地理信息展示与操作，能够分层分区域展示地图信息，并提供针对GIS地图的基本功能的操作，包括点选、框选、地图放大、地图缩小、地图平移、距离测量等。</w:t>
            </w:r>
          </w:p>
          <w:p>
            <w:pPr>
              <w:widowControl/>
              <w:numPr>
                <w:ilvl w:val="0"/>
                <w:numId w:val="19"/>
              </w:numPr>
              <w:jc w:val="left"/>
              <w:textAlignment w:val="center"/>
              <w:rPr>
                <w:rFonts w:hint="eastAsia" w:ascii="宋体" w:cs="宋体"/>
                <w:color w:val="auto"/>
                <w:sz w:val="21"/>
                <w:szCs w:val="21"/>
              </w:rPr>
            </w:pPr>
            <w:r>
              <w:rPr>
                <w:rFonts w:hint="eastAsia" w:ascii="宋体" w:cs="宋体"/>
                <w:color w:val="auto"/>
                <w:sz w:val="21"/>
                <w:szCs w:val="21"/>
                <w:lang w:bidi="ar"/>
              </w:rPr>
              <w:t>GISM地理信息模块提供GIS系统及GIS基本操作、智能标注、区域专题地图、分层区浏览、轨迹跟踪及轨迹回放等系统功能。</w:t>
            </w:r>
          </w:p>
        </w:tc>
      </w:tr>
      <w:tr>
        <w:tblPrEx>
          <w:tblCellMar>
            <w:top w:w="0" w:type="dxa"/>
            <w:left w:w="0" w:type="dxa"/>
            <w:bottom w:w="0" w:type="dxa"/>
            <w:right w:w="0" w:type="dxa"/>
          </w:tblCellMar>
        </w:tblPrEx>
        <w:trPr>
          <w:trHeight w:val="120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ITAM智能标注模块服务系统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
              </w:numPr>
              <w:jc w:val="left"/>
              <w:textAlignment w:val="center"/>
              <w:rPr>
                <w:rFonts w:hint="eastAsia" w:ascii="宋体" w:cs="宋体"/>
                <w:color w:val="auto"/>
                <w:sz w:val="21"/>
                <w:szCs w:val="21"/>
                <w:lang w:bidi="ar"/>
              </w:rPr>
            </w:pPr>
            <w:r>
              <w:rPr>
                <w:rFonts w:hint="eastAsia" w:ascii="宋体" w:cs="宋体"/>
                <w:color w:val="auto"/>
                <w:sz w:val="21"/>
                <w:szCs w:val="21"/>
                <w:lang w:bidi="ar"/>
              </w:rPr>
              <w:t>ITAM智能标注模块提供视联网资源在GISM上的自动和批量标注功能。</w:t>
            </w:r>
          </w:p>
          <w:p>
            <w:pPr>
              <w:widowControl/>
              <w:numPr>
                <w:ilvl w:val="0"/>
                <w:numId w:val="20"/>
              </w:numPr>
              <w:jc w:val="left"/>
              <w:textAlignment w:val="center"/>
              <w:rPr>
                <w:rFonts w:hint="eastAsia" w:ascii="宋体" w:cs="宋体"/>
                <w:color w:val="auto"/>
                <w:sz w:val="21"/>
                <w:szCs w:val="21"/>
              </w:rPr>
            </w:pPr>
            <w:r>
              <w:rPr>
                <w:rFonts w:hint="eastAsia" w:ascii="宋体" w:cs="宋体"/>
                <w:color w:val="auto"/>
                <w:sz w:val="21"/>
                <w:szCs w:val="21"/>
                <w:lang w:bidi="ar"/>
              </w:rPr>
              <w:t>视联天眼提供在GIS系统地理信息标注功能，通过GIS功能可将包括不限于会商终端设备、视频监控设备、手机移动端、PC桌面端等视联网资源池中的任意资源信息，根据其融合接入系统提供的地理位置信息自动运算提供相关终端的GIS地理位置，同时实现GIS系统上自化、批量化的标注资源点位信息。</w:t>
            </w:r>
          </w:p>
        </w:tc>
      </w:tr>
      <w:tr>
        <w:tblPrEx>
          <w:tblCellMar>
            <w:top w:w="0" w:type="dxa"/>
            <w:left w:w="0" w:type="dxa"/>
            <w:bottom w:w="0" w:type="dxa"/>
            <w:right w:w="0"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OVM融合通信模块服务系统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OVM融合通信模块实现视联网系统与可视化调度指挥系统的深度融合，实现了各系统之间的业务流充分打通，在指挥调度过程中无缝衔接，从语音时代向全面可视化时代跨越，打破传统“只闻其声不见其人”的沟通困境，真正实现“既闻其声又见其人”的可视化高效沟通。</w:t>
            </w:r>
          </w:p>
        </w:tc>
      </w:tr>
      <w:tr>
        <w:tblPrEx>
          <w:tblCellMar>
            <w:top w:w="0" w:type="dxa"/>
            <w:left w:w="0" w:type="dxa"/>
            <w:bottom w:w="0" w:type="dxa"/>
            <w:right w:w="0"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GVSI业务联动模块服务系统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GVSI业务联动模块提供以事件与报警的基于GIS的综合应用，实现事件回放、智能跟踪、一键报警联动、一键拉框组会及系统管理配置等。</w:t>
            </w:r>
          </w:p>
        </w:tc>
      </w:tr>
      <w:tr>
        <w:tblPrEx>
          <w:tblCellMar>
            <w:top w:w="0" w:type="dxa"/>
            <w:left w:w="0" w:type="dxa"/>
            <w:bottom w:w="0" w:type="dxa"/>
            <w:right w:w="0" w:type="dxa"/>
          </w:tblCellMar>
        </w:tblPrEx>
        <w:trPr>
          <w:trHeight w:val="14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智能大数据服务系统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智能大数据提供对平台网络运行和会议应用信息的数据收集、汇聚、分析及展示功能，提供多种类视联网终端运行情况的分时使用信息分析及展示，提供多时间维度（年、月、日）的视联网会议使用信息分析及展示，包括用户开会次数、会议时长和会议点位数等，通过智能大数据能够及时监控分析雪亮工程平台的运行状态、使用情况，为平台有效平稳的运行提供重要监测及分析保障，并为平台的使用效率提供重要的分析手段。</w:t>
            </w:r>
          </w:p>
        </w:tc>
      </w:tr>
      <w:tr>
        <w:tblPrEx>
          <w:tblCellMar>
            <w:top w:w="0" w:type="dxa"/>
            <w:left w:w="0" w:type="dxa"/>
            <w:bottom w:w="0" w:type="dxa"/>
            <w:right w:w="0"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智能网络服务系统</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1、</w:t>
            </w:r>
            <w:r>
              <w:rPr>
                <w:rFonts w:hint="eastAsia" w:ascii="宋体" w:cs="宋体"/>
                <w:color w:val="auto"/>
                <w:sz w:val="21"/>
                <w:szCs w:val="21"/>
                <w:lang w:bidi="ar"/>
              </w:rPr>
              <w:t>智能网络管理平台是视联网网元管理解决方案中的集中操作维护部分，提供配置管理、性能管理、故障管理、安全管理、日志管理、拓扑管理、软件管理、系统管理等网管基础功能和丰富的可选功能。管理员可通过图形化的界面方便地进行系统配置，软件升级，设备诊断及性能监测等业务。</w:t>
            </w:r>
          </w:p>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2、</w:t>
            </w:r>
            <w:r>
              <w:rPr>
                <w:rFonts w:hint="eastAsia" w:ascii="宋体" w:cs="宋体"/>
                <w:color w:val="auto"/>
                <w:sz w:val="21"/>
                <w:szCs w:val="21"/>
                <w:lang w:bidi="ar"/>
              </w:rPr>
              <w:t>智能网络管理平台是视联网全网建设和运行保障的支撑平台，实现了视联网全网点位统一管理和全网络的集中监控维护，形成了覆盖视联网全网运行维护保障体系，保障全网各级视联网业务正常开展。</w:t>
            </w:r>
          </w:p>
        </w:tc>
      </w:tr>
      <w:tr>
        <w:tblPrEx>
          <w:tblCellMar>
            <w:top w:w="0" w:type="dxa"/>
            <w:left w:w="0" w:type="dxa"/>
            <w:bottom w:w="0" w:type="dxa"/>
            <w:right w:w="0" w:type="dxa"/>
          </w:tblCellMar>
        </w:tblPrEx>
        <w:trPr>
          <w:trHeight w:val="57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48口交换机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
              </w:numPr>
              <w:jc w:val="left"/>
              <w:textAlignment w:val="center"/>
              <w:rPr>
                <w:rFonts w:hint="eastAsia" w:ascii="宋体" w:cs="宋体"/>
                <w:color w:val="auto"/>
                <w:sz w:val="21"/>
                <w:szCs w:val="21"/>
                <w:lang w:eastAsia="zh-CN" w:bidi="ar"/>
              </w:rPr>
            </w:pPr>
            <w:r>
              <w:rPr>
                <w:rFonts w:hint="eastAsia" w:ascii="宋体" w:cs="宋体"/>
                <w:color w:val="auto"/>
                <w:sz w:val="21"/>
                <w:szCs w:val="21"/>
                <w:lang w:bidi="ar"/>
              </w:rPr>
              <w:t>含主机、引擎、电源、板卡</w:t>
            </w:r>
            <w:r>
              <w:rPr>
                <w:rFonts w:hint="eastAsia" w:ascii="宋体" w:cs="宋体"/>
                <w:color w:val="auto"/>
                <w:sz w:val="21"/>
                <w:szCs w:val="21"/>
                <w:lang w:eastAsia="zh-CN" w:bidi="ar"/>
              </w:rPr>
              <w:t>；</w:t>
            </w:r>
            <w:r>
              <w:rPr>
                <w:rFonts w:hint="eastAsia" w:ascii="宋体" w:cs="宋体"/>
                <w:color w:val="auto"/>
                <w:sz w:val="21"/>
                <w:szCs w:val="21"/>
                <w:lang w:bidi="ar"/>
              </w:rPr>
              <w:t>交换容量：19.2Tbps/48Tbps</w:t>
            </w:r>
            <w:r>
              <w:rPr>
                <w:rFonts w:hint="eastAsia" w:ascii="宋体" w:cs="宋体"/>
                <w:color w:val="auto"/>
                <w:sz w:val="21"/>
                <w:szCs w:val="21"/>
                <w:lang w:bidi="ar"/>
              </w:rPr>
              <w:br w:type="textWrapping"/>
            </w:r>
            <w:r>
              <w:rPr>
                <w:rFonts w:hint="eastAsia" w:ascii="宋体" w:cs="宋体"/>
                <w:color w:val="auto"/>
                <w:sz w:val="21"/>
                <w:szCs w:val="21"/>
                <w:lang w:bidi="ar"/>
              </w:rPr>
              <w:t>槽位数量：3；业务槽位数量：3；二层特性：支持IEEE 802.1P(CoS优先级)</w:t>
            </w:r>
            <w:r>
              <w:rPr>
                <w:rFonts w:hint="eastAsia" w:ascii="宋体" w:cs="宋体"/>
                <w:color w:val="auto"/>
                <w:sz w:val="21"/>
                <w:szCs w:val="21"/>
                <w:lang w:eastAsia="zh-CN" w:bidi="ar"/>
              </w:rPr>
              <w:t>。</w:t>
            </w:r>
          </w:p>
          <w:p>
            <w:pPr>
              <w:widowControl/>
              <w:numPr>
                <w:ilvl w:val="0"/>
                <w:numId w:val="21"/>
              </w:numPr>
              <w:jc w:val="left"/>
              <w:textAlignment w:val="center"/>
              <w:rPr>
                <w:rFonts w:hint="eastAsia" w:ascii="宋体" w:cs="宋体"/>
                <w:color w:val="auto"/>
                <w:sz w:val="21"/>
                <w:szCs w:val="21"/>
              </w:rPr>
            </w:pPr>
            <w:r>
              <w:rPr>
                <w:rFonts w:hint="eastAsia" w:ascii="宋体" w:cs="宋体"/>
                <w:color w:val="auto"/>
                <w:sz w:val="21"/>
                <w:szCs w:val="21"/>
                <w:lang w:bidi="ar"/>
              </w:rPr>
              <w:t>支持IEEE 802.1Q（VLAN）；支持IEEE 802.1d（STP）/802.1w（RSTP）/802.1s（MSTP）</w:t>
            </w:r>
            <w:r>
              <w:rPr>
                <w:rFonts w:hint="eastAsia" w:ascii="宋体" w:cs="宋体"/>
                <w:color w:val="auto"/>
                <w:sz w:val="21"/>
                <w:szCs w:val="21"/>
                <w:lang w:eastAsia="zh-CN" w:bidi="ar"/>
              </w:rPr>
              <w:t>、</w:t>
            </w:r>
            <w:r>
              <w:rPr>
                <w:rFonts w:hint="eastAsia" w:ascii="宋体" w:cs="宋体"/>
                <w:color w:val="auto"/>
                <w:sz w:val="21"/>
                <w:szCs w:val="21"/>
                <w:lang w:bidi="ar"/>
              </w:rPr>
              <w:t>IEEE 802.1ad（QinQ），灵活QinQ和Vlan mappin</w:t>
            </w:r>
            <w:r>
              <w:rPr>
                <w:rFonts w:hint="eastAsia" w:ascii="宋体" w:cs="宋体"/>
                <w:color w:val="auto"/>
                <w:sz w:val="21"/>
                <w:szCs w:val="21"/>
                <w:lang w:eastAsia="zh-CN" w:bidi="ar"/>
              </w:rPr>
              <w:t>，</w:t>
            </w:r>
            <w:r>
              <w:rPr>
                <w:rFonts w:hint="eastAsia" w:ascii="宋体" w:cs="宋体"/>
                <w:color w:val="auto"/>
                <w:sz w:val="21"/>
                <w:szCs w:val="21"/>
                <w:lang w:bidi="ar"/>
              </w:rPr>
              <w:t>支持IEEE 802.3x（全双工流控）和背压式流控（半双工）</w:t>
            </w:r>
            <w:r>
              <w:rPr>
                <w:rFonts w:hint="eastAsia" w:ascii="宋体" w:cs="宋体"/>
                <w:color w:val="auto"/>
                <w:sz w:val="21"/>
                <w:szCs w:val="21"/>
                <w:lang w:eastAsia="zh-CN" w:bidi="ar"/>
              </w:rPr>
              <w:t>，</w:t>
            </w:r>
            <w:r>
              <w:rPr>
                <w:rFonts w:hint="eastAsia" w:ascii="宋体" w:cs="宋体"/>
                <w:color w:val="auto"/>
                <w:sz w:val="21"/>
                <w:szCs w:val="21"/>
                <w:lang w:bidi="ar"/>
              </w:rPr>
              <w:t>支持IEEE 802.3ad（链路聚合）和跨板链路聚</w:t>
            </w:r>
            <w:r>
              <w:rPr>
                <w:rFonts w:hint="eastAsia" w:ascii="宋体" w:cs="宋体"/>
                <w:color w:val="auto"/>
                <w:sz w:val="21"/>
                <w:szCs w:val="21"/>
                <w:lang w:eastAsia="zh-CN" w:bidi="ar"/>
              </w:rPr>
              <w:t>、</w:t>
            </w:r>
            <w:r>
              <w:rPr>
                <w:rFonts w:hint="eastAsia" w:ascii="宋体" w:cs="宋体"/>
                <w:color w:val="auto"/>
                <w:sz w:val="21"/>
                <w:szCs w:val="21"/>
                <w:lang w:bidi="ar"/>
              </w:rPr>
              <w:t>IEEE 802.3（10Base-T）/802.3u（100Base-T）</w:t>
            </w:r>
            <w:r>
              <w:rPr>
                <w:rFonts w:hint="eastAsia" w:ascii="宋体" w:cs="宋体"/>
                <w:color w:val="auto"/>
                <w:sz w:val="21"/>
                <w:szCs w:val="21"/>
                <w:lang w:eastAsia="zh-CN" w:bidi="ar"/>
              </w:rPr>
              <w:t>，</w:t>
            </w:r>
            <w:r>
              <w:rPr>
                <w:rFonts w:hint="eastAsia" w:ascii="宋体" w:cs="宋体"/>
                <w:color w:val="auto"/>
                <w:sz w:val="21"/>
                <w:szCs w:val="21"/>
                <w:lang w:bidi="ar"/>
              </w:rPr>
              <w:t>支持IEEE 802.3z（1000BASE-X）/802.3ab（1000BaseT）</w:t>
            </w:r>
            <w:r>
              <w:rPr>
                <w:rFonts w:hint="eastAsia" w:ascii="宋体" w:cs="宋体"/>
                <w:color w:val="auto"/>
                <w:sz w:val="21"/>
                <w:szCs w:val="21"/>
                <w:lang w:eastAsia="zh-CN" w:bidi="ar"/>
              </w:rPr>
              <w:t>、</w:t>
            </w:r>
            <w:r>
              <w:rPr>
                <w:rFonts w:hint="eastAsia" w:ascii="宋体" w:cs="宋体"/>
                <w:color w:val="auto"/>
                <w:sz w:val="21"/>
                <w:szCs w:val="21"/>
                <w:lang w:bidi="ar"/>
              </w:rPr>
              <w:t>IEEE 802.3ae（10Gbase）</w:t>
            </w:r>
            <w:r>
              <w:rPr>
                <w:rFonts w:hint="eastAsia" w:ascii="宋体" w:cs="宋体"/>
                <w:color w:val="auto"/>
                <w:sz w:val="21"/>
                <w:szCs w:val="21"/>
                <w:lang w:eastAsia="zh-CN" w:bidi="ar"/>
              </w:rPr>
              <w:t>、</w:t>
            </w:r>
            <w:r>
              <w:rPr>
                <w:rFonts w:hint="eastAsia" w:ascii="宋体" w:cs="宋体"/>
                <w:color w:val="auto"/>
                <w:sz w:val="21"/>
                <w:szCs w:val="21"/>
                <w:lang w:bidi="ar"/>
              </w:rPr>
              <w:t>IEEE 802.3af（PoE）</w:t>
            </w:r>
            <w:r>
              <w:rPr>
                <w:rFonts w:hint="eastAsia" w:ascii="宋体" w:cs="宋体"/>
                <w:color w:val="auto"/>
                <w:sz w:val="21"/>
                <w:szCs w:val="21"/>
                <w:lang w:eastAsia="zh-CN" w:bidi="ar"/>
              </w:rPr>
              <w:t>、</w:t>
            </w:r>
            <w:r>
              <w:rPr>
                <w:rFonts w:hint="eastAsia" w:ascii="宋体" w:cs="宋体"/>
                <w:color w:val="auto"/>
                <w:sz w:val="21"/>
                <w:szCs w:val="21"/>
                <w:lang w:bidi="ar"/>
              </w:rPr>
              <w:t>IEEE 802.3at（PoE+）</w:t>
            </w:r>
            <w:r>
              <w:rPr>
                <w:rFonts w:hint="eastAsia" w:ascii="宋体" w:cs="宋体"/>
                <w:color w:val="auto"/>
                <w:sz w:val="21"/>
                <w:szCs w:val="21"/>
                <w:lang w:eastAsia="zh-CN" w:bidi="ar"/>
              </w:rPr>
              <w:t>；</w:t>
            </w:r>
            <w:r>
              <w:rPr>
                <w:rFonts w:hint="eastAsia" w:ascii="宋体" w:cs="宋体"/>
                <w:color w:val="auto"/>
                <w:sz w:val="21"/>
                <w:szCs w:val="21"/>
                <w:lang w:bidi="ar"/>
              </w:rPr>
              <w:t>支持RRPP（快速环网保护协议）</w:t>
            </w:r>
            <w:r>
              <w:rPr>
                <w:rFonts w:hint="eastAsia" w:ascii="宋体" w:cs="宋体"/>
                <w:color w:val="auto"/>
                <w:sz w:val="21"/>
                <w:szCs w:val="21"/>
                <w:lang w:bidi="ar"/>
              </w:rPr>
              <w:br w:type="textWrapping"/>
            </w:r>
            <w:r>
              <w:rPr>
                <w:rFonts w:hint="eastAsia" w:ascii="宋体" w:cs="宋体"/>
                <w:color w:val="auto"/>
                <w:sz w:val="21"/>
                <w:szCs w:val="21"/>
                <w:lang w:bidi="ar"/>
              </w:rPr>
              <w:t>支持跨板端口/流镜像</w:t>
            </w:r>
            <w:r>
              <w:rPr>
                <w:rFonts w:hint="eastAsia" w:ascii="宋体" w:cs="宋体"/>
                <w:color w:val="auto"/>
                <w:sz w:val="21"/>
                <w:szCs w:val="21"/>
                <w:lang w:eastAsia="zh-CN" w:bidi="ar"/>
              </w:rPr>
              <w:t>、</w:t>
            </w:r>
            <w:r>
              <w:rPr>
                <w:rFonts w:hint="eastAsia" w:ascii="宋体" w:cs="宋体"/>
                <w:color w:val="auto"/>
                <w:sz w:val="21"/>
                <w:szCs w:val="21"/>
                <w:lang w:bidi="ar"/>
              </w:rPr>
              <w:t>端口广播/多播/未知单播风暴抑制</w:t>
            </w:r>
            <w:r>
              <w:rPr>
                <w:rFonts w:hint="eastAsia" w:ascii="宋体" w:cs="宋体"/>
                <w:color w:val="auto"/>
                <w:sz w:val="21"/>
                <w:szCs w:val="21"/>
                <w:lang w:eastAsia="zh-CN" w:bidi="ar"/>
              </w:rPr>
              <w:t>，</w:t>
            </w:r>
            <w:r>
              <w:rPr>
                <w:rFonts w:hint="eastAsia" w:ascii="宋体" w:cs="宋体"/>
                <w:color w:val="auto"/>
                <w:sz w:val="21"/>
                <w:szCs w:val="21"/>
                <w:lang w:bidi="ar"/>
              </w:rPr>
              <w:t>支持Jumbo Frame</w:t>
            </w:r>
            <w:r>
              <w:rPr>
                <w:rFonts w:hint="eastAsia" w:ascii="宋体" w:cs="宋体"/>
                <w:color w:val="auto"/>
                <w:sz w:val="21"/>
                <w:szCs w:val="21"/>
                <w:lang w:eastAsia="zh-CN" w:bidi="ar"/>
              </w:rPr>
              <w:t>；</w:t>
            </w:r>
            <w:r>
              <w:rPr>
                <w:rFonts w:hint="eastAsia" w:ascii="宋体" w:cs="宋体"/>
                <w:color w:val="auto"/>
                <w:sz w:val="21"/>
                <w:szCs w:val="21"/>
                <w:lang w:bidi="ar"/>
              </w:rPr>
              <w:t>支持基于端口、协议、子网和MAC的VLAN划分</w:t>
            </w:r>
            <w:r>
              <w:rPr>
                <w:rFonts w:hint="eastAsia" w:ascii="宋体" w:cs="宋体"/>
                <w:color w:val="auto"/>
                <w:sz w:val="21"/>
                <w:szCs w:val="21"/>
                <w:lang w:eastAsia="zh-CN" w:bidi="ar"/>
              </w:rPr>
              <w:t>，</w:t>
            </w:r>
            <w:r>
              <w:rPr>
                <w:rFonts w:hint="eastAsia" w:ascii="宋体" w:cs="宋体"/>
                <w:color w:val="auto"/>
                <w:sz w:val="21"/>
                <w:szCs w:val="21"/>
                <w:lang w:bidi="ar"/>
              </w:rPr>
              <w:t>支持SuperVLAN</w:t>
            </w:r>
            <w:r>
              <w:rPr>
                <w:rFonts w:hint="eastAsia" w:ascii="宋体" w:cs="宋体"/>
                <w:color w:val="auto"/>
                <w:sz w:val="21"/>
                <w:szCs w:val="21"/>
                <w:lang w:eastAsia="zh-CN" w:bidi="ar"/>
              </w:rPr>
              <w:t>；</w:t>
            </w:r>
            <w:r>
              <w:rPr>
                <w:rFonts w:hint="eastAsia" w:ascii="宋体" w:cs="宋体"/>
                <w:color w:val="auto"/>
                <w:sz w:val="21"/>
                <w:szCs w:val="21"/>
                <w:lang w:bidi="ar"/>
              </w:rPr>
              <w:t>支持PVLAN；支持Multicast VLAN+；支持点到点 单VLAN交叉连接、双VLAN交叉连接</w:t>
            </w:r>
            <w:r>
              <w:rPr>
                <w:rFonts w:hint="eastAsia" w:ascii="宋体" w:cs="宋体"/>
                <w:color w:val="auto"/>
                <w:sz w:val="21"/>
                <w:szCs w:val="21"/>
                <w:lang w:eastAsia="zh-CN" w:bidi="ar"/>
              </w:rPr>
              <w:t>；</w:t>
            </w:r>
            <w:r>
              <w:rPr>
                <w:rFonts w:hint="eastAsia" w:ascii="宋体" w:cs="宋体"/>
                <w:color w:val="auto"/>
                <w:sz w:val="21"/>
                <w:szCs w:val="21"/>
                <w:lang w:bidi="ar"/>
              </w:rPr>
              <w:t>全部依靠VLAN-ID进行转发，不涉及MAC地址学习；支持最大VLAN MAPING/灵活QinQ表项</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全面支持VLAN MAPPING能力；支持GVRP；支持LLDP；支持L3 MPLS VPN</w:t>
            </w:r>
            <w:r>
              <w:rPr>
                <w:rFonts w:hint="eastAsia" w:ascii="宋体" w:cs="宋体"/>
                <w:color w:val="auto"/>
                <w:sz w:val="21"/>
                <w:szCs w:val="21"/>
                <w:lang w:eastAsia="zh-CN" w:bidi="ar"/>
              </w:rPr>
              <w:t>；</w:t>
            </w:r>
            <w:r>
              <w:rPr>
                <w:rFonts w:hint="eastAsia" w:ascii="宋体" w:cs="宋体"/>
                <w:color w:val="auto"/>
                <w:sz w:val="21"/>
                <w:szCs w:val="21"/>
                <w:lang w:bidi="ar"/>
              </w:rPr>
              <w:t>支持L2 VPN: VLL (Martini, Kompella)</w:t>
            </w:r>
            <w:r>
              <w:rPr>
                <w:rFonts w:hint="eastAsia" w:ascii="宋体" w:cs="宋体"/>
                <w:color w:val="auto"/>
                <w:sz w:val="21"/>
                <w:szCs w:val="21"/>
                <w:lang w:eastAsia="zh-CN" w:bidi="ar"/>
              </w:rPr>
              <w:t>；</w:t>
            </w:r>
            <w:r>
              <w:rPr>
                <w:rFonts w:hint="eastAsia" w:ascii="宋体" w:cs="宋体"/>
                <w:color w:val="auto"/>
                <w:sz w:val="21"/>
                <w:szCs w:val="21"/>
                <w:lang w:bidi="ar"/>
              </w:rPr>
              <w:t>支持MCE；支持MPLS OAM；支持VPLS,VLL；支持分层VPLS，以及QinQ+VPLS接入</w:t>
            </w:r>
            <w:r>
              <w:rPr>
                <w:rFonts w:hint="eastAsia" w:ascii="宋体" w:cs="宋体"/>
                <w:color w:val="auto"/>
                <w:sz w:val="21"/>
                <w:szCs w:val="21"/>
                <w:lang w:bidi="ar"/>
              </w:rPr>
              <w:br w:type="textWrapping"/>
            </w:r>
            <w:r>
              <w:rPr>
                <w:rFonts w:hint="eastAsia" w:ascii="宋体" w:cs="宋体"/>
                <w:color w:val="auto"/>
                <w:sz w:val="21"/>
                <w:szCs w:val="21"/>
                <w:lang w:bidi="ar"/>
              </w:rPr>
              <w:t>支持P/PE功能；支持LDP协议</w:t>
            </w:r>
            <w:r>
              <w:rPr>
                <w:rFonts w:hint="eastAsia" w:ascii="宋体" w:cs="宋体"/>
                <w:color w:val="auto"/>
                <w:sz w:val="21"/>
                <w:szCs w:val="21"/>
                <w:lang w:eastAsia="zh-CN" w:bidi="ar"/>
              </w:rPr>
              <w:t>。</w:t>
            </w:r>
          </w:p>
          <w:p>
            <w:pPr>
              <w:widowControl/>
              <w:numPr>
                <w:ilvl w:val="0"/>
                <w:numId w:val="21"/>
              </w:numPr>
              <w:jc w:val="left"/>
              <w:textAlignment w:val="center"/>
              <w:rPr>
                <w:rFonts w:hint="eastAsia" w:ascii="宋体" w:cs="宋体"/>
                <w:color w:val="auto"/>
                <w:sz w:val="21"/>
                <w:szCs w:val="21"/>
              </w:rPr>
            </w:pPr>
            <w:r>
              <w:rPr>
                <w:rFonts w:hint="eastAsia" w:ascii="宋体" w:cs="宋体"/>
                <w:color w:val="auto"/>
                <w:sz w:val="21"/>
                <w:szCs w:val="21"/>
                <w:lang w:bidi="ar"/>
              </w:rPr>
              <w:t>电源电压：DC：–48V～–60V、AC： 100V～240V；最大功率：≤400W</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72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防火墙</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网络处理能力为3G,并发连接110万,每秒新建连接3万/秒，标准1U机箱，单电源，标准配置6个10/100/1000M自适应电口，2个千兆SFP插槽，1个Console口，2个USB接口，冗余电源，三年特征库升级服务</w:t>
            </w:r>
          </w:p>
        </w:tc>
      </w:tr>
      <w:tr>
        <w:tblPrEx>
          <w:tblCellMar>
            <w:top w:w="0" w:type="dxa"/>
            <w:left w:w="0" w:type="dxa"/>
            <w:bottom w:w="0" w:type="dxa"/>
            <w:right w:w="0" w:type="dxa"/>
          </w:tblCellMar>
        </w:tblPrEx>
        <w:trPr>
          <w:trHeight w:val="6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边界设备-视频安全交换接入系统（万兆）</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
              </w:numPr>
              <w:jc w:val="left"/>
              <w:textAlignment w:val="center"/>
              <w:rPr>
                <w:rFonts w:hint="eastAsia" w:ascii="宋体" w:cs="宋体"/>
                <w:color w:val="auto"/>
                <w:sz w:val="21"/>
                <w:szCs w:val="21"/>
                <w:lang w:bidi="ar"/>
              </w:rPr>
            </w:pPr>
            <w:r>
              <w:rPr>
                <w:rFonts w:hint="eastAsia" w:ascii="宋体" w:cs="宋体"/>
                <w:color w:val="auto"/>
                <w:sz w:val="21"/>
                <w:szCs w:val="21"/>
                <w:lang w:bidi="ar"/>
              </w:rPr>
              <w:t>系统采用三部件构成，包括视频用户认证服务器、视频接入认证服务器和安全隔离设备,冗余电源，为同一厂家品牌</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2、用户认证服务器端口：配置≥2个千兆以太网络接口，配置≥2个万兆光纤接口（含光模块），接入认证服务器端口：配置≥2个千兆以太网络接口，配置≥2个万兆光纤接口（含光模块），视频安全隔离设备端口：配置≥2个千兆以太网络接口，配置≥2个万兆光纤接口（含光模块）</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3、系统吞吐量≥4Gbps，并发吞吐量≥2000路并发（标清：每路D1画质，2Mbps）</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4、稳定性运行时间(MTBF)≥50000小时</w:t>
            </w:r>
            <w:r>
              <w:rPr>
                <w:rFonts w:hint="eastAsia" w:ascii="宋体" w:cs="宋体"/>
                <w:color w:val="auto"/>
                <w:sz w:val="21"/>
                <w:szCs w:val="21"/>
                <w:lang w:eastAsia="zh-CN" w:bidi="ar"/>
              </w:rPr>
              <w:t>。</w:t>
            </w:r>
          </w:p>
          <w:p>
            <w:pPr>
              <w:widowControl/>
              <w:numPr>
                <w:ilvl w:val="0"/>
                <w:numId w:val="0"/>
              </w:numPr>
              <w:jc w:val="left"/>
              <w:textAlignment w:val="center"/>
              <w:rPr>
                <w:rFonts w:hint="eastAsia" w:ascii="宋体" w:cs="宋体"/>
                <w:color w:val="auto"/>
                <w:sz w:val="21"/>
                <w:szCs w:val="21"/>
              </w:rPr>
            </w:pPr>
            <w:r>
              <w:rPr>
                <w:rFonts w:hint="eastAsia" w:ascii="宋体" w:cs="宋体"/>
                <w:color w:val="auto"/>
                <w:sz w:val="21"/>
                <w:szCs w:val="21"/>
                <w:lang w:bidi="ar"/>
              </w:rPr>
              <w:t>5、延时＜20ms</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6、能支持主流视频协议类型包括：GB28181,DB33,海康,大华,宇视,立元,信产,科达 ,互信互通，华为等</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7、能够直接识别各种主流的视频格式，仅允许合法的视频数据通过</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8、可针对视频控制信令SIP RTSP以及视频流格式RTP等配置白名单过滤条件，支持正则表达式</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9、要求对用户行为进行审计，包括正常登录，非法登录，非法请求，退出等</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10、符合公安部《公安信息通信网边界接入平台安全规范（试行）》的要求</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11、产品必须入围公安部组织测试的接入平台安全厂商名单，提供检测报告和入围证明</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12、产品必须具有网络关键设备和网络安全专用产品安全认证证书和中国国家信息安全产品认证证书</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13、产品必须具有密码检测证书</w:t>
            </w:r>
            <w:r>
              <w:rPr>
                <w:rFonts w:hint="eastAsia" w:ascii="宋体" w:cs="宋体"/>
                <w:color w:val="auto"/>
                <w:sz w:val="21"/>
                <w:szCs w:val="21"/>
                <w:lang w:eastAsia="zh-CN" w:bidi="ar"/>
              </w:rPr>
              <w:t>。</w:t>
            </w:r>
            <w:r>
              <w:rPr>
                <w:rFonts w:hint="eastAsia" w:ascii="宋体" w:cs="宋体"/>
                <w:color w:val="auto"/>
                <w:sz w:val="21"/>
                <w:szCs w:val="21"/>
                <w:lang w:bidi="ar"/>
              </w:rPr>
              <w:t xml:space="preserve">                                                        14、产品原厂商必须具有CMMI3级或以上认证证书。</w:t>
            </w:r>
          </w:p>
        </w:tc>
      </w:tr>
      <w:tr>
        <w:tblPrEx>
          <w:tblCellMar>
            <w:top w:w="0" w:type="dxa"/>
            <w:left w:w="0" w:type="dxa"/>
            <w:bottom w:w="0" w:type="dxa"/>
            <w:right w:w="0" w:type="dxa"/>
          </w:tblCellMar>
        </w:tblPrEx>
        <w:trPr>
          <w:trHeight w:val="3257"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社会资源点位接入平台</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1、</w:t>
            </w:r>
            <w:r>
              <w:rPr>
                <w:rFonts w:hint="eastAsia" w:ascii="宋体" w:cs="宋体"/>
                <w:color w:val="auto"/>
                <w:sz w:val="21"/>
                <w:szCs w:val="21"/>
                <w:lang w:bidi="ar"/>
              </w:rPr>
              <w:t>支持各种监控厂家设备的接口或协议差异；支持GB/T28181、DB33、ONVIF等各类不同标准协议视频编码设备或平台的接入；支持主流厂商设备SDK接入。</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支持不小于1万路的社会视频资源接入能力。</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平台支持通过GB/T28181协议与</w:t>
            </w:r>
            <w:r>
              <w:rPr>
                <w:rFonts w:hint="eastAsia" w:ascii="宋体" w:cs="宋体"/>
                <w:color w:val="auto"/>
                <w:sz w:val="21"/>
                <w:szCs w:val="21"/>
                <w:lang w:val="en-US" w:eastAsia="zh-CN" w:bidi="ar"/>
              </w:rPr>
              <w:t>仙居</w:t>
            </w:r>
            <w:r>
              <w:rPr>
                <w:rFonts w:hint="eastAsia" w:ascii="宋体" w:cs="宋体"/>
                <w:color w:val="auto"/>
                <w:sz w:val="21"/>
                <w:szCs w:val="21"/>
                <w:lang w:bidi="ar"/>
              </w:rPr>
              <w:t>县公安天网工程视频共享平台、实战应用平台级联对接。</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提供视频、图像、语音、数据、告警等多种信息的远程采集、传输、控制、存储、检索、回放、下载、管理等业务。采用模块化设计，可以根据业务发展进行灵活扩充，并提供分级、分权、分域部署模式，支持集群部署；支持用户接入认证、前端设备接入认证；具备完备的多级权限管理机制，提高平台访问安全性，遵循统一管理，统一认证，统一鉴权原则。支持C/S架构和B/S架构。</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5、</w:t>
            </w:r>
            <w:r>
              <w:rPr>
                <w:rFonts w:hint="eastAsia" w:ascii="宋体" w:cs="宋体"/>
                <w:color w:val="auto"/>
                <w:sz w:val="21"/>
                <w:szCs w:val="21"/>
                <w:lang w:bidi="ar"/>
              </w:rPr>
              <w:t>支持与各运营商自建视频平台的对接。</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15</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通用服务器</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4114(10核2.2GHz)×1/32G DDR4/1TB 7.2K  SATA×2/SAS_HBA/1GbE×2/550W(1+1)/2U/16DIMM</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互联网专线</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100M带宽、8个固定公网IP地址、提供五年服务</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216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17</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部门</w:t>
            </w:r>
            <w:r>
              <w:rPr>
                <w:rFonts w:hint="eastAsia" w:ascii="宋体" w:cs="宋体"/>
                <w:color w:val="auto"/>
                <w:sz w:val="21"/>
                <w:szCs w:val="21"/>
                <w:lang w:bidi="ar"/>
              </w:rPr>
              <w:t>资源点位接入平台</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1、</w:t>
            </w:r>
            <w:r>
              <w:rPr>
                <w:rFonts w:hint="eastAsia" w:ascii="宋体" w:cs="宋体"/>
                <w:color w:val="auto"/>
                <w:sz w:val="21"/>
                <w:szCs w:val="21"/>
                <w:lang w:bidi="ar"/>
              </w:rPr>
              <w:t>支持各种监控厂家设备的接口或协议差异；支持GB/T28181、DB33、ONVIF等各类不同标准协议视频编码设备或平台的接入；支持主流厂商设备SDK接入。</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支持不小于1万路的社会视频资源接入能力。</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平台支持通过GB/T28181协议与</w:t>
            </w:r>
            <w:r>
              <w:rPr>
                <w:rFonts w:hint="eastAsia" w:ascii="宋体" w:cs="宋体"/>
                <w:color w:val="auto"/>
                <w:sz w:val="21"/>
                <w:szCs w:val="21"/>
                <w:lang w:val="en-US" w:eastAsia="zh-CN" w:bidi="ar"/>
              </w:rPr>
              <w:t>仙居</w:t>
            </w:r>
            <w:r>
              <w:rPr>
                <w:rFonts w:hint="eastAsia" w:ascii="宋体" w:cs="宋体"/>
                <w:color w:val="auto"/>
                <w:sz w:val="21"/>
                <w:szCs w:val="21"/>
                <w:lang w:bidi="ar"/>
              </w:rPr>
              <w:t>县公安天网工程视频共享平台、实战应用平台级联对接。</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提供视频、图像、语音、数据、告警等多种信息的远程采集、传输、控制、存储、检索、回放、下载、管理等业务。采用模块化设计，可以根据业务发展进行灵活扩充，并提供分级、分权、分域部署模式，支持集群部署；支持用户接入认证、前端设备接入认证；具备完备的多级权限管理机制，提高平台访问安全性，遵循统一管理，统一认证，统一鉴权原则。支持C/S架构和B/S架构。</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5、</w:t>
            </w:r>
            <w:r>
              <w:rPr>
                <w:rFonts w:hint="eastAsia" w:ascii="宋体" w:cs="宋体"/>
                <w:color w:val="auto"/>
                <w:sz w:val="21"/>
                <w:szCs w:val="21"/>
                <w:lang w:bidi="ar"/>
              </w:rPr>
              <w:t>支持与各运营商自建视频平台的对接。</w:t>
            </w:r>
          </w:p>
        </w:tc>
      </w:tr>
      <w:tr>
        <w:tblPrEx>
          <w:tblCellMar>
            <w:top w:w="0" w:type="dxa"/>
            <w:left w:w="0" w:type="dxa"/>
            <w:bottom w:w="0" w:type="dxa"/>
            <w:right w:w="0" w:type="dxa"/>
          </w:tblCellMar>
        </w:tblPrEx>
        <w:trPr>
          <w:trHeight w:val="2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通用服务器</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4114(10核2.2GHz)×1/32G DDR4/1TB 7.2K  SATA×2/SAS_HBA/1GbE×2/550W(1+1)/2U/16DIMM</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48口全千兆三层交换机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baseline"/>
              <w:rPr>
                <w:rFonts w:hint="eastAsia" w:ascii="宋体" w:cs="Arial"/>
                <w:color w:val="auto"/>
                <w:sz w:val="21"/>
                <w:szCs w:val="21"/>
                <w:lang w:bidi="ar"/>
              </w:rPr>
            </w:pPr>
            <w:r>
              <w:rPr>
                <w:rFonts w:hint="eastAsia" w:ascii="宋体" w:cs="Arial"/>
                <w:color w:val="auto"/>
                <w:sz w:val="21"/>
                <w:szCs w:val="21"/>
                <w:lang w:bidi="ar"/>
              </w:rPr>
              <w:t>▲</w:t>
            </w:r>
            <w:r>
              <w:rPr>
                <w:rFonts w:hint="eastAsia" w:ascii="宋体" w:cs="Arial"/>
                <w:color w:val="auto"/>
                <w:sz w:val="21"/>
                <w:szCs w:val="21"/>
                <w:lang w:val="en-US" w:eastAsia="zh-CN" w:bidi="ar"/>
              </w:rPr>
              <w:t>1、</w:t>
            </w:r>
            <w:r>
              <w:rPr>
                <w:rFonts w:hint="eastAsia" w:ascii="宋体" w:cs="Arial"/>
                <w:color w:val="auto"/>
                <w:sz w:val="21"/>
                <w:szCs w:val="21"/>
                <w:lang w:bidi="ar"/>
              </w:rPr>
              <w:t>设备性能：交换容量≥5.9</w:t>
            </w:r>
            <w:r>
              <w:rPr>
                <w:rFonts w:ascii="宋体" w:cs="Arial"/>
                <w:color w:val="auto"/>
                <w:sz w:val="21"/>
                <w:szCs w:val="21"/>
                <w:lang w:bidi="ar"/>
              </w:rPr>
              <w:t>0</w:t>
            </w:r>
            <w:r>
              <w:rPr>
                <w:rFonts w:hint="eastAsia" w:ascii="宋体" w:cs="Arial"/>
                <w:color w:val="auto"/>
                <w:sz w:val="21"/>
                <w:szCs w:val="21"/>
                <w:lang w:bidi="ar"/>
              </w:rPr>
              <w:t>Tbps，转发性能≥2</w:t>
            </w:r>
            <w:r>
              <w:rPr>
                <w:rFonts w:ascii="宋体" w:cs="Arial"/>
                <w:color w:val="auto"/>
                <w:sz w:val="21"/>
                <w:szCs w:val="21"/>
                <w:lang w:bidi="ar"/>
              </w:rPr>
              <w:t>50</w:t>
            </w:r>
            <w:r>
              <w:rPr>
                <w:rFonts w:hint="eastAsia" w:ascii="宋体" w:cs="Arial"/>
                <w:color w:val="auto"/>
                <w:sz w:val="21"/>
                <w:szCs w:val="21"/>
                <w:lang w:bidi="ar"/>
              </w:rPr>
              <w:t>Mpps；模块化双电源；模块化双风扇，前/后通风；</w:t>
            </w:r>
            <w:r>
              <w:rPr>
                <w:rFonts w:ascii="宋体" w:cs="Arial"/>
                <w:color w:val="auto"/>
                <w:sz w:val="21"/>
                <w:szCs w:val="21"/>
                <w:lang w:bidi="ar"/>
              </w:rPr>
              <w:t>48个10/100/1000Base-T自适应以太网端口，</w:t>
            </w:r>
            <w:r>
              <w:rPr>
                <w:rFonts w:hint="eastAsia" w:ascii="宋体" w:cs="Arial"/>
                <w:color w:val="auto"/>
                <w:sz w:val="21"/>
                <w:szCs w:val="21"/>
                <w:lang w:val="en-US" w:eastAsia="zh-CN" w:bidi="ar"/>
              </w:rPr>
              <w:t>4个以上</w:t>
            </w:r>
            <w:r>
              <w:rPr>
                <w:rFonts w:ascii="宋体" w:cs="Arial"/>
                <w:color w:val="auto"/>
                <w:sz w:val="21"/>
                <w:szCs w:val="21"/>
                <w:lang w:bidi="ar"/>
              </w:rPr>
              <w:t>万兆SFP+口</w:t>
            </w:r>
            <w:r>
              <w:rPr>
                <w:rFonts w:hint="eastAsia" w:ascii="宋体" w:cs="宋体"/>
                <w:color w:val="auto"/>
                <w:sz w:val="21"/>
                <w:szCs w:val="21"/>
                <w:lang w:bidi="ar"/>
              </w:rPr>
              <w:t>。</w:t>
            </w:r>
          </w:p>
          <w:p>
            <w:pPr>
              <w:jc w:val="left"/>
              <w:textAlignment w:val="baseline"/>
              <w:rPr>
                <w:rFonts w:ascii="宋体" w:cs="Arial"/>
                <w:color w:val="auto"/>
                <w:sz w:val="21"/>
                <w:szCs w:val="21"/>
              </w:rPr>
            </w:pPr>
            <w:r>
              <w:rPr>
                <w:rFonts w:hint="eastAsia" w:ascii="宋体" w:cs="Arial"/>
                <w:color w:val="auto"/>
                <w:sz w:val="21"/>
                <w:szCs w:val="21"/>
                <w:lang w:val="en-US" w:eastAsia="zh-CN" w:bidi="ar"/>
              </w:rPr>
              <w:t>2、</w:t>
            </w:r>
            <w:r>
              <w:rPr>
                <w:rFonts w:hint="eastAsia" w:ascii="宋体" w:cs="Arial"/>
                <w:color w:val="auto"/>
                <w:sz w:val="21"/>
                <w:szCs w:val="21"/>
                <w:lang w:bidi="ar"/>
              </w:rPr>
              <w:t>性能指标：</w:t>
            </w:r>
            <w:r>
              <w:rPr>
                <w:rFonts w:hint="eastAsia" w:ascii="宋体" w:cs="Arial"/>
                <w:color w:val="auto"/>
                <w:sz w:val="21"/>
                <w:szCs w:val="21"/>
                <w:lang w:eastAsia="zh-CN" w:bidi="ar"/>
              </w:rPr>
              <w:t>支持三层交换技术；</w:t>
            </w:r>
            <w:r>
              <w:rPr>
                <w:rFonts w:hint="eastAsia" w:ascii="宋体" w:cs="Arial"/>
                <w:color w:val="auto"/>
                <w:sz w:val="21"/>
                <w:szCs w:val="21"/>
                <w:lang w:bidi="ar"/>
              </w:rPr>
              <w:t>VLAN特性：支持基于端口的VLAN，支持基于协议的VLAN；支持基于MAC的VLAN；最大VLAN数(不是VLAN ID)&gt;=4094</w:t>
            </w:r>
            <w:r>
              <w:rPr>
                <w:rFonts w:hint="eastAsia" w:ascii="宋体" w:cs="宋体"/>
                <w:color w:val="auto"/>
                <w:sz w:val="21"/>
                <w:szCs w:val="21"/>
                <w:lang w:bidi="ar"/>
              </w:rPr>
              <w:t>。</w:t>
            </w:r>
          </w:p>
          <w:p>
            <w:pPr>
              <w:rPr>
                <w:rFonts w:ascii="宋体" w:cs="Arial"/>
                <w:color w:val="auto"/>
                <w:sz w:val="21"/>
                <w:szCs w:val="21"/>
                <w:lang w:bidi="ar"/>
              </w:rPr>
            </w:pPr>
            <w:r>
              <w:rPr>
                <w:rFonts w:hint="eastAsia" w:ascii="宋体" w:cs="Arial"/>
                <w:color w:val="auto"/>
                <w:sz w:val="21"/>
                <w:szCs w:val="21"/>
                <w:lang w:val="en-US" w:eastAsia="zh-CN" w:bidi="ar"/>
              </w:rPr>
              <w:t>3、</w:t>
            </w:r>
            <w:r>
              <w:rPr>
                <w:rFonts w:hint="eastAsia" w:ascii="宋体" w:cs="Arial"/>
                <w:color w:val="auto"/>
                <w:sz w:val="21"/>
                <w:szCs w:val="21"/>
                <w:lang w:bidi="ar"/>
              </w:rPr>
              <w:t>管理和维护：支持SNMP V1/V2/V3、RMON、SSHV2；支持OAM(802.1AG， 802.3AH)以太网运行、维护和管理标准</w:t>
            </w:r>
            <w:r>
              <w:rPr>
                <w:rFonts w:hint="eastAsia" w:ascii="宋体" w:cs="宋体"/>
                <w:color w:val="auto"/>
                <w:sz w:val="21"/>
                <w:szCs w:val="21"/>
                <w:lang w:bidi="ar"/>
              </w:rPr>
              <w:t>。</w:t>
            </w:r>
          </w:p>
          <w:p>
            <w:pPr>
              <w:rPr>
                <w:rFonts w:ascii="宋体" w:cs="Arial"/>
                <w:color w:val="auto"/>
                <w:sz w:val="21"/>
                <w:szCs w:val="21"/>
                <w:lang w:bidi="ar"/>
              </w:rPr>
            </w:pPr>
            <w:r>
              <w:rPr>
                <w:rFonts w:hint="eastAsia" w:ascii="宋体" w:cs="Arial"/>
                <w:color w:val="auto"/>
                <w:sz w:val="21"/>
                <w:szCs w:val="21"/>
                <w:lang w:val="en-US" w:eastAsia="zh-CN" w:bidi="ar"/>
              </w:rPr>
              <w:t>4、</w:t>
            </w:r>
            <w:r>
              <w:rPr>
                <w:rFonts w:hint="eastAsia" w:ascii="宋体" w:cs="Arial"/>
                <w:color w:val="auto"/>
                <w:sz w:val="21"/>
                <w:szCs w:val="21"/>
                <w:lang w:bidi="ar"/>
              </w:rPr>
              <w:t>路由协议：支持IPv4静态路由、RIP V1/V2、OSPF、BGP；</w:t>
            </w:r>
          </w:p>
          <w:p>
            <w:pPr>
              <w:rPr>
                <w:rFonts w:ascii="宋体" w:cs="Arial"/>
                <w:color w:val="auto"/>
                <w:sz w:val="21"/>
                <w:szCs w:val="21"/>
                <w:lang w:bidi="ar"/>
              </w:rPr>
            </w:pPr>
            <w:r>
              <w:rPr>
                <w:rFonts w:hint="eastAsia" w:ascii="宋体" w:cs="Arial"/>
                <w:color w:val="auto"/>
                <w:sz w:val="21"/>
                <w:szCs w:val="21"/>
                <w:lang w:bidi="ar"/>
              </w:rPr>
              <w:t>支持IPv6静态路由、RIPng、OSPFv3、BGP4+</w:t>
            </w:r>
            <w:r>
              <w:rPr>
                <w:rFonts w:hint="eastAsia" w:ascii="宋体" w:cs="Arial"/>
                <w:color w:val="auto"/>
                <w:sz w:val="21"/>
                <w:szCs w:val="21"/>
                <w:lang w:eastAsia="zh-CN" w:bidi="ar"/>
              </w:rPr>
              <w:t>。</w:t>
            </w:r>
          </w:p>
          <w:p>
            <w:pPr>
              <w:rPr>
                <w:rFonts w:hint="eastAsia" w:ascii="宋体" w:cs="宋体"/>
                <w:color w:val="auto"/>
                <w:sz w:val="21"/>
                <w:szCs w:val="21"/>
              </w:rPr>
            </w:pPr>
          </w:p>
        </w:tc>
      </w:tr>
      <w:tr>
        <w:tblPrEx>
          <w:tblCellMar>
            <w:top w:w="0" w:type="dxa"/>
            <w:left w:w="0" w:type="dxa"/>
            <w:bottom w:w="0" w:type="dxa"/>
            <w:right w:w="0" w:type="dxa"/>
          </w:tblCellMar>
        </w:tblPrEx>
        <w:trPr>
          <w:trHeight w:val="255"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20</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bottom"/>
              <w:rPr>
                <w:rFonts w:ascii="宋体" w:cs="Arial"/>
                <w:color w:val="auto"/>
                <w:sz w:val="21"/>
                <w:szCs w:val="21"/>
              </w:rPr>
            </w:pPr>
            <w:r>
              <w:rPr>
                <w:rFonts w:ascii="宋体" w:cs="Arial"/>
                <w:color w:val="auto"/>
                <w:sz w:val="21"/>
                <w:szCs w:val="21"/>
                <w:lang w:bidi="ar"/>
              </w:rPr>
              <w:t xml:space="preserve">150W </w:t>
            </w:r>
            <w:r>
              <w:rPr>
                <w:rStyle w:val="83"/>
                <w:rFonts w:ascii="宋体"/>
                <w:color w:val="auto"/>
                <w:sz w:val="21"/>
                <w:szCs w:val="21"/>
                <w:lang w:bidi="ar"/>
              </w:rPr>
              <w:t>资产管理交流电源模块</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4端口万兆SFP Plus以太网光接口模块</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宋体" w:cs="Arial"/>
                <w:color w:val="auto"/>
                <w:sz w:val="21"/>
                <w:szCs w:val="21"/>
              </w:rPr>
            </w:pPr>
            <w:r>
              <w:rPr>
                <w:rFonts w:ascii="宋体" w:cs="Arial"/>
                <w:color w:val="auto"/>
                <w:sz w:val="21"/>
                <w:szCs w:val="21"/>
                <w:lang w:bidi="ar"/>
              </w:rPr>
              <w:t>4</w:t>
            </w:r>
            <w:r>
              <w:rPr>
                <w:rStyle w:val="153"/>
                <w:rFonts w:hint="default"/>
                <w:color w:val="auto"/>
                <w:sz w:val="21"/>
                <w:szCs w:val="21"/>
                <w:lang w:bidi="ar"/>
              </w:rPr>
              <w:t>端口万兆</w:t>
            </w:r>
            <w:r>
              <w:rPr>
                <w:rStyle w:val="103"/>
                <w:rFonts w:ascii="宋体" w:hAnsi="宋体"/>
                <w:color w:val="auto"/>
                <w:sz w:val="21"/>
                <w:szCs w:val="21"/>
                <w:lang w:bidi="ar"/>
              </w:rPr>
              <w:t>SFP Plus</w:t>
            </w:r>
            <w:r>
              <w:rPr>
                <w:rStyle w:val="153"/>
                <w:rFonts w:hint="default"/>
                <w:color w:val="auto"/>
                <w:sz w:val="21"/>
                <w:szCs w:val="21"/>
                <w:lang w:bidi="ar"/>
              </w:rPr>
              <w:t>以太网光接口模块，于</w:t>
            </w:r>
            <w:r>
              <w:rPr>
                <w:rStyle w:val="103"/>
                <w:rFonts w:ascii="宋体" w:hAnsi="宋体"/>
                <w:color w:val="auto"/>
                <w:sz w:val="21"/>
                <w:szCs w:val="21"/>
                <w:lang w:bidi="ar"/>
              </w:rPr>
              <w:t>48</w:t>
            </w:r>
            <w:r>
              <w:rPr>
                <w:rStyle w:val="153"/>
                <w:rFonts w:hint="default"/>
                <w:color w:val="auto"/>
                <w:sz w:val="21"/>
                <w:szCs w:val="21"/>
                <w:lang w:bidi="ar"/>
              </w:rPr>
              <w:t>口全千兆三层交换机兼容，</w:t>
            </w:r>
            <w:r>
              <w:rPr>
                <w:rFonts w:hint="eastAsia" w:ascii="宋体" w:cs="宋体"/>
                <w:color w:val="auto"/>
                <w:sz w:val="21"/>
                <w:szCs w:val="21"/>
              </w:rPr>
              <w:t>品牌要求：和交换机同一品牌</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22</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24口全千兆三层交换机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bidi="ar"/>
              </w:rPr>
              <w:t>▲</w:t>
            </w:r>
            <w:r>
              <w:rPr>
                <w:rFonts w:hint="eastAsia" w:ascii="宋体" w:cs="Arial"/>
                <w:color w:val="auto"/>
                <w:sz w:val="21"/>
                <w:szCs w:val="21"/>
                <w:lang w:val="en-US" w:eastAsia="zh-CN" w:bidi="ar"/>
              </w:rPr>
              <w:t>1、</w:t>
            </w:r>
            <w:r>
              <w:rPr>
                <w:rFonts w:hint="eastAsia" w:ascii="宋体" w:cs="Arial"/>
                <w:color w:val="auto"/>
                <w:sz w:val="21"/>
                <w:szCs w:val="21"/>
                <w:lang w:bidi="ar"/>
              </w:rPr>
              <w:t>设备性能：交换容量≥5.9</w:t>
            </w:r>
            <w:r>
              <w:rPr>
                <w:rFonts w:ascii="宋体" w:cs="Arial"/>
                <w:color w:val="auto"/>
                <w:sz w:val="21"/>
                <w:szCs w:val="21"/>
                <w:lang w:bidi="ar"/>
              </w:rPr>
              <w:t>0</w:t>
            </w:r>
            <w:r>
              <w:rPr>
                <w:rFonts w:hint="eastAsia" w:ascii="宋体" w:cs="Arial"/>
                <w:color w:val="auto"/>
                <w:sz w:val="21"/>
                <w:szCs w:val="21"/>
                <w:lang w:bidi="ar"/>
              </w:rPr>
              <w:t>Tbps，转发性能≥22</w:t>
            </w:r>
            <w:r>
              <w:rPr>
                <w:rFonts w:ascii="宋体" w:cs="Arial"/>
                <w:color w:val="auto"/>
                <w:sz w:val="21"/>
                <w:szCs w:val="21"/>
                <w:lang w:bidi="ar"/>
              </w:rPr>
              <w:t>0</w:t>
            </w:r>
            <w:r>
              <w:rPr>
                <w:rFonts w:hint="eastAsia" w:ascii="宋体" w:cs="Arial"/>
                <w:color w:val="auto"/>
                <w:sz w:val="21"/>
                <w:szCs w:val="21"/>
                <w:lang w:bidi="ar"/>
              </w:rPr>
              <w:t>Mpps</w:t>
            </w:r>
            <w:r>
              <w:rPr>
                <w:rFonts w:hint="eastAsia" w:ascii="宋体" w:cs="Arial"/>
                <w:color w:val="auto"/>
                <w:sz w:val="21"/>
                <w:szCs w:val="21"/>
                <w:lang w:eastAsia="zh-CN" w:bidi="ar"/>
              </w:rPr>
              <w:t>，</w:t>
            </w:r>
            <w:r>
              <w:rPr>
                <w:rFonts w:hint="eastAsia" w:ascii="宋体" w:cs="Arial"/>
                <w:color w:val="auto"/>
                <w:sz w:val="21"/>
                <w:szCs w:val="21"/>
                <w:lang w:bidi="ar"/>
              </w:rPr>
              <w:t>模块化双电源</w:t>
            </w:r>
            <w:r>
              <w:rPr>
                <w:rFonts w:hint="eastAsia" w:ascii="宋体" w:cs="Arial"/>
                <w:color w:val="auto"/>
                <w:sz w:val="21"/>
                <w:szCs w:val="21"/>
                <w:lang w:eastAsia="zh-CN" w:bidi="ar"/>
              </w:rPr>
              <w:t>，</w:t>
            </w:r>
            <w:r>
              <w:rPr>
                <w:rFonts w:hint="eastAsia" w:ascii="宋体" w:cs="Arial"/>
                <w:color w:val="auto"/>
                <w:sz w:val="21"/>
                <w:szCs w:val="21"/>
                <w:lang w:bidi="ar"/>
              </w:rPr>
              <w:t>模块化双风扇，前/后通风，</w:t>
            </w:r>
            <w:r>
              <w:rPr>
                <w:rFonts w:hint="eastAsia" w:ascii="宋体" w:cs="Arial"/>
                <w:color w:val="auto"/>
                <w:sz w:val="21"/>
                <w:szCs w:val="21"/>
                <w:lang w:val="en-US" w:eastAsia="zh-CN" w:bidi="ar"/>
              </w:rPr>
              <w:t>24个</w:t>
            </w:r>
            <w:r>
              <w:rPr>
                <w:rFonts w:ascii="宋体" w:cs="Arial"/>
                <w:color w:val="auto"/>
                <w:sz w:val="21"/>
                <w:szCs w:val="21"/>
                <w:lang w:bidi="ar"/>
              </w:rPr>
              <w:t>10/100/1000Base-T自适应以太网端口（</w:t>
            </w:r>
            <w:r>
              <w:rPr>
                <w:rFonts w:hint="eastAsia" w:ascii="宋体" w:cs="Arial"/>
                <w:color w:val="auto"/>
                <w:sz w:val="21"/>
                <w:szCs w:val="21"/>
                <w:lang w:val="en-US" w:eastAsia="zh-CN" w:bidi="ar"/>
              </w:rPr>
              <w:t>4个以上</w:t>
            </w:r>
            <w:r>
              <w:rPr>
                <w:rFonts w:ascii="宋体" w:cs="Arial"/>
                <w:color w:val="auto"/>
                <w:sz w:val="21"/>
                <w:szCs w:val="21"/>
                <w:lang w:bidi="ar"/>
              </w:rPr>
              <w:t>combo口），4个万兆SFP+口</w:t>
            </w:r>
            <w:r>
              <w:rPr>
                <w:rFonts w:hint="eastAsia" w:ascii="宋体" w:cs="Arial"/>
                <w:color w:val="auto"/>
                <w:sz w:val="21"/>
                <w:szCs w:val="21"/>
                <w:lang w:bidi="ar"/>
              </w:rPr>
              <w:t>，1个扩展插槽</w:t>
            </w:r>
            <w:r>
              <w:rPr>
                <w:rFonts w:hint="eastAsia" w:ascii="宋体" w:cs="Arial"/>
                <w:color w:val="auto"/>
                <w:sz w:val="21"/>
                <w:szCs w:val="21"/>
                <w:lang w:eastAsia="zh-CN" w:bidi="ar"/>
              </w:rPr>
              <w:t>。</w:t>
            </w:r>
          </w:p>
          <w:p>
            <w:pPr>
              <w:numPr>
                <w:ilvl w:val="0"/>
                <w:numId w:val="0"/>
              </w:num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val="en-US" w:eastAsia="zh-CN" w:bidi="ar"/>
              </w:rPr>
              <w:t>2、</w:t>
            </w:r>
            <w:r>
              <w:rPr>
                <w:rFonts w:hint="eastAsia" w:ascii="宋体" w:cs="Arial"/>
                <w:color w:val="auto"/>
                <w:sz w:val="21"/>
                <w:szCs w:val="21"/>
                <w:lang w:bidi="ar"/>
              </w:rPr>
              <w:t>性能指标：</w:t>
            </w:r>
            <w:r>
              <w:rPr>
                <w:rFonts w:hint="eastAsia" w:ascii="宋体" w:cs="Arial"/>
                <w:color w:val="auto"/>
                <w:sz w:val="21"/>
                <w:szCs w:val="21"/>
                <w:lang w:eastAsia="zh-CN" w:bidi="ar"/>
              </w:rPr>
              <w:t>支持三层交换技术。</w:t>
            </w:r>
          </w:p>
          <w:p>
            <w:pPr>
              <w:numPr>
                <w:ilvl w:val="0"/>
                <w:numId w:val="0"/>
              </w:numPr>
              <w:spacing w:line="360" w:lineRule="atLeast"/>
              <w:jc w:val="left"/>
              <w:textAlignment w:val="baseline"/>
              <w:rPr>
                <w:rFonts w:ascii="宋体" w:cs="Arial"/>
                <w:color w:val="auto"/>
                <w:sz w:val="21"/>
                <w:szCs w:val="21"/>
                <w:lang w:bidi="ar"/>
              </w:rPr>
            </w:pPr>
            <w:r>
              <w:rPr>
                <w:rFonts w:hint="eastAsia" w:ascii="宋体" w:cs="Arial"/>
                <w:color w:val="auto"/>
                <w:sz w:val="21"/>
                <w:szCs w:val="21"/>
                <w:lang w:val="en-US" w:eastAsia="zh-CN" w:bidi="ar"/>
              </w:rPr>
              <w:t>3、</w:t>
            </w:r>
            <w:r>
              <w:rPr>
                <w:rFonts w:hint="eastAsia" w:ascii="宋体" w:cs="Arial"/>
                <w:color w:val="auto"/>
                <w:sz w:val="21"/>
                <w:szCs w:val="21"/>
                <w:lang w:bidi="ar"/>
              </w:rPr>
              <w:t>路由协议：支持IPv4静态路由、RIP V1/V2、OSPF、BGP；</w:t>
            </w:r>
          </w:p>
          <w:p>
            <w:pPr>
              <w:rPr>
                <w:rFonts w:ascii="宋体" w:cs="Arial"/>
                <w:color w:val="auto"/>
                <w:sz w:val="21"/>
                <w:szCs w:val="21"/>
                <w:lang w:bidi="ar"/>
              </w:rPr>
            </w:pPr>
            <w:r>
              <w:rPr>
                <w:rFonts w:hint="eastAsia" w:ascii="宋体" w:cs="Arial"/>
                <w:color w:val="auto"/>
                <w:sz w:val="21"/>
                <w:szCs w:val="21"/>
                <w:lang w:bidi="ar"/>
              </w:rPr>
              <w:t>支持IPv6静态路由、RIPng、OSPFv3、BGP4</w:t>
            </w:r>
            <w:r>
              <w:rPr>
                <w:rFonts w:hint="eastAsia" w:ascii="宋体" w:cs="Arial"/>
                <w:color w:val="auto"/>
                <w:sz w:val="21"/>
                <w:szCs w:val="21"/>
                <w:lang w:eastAsia="zh-CN" w:bidi="ar"/>
              </w:rPr>
              <w:t>。</w:t>
            </w:r>
          </w:p>
          <w:p>
            <w:pPr>
              <w:rPr>
                <w:rFonts w:ascii="宋体" w:cs="Arial"/>
                <w:color w:val="auto"/>
                <w:sz w:val="21"/>
                <w:szCs w:val="21"/>
                <w:lang w:bidi="ar"/>
              </w:rPr>
            </w:pPr>
            <w:r>
              <w:rPr>
                <w:rFonts w:hint="eastAsia" w:ascii="宋体" w:cs="Arial"/>
                <w:color w:val="auto"/>
                <w:sz w:val="21"/>
                <w:szCs w:val="21"/>
                <w:lang w:val="en-US" w:eastAsia="zh-CN" w:bidi="ar"/>
              </w:rPr>
              <w:t>4、</w:t>
            </w:r>
            <w:r>
              <w:rPr>
                <w:rFonts w:hint="eastAsia" w:ascii="宋体" w:cs="Arial"/>
                <w:color w:val="auto"/>
                <w:sz w:val="21"/>
                <w:szCs w:val="21"/>
                <w:lang w:bidi="ar"/>
              </w:rPr>
              <w:t>VLAN特性：支持基于端口的VLAN，支持基于协议的VLAN；</w:t>
            </w:r>
          </w:p>
          <w:p>
            <w:pPr>
              <w:rPr>
                <w:rFonts w:hint="eastAsia" w:ascii="宋体" w:cs="宋体"/>
                <w:color w:val="auto"/>
                <w:sz w:val="21"/>
                <w:szCs w:val="21"/>
              </w:rPr>
            </w:pPr>
            <w:r>
              <w:rPr>
                <w:rFonts w:hint="eastAsia" w:ascii="宋体" w:cs="Arial"/>
                <w:color w:val="auto"/>
                <w:sz w:val="21"/>
                <w:szCs w:val="21"/>
                <w:lang w:bidi="ar"/>
              </w:rPr>
              <w:t>支持基于MAC的VLAN；最大VLAN数(不是VLAN ID)&gt;=4094</w:t>
            </w:r>
            <w:r>
              <w:rPr>
                <w:rFonts w:hint="eastAsia" w:ascii="宋体" w:cs="Arial"/>
                <w:color w:val="auto"/>
                <w:sz w:val="21"/>
                <w:szCs w:val="21"/>
                <w:lang w:eastAsia="zh-CN" w:bidi="ar"/>
              </w:rPr>
              <w:t>。</w:t>
            </w:r>
          </w:p>
        </w:tc>
      </w:tr>
      <w:tr>
        <w:tblPrEx>
          <w:tblCellMar>
            <w:top w:w="0" w:type="dxa"/>
            <w:left w:w="0" w:type="dxa"/>
            <w:bottom w:w="0" w:type="dxa"/>
            <w:right w:w="0" w:type="dxa"/>
          </w:tblCellMar>
        </w:tblPrEx>
        <w:trPr>
          <w:trHeight w:val="255"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23</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bottom"/>
              <w:rPr>
                <w:rFonts w:ascii="宋体" w:cs="Arial"/>
                <w:color w:val="auto"/>
                <w:sz w:val="21"/>
                <w:szCs w:val="21"/>
              </w:rPr>
            </w:pPr>
            <w:r>
              <w:rPr>
                <w:rFonts w:hint="eastAsia" w:ascii="宋体" w:cs="宋体"/>
                <w:color w:val="auto"/>
                <w:sz w:val="21"/>
                <w:szCs w:val="21"/>
                <w:lang w:bidi="ar"/>
              </w:rPr>
              <w:t>150W 资产管理交流电源模块</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24</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光模块-SFP-GE-单模模块-(1310nm,40km,LC)，</w:t>
            </w:r>
            <w:r>
              <w:rPr>
                <w:rFonts w:hint="eastAsia" w:ascii="宋体" w:cs="宋体"/>
                <w:color w:val="auto"/>
                <w:sz w:val="21"/>
                <w:szCs w:val="21"/>
              </w:rPr>
              <w:t>品牌要求：和交换机同一品牌</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240"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25</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24口全千兆二层交换机</w:t>
            </w:r>
          </w:p>
        </w:tc>
        <w:tc>
          <w:tcPr>
            <w:tcW w:w="6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cs="Arial"/>
                <w:color w:val="auto"/>
                <w:sz w:val="21"/>
                <w:szCs w:val="21"/>
              </w:rPr>
            </w:pPr>
            <w:r>
              <w:rPr>
                <w:rFonts w:hint="eastAsia" w:ascii="宋体" w:cs="Arial"/>
                <w:color w:val="auto"/>
                <w:sz w:val="21"/>
                <w:szCs w:val="21"/>
              </w:rPr>
              <w:t>▲</w:t>
            </w:r>
            <w:r>
              <w:rPr>
                <w:rFonts w:hint="eastAsia" w:ascii="宋体" w:cs="Arial"/>
                <w:color w:val="auto"/>
                <w:sz w:val="21"/>
                <w:szCs w:val="21"/>
                <w:lang w:val="en-US" w:eastAsia="zh-CN"/>
              </w:rPr>
              <w:t>1、</w:t>
            </w:r>
            <w:r>
              <w:rPr>
                <w:rFonts w:hint="eastAsia" w:ascii="宋体" w:cs="Arial"/>
                <w:color w:val="auto"/>
                <w:sz w:val="21"/>
                <w:szCs w:val="21"/>
              </w:rPr>
              <w:t>设备性能：交换容量≥336Gbps，转发性能≥</w:t>
            </w:r>
            <w:r>
              <w:rPr>
                <w:rFonts w:ascii="宋体" w:cs="Arial"/>
                <w:color w:val="auto"/>
                <w:sz w:val="21"/>
                <w:szCs w:val="21"/>
              </w:rPr>
              <w:t>95</w:t>
            </w:r>
            <w:r>
              <w:rPr>
                <w:rFonts w:hint="eastAsia" w:ascii="宋体" w:cs="Arial"/>
                <w:color w:val="auto"/>
                <w:sz w:val="21"/>
                <w:szCs w:val="21"/>
              </w:rPr>
              <w:t>Mpps</w:t>
            </w:r>
            <w:r>
              <w:rPr>
                <w:rFonts w:hint="eastAsia" w:ascii="宋体" w:cs="Arial"/>
                <w:color w:val="auto"/>
                <w:sz w:val="21"/>
                <w:szCs w:val="21"/>
                <w:lang w:eastAsia="zh-CN"/>
              </w:rPr>
              <w:t>，</w:t>
            </w:r>
            <w:r>
              <w:rPr>
                <w:rFonts w:hint="eastAsia" w:ascii="宋体" w:cs="Arial"/>
                <w:color w:val="auto"/>
                <w:sz w:val="21"/>
                <w:szCs w:val="21"/>
              </w:rPr>
              <w:t>接口要求≥</w:t>
            </w:r>
            <w:r>
              <w:rPr>
                <w:rFonts w:ascii="宋体" w:cs="Arial"/>
                <w:color w:val="auto"/>
                <w:sz w:val="21"/>
                <w:szCs w:val="21"/>
              </w:rPr>
              <w:t>24</w:t>
            </w:r>
            <w:r>
              <w:rPr>
                <w:rFonts w:hint="eastAsia" w:ascii="宋体" w:cs="Arial"/>
                <w:color w:val="auto"/>
                <w:sz w:val="21"/>
                <w:szCs w:val="21"/>
              </w:rPr>
              <w:t>个GE端口，≥4个千兆SFP口</w:t>
            </w:r>
            <w:r>
              <w:rPr>
                <w:rFonts w:hint="eastAsia" w:ascii="宋体" w:cs="Arial"/>
                <w:color w:val="auto"/>
                <w:sz w:val="21"/>
                <w:szCs w:val="21"/>
                <w:lang w:eastAsia="zh-CN"/>
              </w:rPr>
              <w:t>。</w:t>
            </w:r>
          </w:p>
          <w:p>
            <w:pPr>
              <w:rPr>
                <w:rFonts w:ascii="宋体" w:cs="Arial"/>
                <w:color w:val="auto"/>
                <w:sz w:val="21"/>
                <w:szCs w:val="21"/>
              </w:rPr>
            </w:pPr>
            <w:r>
              <w:rPr>
                <w:rFonts w:hint="eastAsia" w:ascii="宋体" w:cs="Arial"/>
                <w:color w:val="auto"/>
                <w:sz w:val="21"/>
                <w:szCs w:val="21"/>
                <w:lang w:val="en-US" w:eastAsia="zh-CN"/>
              </w:rPr>
              <w:t>2、</w:t>
            </w:r>
            <w:r>
              <w:rPr>
                <w:rFonts w:hint="eastAsia" w:ascii="宋体" w:cs="Arial"/>
                <w:color w:val="auto"/>
                <w:sz w:val="21"/>
                <w:szCs w:val="21"/>
              </w:rPr>
              <w:t>VLAN特性：最大VLAN数(不是VLAN ID)&gt;=4094</w:t>
            </w:r>
            <w:r>
              <w:rPr>
                <w:rFonts w:hint="eastAsia" w:ascii="宋体" w:cs="宋体"/>
                <w:color w:val="auto"/>
                <w:sz w:val="21"/>
                <w:szCs w:val="21"/>
                <w:lang w:eastAsia="zh-CN"/>
              </w:rPr>
              <w:t>。</w:t>
            </w:r>
          </w:p>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rPr>
              <w:t>3、</w:t>
            </w:r>
            <w:r>
              <w:rPr>
                <w:rFonts w:hint="eastAsia" w:ascii="宋体" w:cs="宋体"/>
                <w:color w:val="auto"/>
                <w:sz w:val="21"/>
                <w:szCs w:val="21"/>
              </w:rPr>
              <w:t>路由协议：支持IPv4静态路由、RIP V1/V2、OSPF，支持IPv6静态路由、RIPng</w:t>
            </w:r>
            <w:r>
              <w:rPr>
                <w:rFonts w:hint="eastAsia" w:ascii="宋体" w:cs="宋体"/>
                <w:color w:val="auto"/>
                <w:sz w:val="21"/>
                <w:szCs w:val="21"/>
                <w:lang w:eastAsia="zh-CN"/>
              </w:rPr>
              <w:t>。</w:t>
            </w:r>
          </w:p>
        </w:tc>
      </w:tr>
    </w:tbl>
    <w:p>
      <w:pPr>
        <w:spacing w:line="360" w:lineRule="auto"/>
        <w:jc w:val="center"/>
        <w:outlineLvl w:val="0"/>
        <w:rPr>
          <w:rFonts w:hint="eastAsia" w:ascii="宋体" w:hAnsi="宋体" w:cs="宋体"/>
          <w:b/>
          <w:color w:val="auto"/>
          <w:sz w:val="24"/>
        </w:rPr>
        <w:sectPr>
          <w:headerReference r:id="rId13" w:type="default"/>
          <w:footerReference r:id="rId14" w:type="default"/>
          <w:pgSz w:w="11906" w:h="16838"/>
          <w:pgMar w:top="1440" w:right="1440" w:bottom="1440" w:left="1440" w:header="851" w:footer="992" w:gutter="0"/>
          <w:cols w:space="720" w:num="1"/>
          <w:docGrid w:linePitch="312" w:charSpace="0"/>
        </w:sectPr>
      </w:pPr>
    </w:p>
    <w:p>
      <w:pPr>
        <w:spacing w:line="340" w:lineRule="exact"/>
        <w:outlineLvl w:val="0"/>
        <w:rPr>
          <w:rFonts w:hint="eastAsia" w:ascii="宋体"/>
          <w:b/>
          <w:color w:val="auto"/>
          <w:kern w:val="21"/>
          <w:sz w:val="24"/>
          <w:szCs w:val="24"/>
        </w:rPr>
      </w:pPr>
      <w:r>
        <w:rPr>
          <w:rFonts w:hint="eastAsia" w:ascii="宋体"/>
          <w:b/>
          <w:color w:val="auto"/>
          <w:kern w:val="21"/>
          <w:sz w:val="24"/>
          <w:szCs w:val="24"/>
        </w:rPr>
        <w:t>附表一</w:t>
      </w:r>
      <w:r>
        <w:rPr>
          <w:rFonts w:hint="eastAsia" w:ascii="宋体"/>
          <w:b/>
          <w:color w:val="auto"/>
          <w:kern w:val="21"/>
          <w:sz w:val="24"/>
          <w:szCs w:val="24"/>
          <w:lang w:eastAsia="zh-CN"/>
        </w:rPr>
        <w:t>：</w:t>
      </w:r>
      <w:r>
        <w:rPr>
          <w:rFonts w:hint="eastAsia" w:ascii="宋体"/>
          <w:b/>
          <w:color w:val="auto"/>
          <w:kern w:val="21"/>
          <w:sz w:val="24"/>
          <w:szCs w:val="24"/>
        </w:rPr>
        <w:t>标项一点位统计表</w:t>
      </w:r>
    </w:p>
    <w:tbl>
      <w:tblPr>
        <w:tblStyle w:val="39"/>
        <w:tblW w:w="0" w:type="auto"/>
        <w:tblInd w:w="0" w:type="dxa"/>
        <w:tblLayout w:type="fixed"/>
        <w:tblCellMar>
          <w:top w:w="0" w:type="dxa"/>
          <w:left w:w="108" w:type="dxa"/>
          <w:bottom w:w="0" w:type="dxa"/>
          <w:right w:w="108" w:type="dxa"/>
        </w:tblCellMar>
      </w:tblPr>
      <w:tblGrid>
        <w:gridCol w:w="532"/>
        <w:gridCol w:w="1040"/>
        <w:gridCol w:w="2832"/>
        <w:gridCol w:w="680"/>
        <w:gridCol w:w="661"/>
        <w:gridCol w:w="624"/>
        <w:gridCol w:w="601"/>
        <w:gridCol w:w="564"/>
        <w:gridCol w:w="564"/>
        <w:gridCol w:w="564"/>
        <w:gridCol w:w="601"/>
        <w:gridCol w:w="431"/>
        <w:gridCol w:w="431"/>
        <w:gridCol w:w="431"/>
        <w:gridCol w:w="431"/>
        <w:gridCol w:w="505"/>
        <w:gridCol w:w="808"/>
        <w:gridCol w:w="1874"/>
      </w:tblGrid>
      <w:tr>
        <w:tblPrEx>
          <w:tblCellMar>
            <w:top w:w="0" w:type="dxa"/>
            <w:left w:w="108" w:type="dxa"/>
            <w:bottom w:w="0" w:type="dxa"/>
            <w:right w:w="108" w:type="dxa"/>
          </w:tblCellMar>
        </w:tblPrEx>
        <w:trPr>
          <w:trHeight w:val="720" w:hRule="atLeast"/>
          <w:tblHead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序号</w:t>
            </w: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行政区域</w:t>
            </w:r>
          </w:p>
        </w:tc>
        <w:tc>
          <w:tcPr>
            <w:tcW w:w="28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道路监控点名称</w:t>
            </w:r>
          </w:p>
        </w:tc>
        <w:tc>
          <w:tcPr>
            <w:tcW w:w="256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摄像机类型</w:t>
            </w:r>
          </w:p>
        </w:tc>
        <w:tc>
          <w:tcPr>
            <w:tcW w:w="5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爆闪灯</w:t>
            </w:r>
          </w:p>
        </w:tc>
        <w:tc>
          <w:tcPr>
            <w:tcW w:w="11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传输设备</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8口交换机</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监控箱类型</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摄像机安装类型</w:t>
            </w:r>
          </w:p>
        </w:tc>
        <w:tc>
          <w:tcPr>
            <w:tcW w:w="8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光缆租用</w:t>
            </w:r>
          </w:p>
        </w:tc>
        <w:tc>
          <w:tcPr>
            <w:tcW w:w="18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备注</w:t>
            </w:r>
          </w:p>
        </w:tc>
      </w:tr>
      <w:tr>
        <w:tblPrEx>
          <w:tblCellMar>
            <w:top w:w="0" w:type="dxa"/>
            <w:left w:w="108" w:type="dxa"/>
            <w:bottom w:w="0" w:type="dxa"/>
            <w:right w:w="108" w:type="dxa"/>
          </w:tblCellMar>
        </w:tblPrEx>
        <w:trPr>
          <w:trHeight w:val="480" w:hRule="atLeast"/>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2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400万智慧监控单元</w:t>
            </w:r>
          </w:p>
        </w:tc>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900万像素视频抓拍机</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200万人脸半球</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高清全景球机</w:t>
            </w: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5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1光8电</w:t>
            </w:r>
          </w:p>
        </w:tc>
        <w:tc>
          <w:tcPr>
            <w:tcW w:w="5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2光8电</w:t>
            </w: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挂箱</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壁装</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壁装</w:t>
            </w:r>
          </w:p>
        </w:tc>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下吊</w:t>
            </w:r>
          </w:p>
        </w:tc>
        <w:tc>
          <w:tcPr>
            <w:tcW w:w="5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0"/>
              </w:rPr>
            </w:pPr>
            <w:r>
              <w:rPr>
                <w:rFonts w:hint="eastAsia" w:ascii="宋体" w:cs="宋体"/>
                <w:b/>
                <w:bCs/>
                <w:color w:val="auto"/>
                <w:sz w:val="20"/>
              </w:rPr>
              <w:t>借杆抱箍</w:t>
            </w: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18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r>
      <w:tr>
        <w:tblPrEx>
          <w:tblCellMar>
            <w:top w:w="0" w:type="dxa"/>
            <w:left w:w="108" w:type="dxa"/>
            <w:bottom w:w="0" w:type="dxa"/>
            <w:right w:w="108" w:type="dxa"/>
          </w:tblCellMar>
        </w:tblPrEx>
        <w:trPr>
          <w:trHeight w:val="480" w:hRule="atLeast"/>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2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c>
          <w:tcPr>
            <w:tcW w:w="18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0"/>
              </w:rPr>
            </w:pP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S322省道-东岭村卡口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S322省道-下路堂卡口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S322省道-肖垟村卡口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S322省道-桐街线路口卡口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桐街线-下王卡口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老S35省道-煤气站卡口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S322省道-塘岸村村口卡口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S322省道-杨府村卡口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S322省道-纬三路卡口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S322省道-下宅卡口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S322省道-大路中队卡口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S322省道-大路三角站卡口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S322省道-三亩田卡口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S322省道-横路汀卡口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春晖东路-顺昌路卡口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天网一、二期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丰溪东路-美顺达卡口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丰溪中路-龙祥路卡口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丰溪中路-永泰路卡口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丰溪中路-西一电器卡口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春晖中路-井公潭村卡口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春晖西路-司太立大道卡口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兴业路-南泰橡塑卡口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天网一、二期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永泰路-伟业机电卡口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永泰路-波普电气卡口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丹霞路6号卡口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春晖中路-龙祥路北卡口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东上线-石牛桥头卡口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东上线-东岭下卡口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29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大卫世纪城北入口卡口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大卫世纪城东出口卡口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大卫世纪城-滨江路东卡口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永安公园-东方华庭东卡口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永安公园西南角卡口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河埠路-和谐家园卡口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管步线-上应卡口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管步线-东坑卡口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台金高速仙居出口外卡口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天网四期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S322省道-管山头卡口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39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城北西路-公路管理局卡口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天网一、二期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城北西路-环城北路卡口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城北西路-晶都诚园</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泰和南路-气象路卡口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天网四期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环城北路-道基岙卡口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天网三期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环城北路-水泥厂卡口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泰和北路-光明西路西卡口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艺城二路-仙居八中卡口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工艺品城诗斑德工艺厂卡口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工艺品城百顺工艺卡口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49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圭峰路-炉兴中路卡口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工艺品城啄木鸟工艺卡口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艺城中路-田市工艺卡口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艺城西路-新景塑料卡口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艺城一路-外语学校卡口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艺城西路-凯旋工艺卡口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艺城西路-环城北路卡口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商城西路-自来水公司卡口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光明西路-自来水公司卡口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光明山路-百兴路卡口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59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西灿路-光明山路卡口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穿城北路151号卡口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穿城北路-下园卡口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艺城中路-气象局卡口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乐安公园东侧卡口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环城南路-公安局卡口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环城南路-下郭红绿灯卡口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南五路-城峰中学卡口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南五路-环西南路卡口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南五路-响石山路卡口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69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南五路-龙皇山路卡口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南五路-河埠路卡口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南峰南路1号卡口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仙药路-仙居制药卡口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天网一、二期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朝阳路-热力路卡口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天网三期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朝阳路-河口路东卡口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天网三期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穿城南路-建设东路卡口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建设西路-法院卡口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天网一、二期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建设西路-龙皇山路卡口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建设西路-环西南路卡口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79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建设西路-泰和南路东卡口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天网八期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泰和南路-国际公馆卡口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天网四期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南二路-西二路卡口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新增链路</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商业街92号卡口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穿城南路-商业街卡口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工业路-龙皇山路卡口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工业路-响石山路卡口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工业路-环西南路卡口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天网四期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工业路-西二路卡口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西二路-香格里拉卡口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89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发展一路157号卡口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发展一路-穿城南路卡口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天网五期，增加1个2光8电中威</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景凤路-南五路北卡口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景凤路-圣威工艺卡口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景凤路-工业路北卡口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景凤路=城管局卡口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响石山路-汽车站卡口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响石山路101号卡口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环西南路-消防队卡口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南峰街道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环西南路-商业街南卡口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99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S223省道-下郭卡口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安洲北路-仙香门第卡口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天网四期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西泉路-实验幼儿园卡口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环城西路-西泉路南卡口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交警，龙门杆下吊1米横杆</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广电大楼卡口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庆丰街-阳光首府卡口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庆丰街-庆丰新村卡口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西门街-交警队卡口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西门街中段卡口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解放街-水阁路卡口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6</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天网三期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109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永安街-花园路卡口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环城东路-土管局卡口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城北东路-福应街道卡口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城北东路-广场路卡口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广场路-外滩南桥头卡口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后溪路223号卡口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光明西路-学子路卡口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穿城北路-光明东路卡口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穿城北路-泥鳅山卡口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临溪路-彩虹苑卡口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119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职业高中卡口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天网五期，拆除2补光</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盂溪北岸-圭峰路卡口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天网三期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盂溪北岸-下园桥头卡口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二中东路-半山国际卡口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二中东路-锦绣明珠卡口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天网七期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环城北路-检疫局卡口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福应塔卡口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S322省道-东门加油站卡口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天网五期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陵园路-烈士山卡口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环城北路-仙中卡口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天网二期</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129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南门街105号卡口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穿城中路-省耕路卡口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8</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天网三、六期、交警</w:t>
            </w:r>
          </w:p>
        </w:tc>
      </w:tr>
      <w:tr>
        <w:tblPrEx>
          <w:tblCellMar>
            <w:top w:w="0" w:type="dxa"/>
            <w:left w:w="108" w:type="dxa"/>
            <w:bottom w:w="0" w:type="dxa"/>
            <w:right w:w="108" w:type="dxa"/>
          </w:tblCellMar>
        </w:tblPrEx>
        <w:trPr>
          <w:trHeight w:val="288"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庆丰街-省耕路卡口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交警</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光明西路育才路南口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借电力杆</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环城北路西灿南村口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借电力杆</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福应街道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下园村北区西1幢1号前</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盂溪绿道南岸下园出入口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盂溪绿道北岸周岩头出入口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盂溪绿道南岸西灿出入口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盂溪绿道北岸彩虹苑出入口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139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盂溪绿道南岸环城北路出入口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盂溪绿道北岸职高出入口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盂溪绿道南岸人民医院出入口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盂溪绿道南岸福应大桥出入口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天网六期</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盂溪绿道南岸大卫桥头出入口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樟树巷-月塘新路路口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借电力杆</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天灯巷1号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朱庄巷20号启蒙幼儿园</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水阁路人武部边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水阁路98号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149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小南门南巷22-17号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直屋村59号北边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上潘村318号南侧</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环城北路杜婆桥路口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杜婆桥村委会前</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仙丰路4-1号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借电力杆</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省耕路-环城西路南口非机动车道</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5</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振兴路24-1号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庆丰新村9幢南侧</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拱辰新村2巷6-1号南侧</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159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管铁线管山村往下陈路口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借电力杆</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南苑新村25-1号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金顶小区南门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金顶小区7号楼入口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金顶小区6号楼入口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金顶小区8号楼入口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翡翠华府进出口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仙香门第西南路口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仙香门第南路口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仙香门第东南路口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169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仙香门第西北门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仙德小区东门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仙德小区南门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东景花园北门桥头</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173</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香格里拉南苑西门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174</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香格里拉南苑北门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玫瑰城小区南门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176</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发展一路71号前开元公馆入口</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3</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177</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开元公馆东门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178</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新城花园南区</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179</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新城花园北区</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180</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县前人和家园南门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48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1"/>
                <w:szCs w:val="21"/>
              </w:rPr>
            </w:pPr>
            <w:r>
              <w:rPr>
                <w:rFonts w:hint="eastAsia" w:ascii="宋体"/>
                <w:color w:val="auto"/>
                <w:sz w:val="21"/>
                <w:szCs w:val="21"/>
              </w:rPr>
              <w:t>181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安洲街道</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县前人和家园北门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0"/>
              </w:rPr>
            </w:pPr>
            <w:r>
              <w:rPr>
                <w:rFonts w:hint="eastAsia" w:ascii="宋体" w:cs="宋体"/>
                <w:color w:val="auto"/>
                <w:sz w:val="20"/>
              </w:rPr>
              <w:t>1</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0"/>
              </w:rPr>
            </w:pPr>
            <w:r>
              <w:rPr>
                <w:rFonts w:hint="eastAsia" w:ascii="宋体" w:cs="宋体"/>
                <w:color w:val="auto"/>
                <w:sz w:val="20"/>
              </w:rPr>
              <w:t>　</w:t>
            </w:r>
          </w:p>
        </w:tc>
      </w:tr>
      <w:tr>
        <w:tblPrEx>
          <w:tblCellMar>
            <w:top w:w="0" w:type="dxa"/>
            <w:left w:w="108" w:type="dxa"/>
            <w:bottom w:w="0" w:type="dxa"/>
            <w:right w:w="108" w:type="dxa"/>
          </w:tblCellMar>
        </w:tblPrEx>
        <w:trPr>
          <w:trHeight w:val="384"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r>
              <w:rPr>
                <w:rFonts w:hint="eastAsia" w:ascii="宋体" w:cs="宋体"/>
                <w:color w:val="auto"/>
                <w:sz w:val="20"/>
              </w:rPr>
              <w:t>182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r>
              <w:rPr>
                <w:rFonts w:hint="eastAsia" w:ascii="宋体" w:cs="宋体"/>
                <w:color w:val="auto"/>
                <w:sz w:val="20"/>
              </w:rPr>
              <w:t>智安小区</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color w:val="auto"/>
                <w:sz w:val="20"/>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r>
              <w:rPr>
                <w:rFonts w:hint="eastAsia" w:ascii="宋体" w:cs="宋体"/>
                <w:color w:val="auto"/>
                <w:sz w:val="20"/>
              </w:rPr>
              <w:t>100</w:t>
            </w:r>
          </w:p>
        </w:tc>
        <w:tc>
          <w:tcPr>
            <w:tcW w:w="6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r>
              <w:rPr>
                <w:rFonts w:hint="eastAsia" w:ascii="宋体" w:cs="宋体"/>
                <w:color w:val="auto"/>
                <w:sz w:val="20"/>
              </w:rPr>
              <w:t>40</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r>
              <w:rPr>
                <w:rFonts w:hint="eastAsia" w:ascii="宋体" w:cs="宋体"/>
                <w:color w:val="auto"/>
                <w:sz w:val="20"/>
              </w:rPr>
              <w:t>40</w:t>
            </w: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4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color w:val="auto"/>
                <w:sz w:val="20"/>
              </w:rPr>
            </w:pPr>
            <w:r>
              <w:rPr>
                <w:rFonts w:hint="eastAsia" w:ascii="宋体" w:cs="宋体"/>
                <w:color w:val="auto"/>
                <w:sz w:val="20"/>
              </w:rPr>
              <w:t>40</w:t>
            </w:r>
          </w:p>
        </w:tc>
        <w:tc>
          <w:tcPr>
            <w:tcW w:w="18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cs="宋体"/>
                <w:color w:val="auto"/>
                <w:sz w:val="20"/>
              </w:rPr>
            </w:pPr>
          </w:p>
        </w:tc>
      </w:tr>
    </w:tbl>
    <w:p>
      <w:pPr>
        <w:spacing w:line="360" w:lineRule="auto"/>
        <w:jc w:val="both"/>
        <w:outlineLvl w:val="0"/>
        <w:rPr>
          <w:rFonts w:hint="eastAsia" w:ascii="宋体" w:hAnsi="宋体" w:cs="宋体"/>
          <w:b/>
          <w:color w:val="auto"/>
          <w:sz w:val="24"/>
        </w:rPr>
        <w:sectPr>
          <w:pgSz w:w="16838" w:h="11906" w:orient="landscape"/>
          <w:pgMar w:top="1440" w:right="1440" w:bottom="1440" w:left="1440" w:header="851" w:footer="992" w:gutter="0"/>
          <w:cols w:space="720" w:num="1"/>
          <w:docGrid w:linePitch="312" w:charSpace="0"/>
        </w:sectPr>
      </w:pPr>
    </w:p>
    <w:p>
      <w:pPr>
        <w:spacing w:line="360" w:lineRule="auto"/>
        <w:jc w:val="center"/>
        <w:outlineLvl w:val="0"/>
        <w:rPr>
          <w:rFonts w:hint="eastAsia" w:ascii="宋体"/>
          <w:b/>
          <w:color w:val="auto"/>
          <w:kern w:val="21"/>
          <w:sz w:val="28"/>
          <w:szCs w:val="28"/>
        </w:rPr>
      </w:pPr>
      <w:r>
        <w:rPr>
          <w:rFonts w:hint="eastAsia" w:ascii="宋体"/>
          <w:b/>
          <w:color w:val="auto"/>
          <w:kern w:val="21"/>
          <w:sz w:val="28"/>
          <w:szCs w:val="28"/>
        </w:rPr>
        <w:t>标项二</w:t>
      </w:r>
    </w:p>
    <w:p>
      <w:pPr>
        <w:pStyle w:val="3"/>
        <w:spacing w:before="60" w:after="60"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val="0"/>
          <w:color w:val="auto"/>
          <w:kern w:val="2"/>
          <w:sz w:val="24"/>
          <w:szCs w:val="24"/>
          <w:lang w:val="en-US" w:eastAsia="zh-CN" w:bidi="ar-SA"/>
        </w:rPr>
        <w:t>（一）项目建设依据及技术规范</w:t>
      </w:r>
    </w:p>
    <w:p>
      <w:pPr>
        <w:snapToGrid w:val="0"/>
        <w:spacing w:line="360" w:lineRule="auto"/>
        <w:ind w:firstLine="480"/>
        <w:rPr>
          <w:rFonts w:hint="eastAsia" w:ascii="宋体"/>
          <w:color w:val="auto"/>
          <w:sz w:val="24"/>
        </w:rPr>
      </w:pPr>
      <w:r>
        <w:rPr>
          <w:rFonts w:hint="eastAsia" w:ascii="宋体"/>
          <w:color w:val="auto"/>
          <w:sz w:val="24"/>
        </w:rPr>
        <w:t>本项目建设根据《浙江省公共安全视频监控建设联网应用工作实施方案（2016-2020年）》、《浙江省公共安全视频监控建设联网应用协调工作制度》中央综治委全国“雪亮工程”推进会精神、仙居县2018-2020雪亮工程建设推进会精神、浙江省大数据管理局关于《浙江省公共安全视频图像信息共享总平台建设规范的通知》及台州市创建无盗抢城市全域智能防控的要求。</w:t>
      </w:r>
    </w:p>
    <w:p>
      <w:pPr>
        <w:snapToGrid w:val="0"/>
        <w:spacing w:line="360" w:lineRule="auto"/>
        <w:ind w:firstLine="480"/>
        <w:rPr>
          <w:rFonts w:hint="eastAsia" w:ascii="宋体"/>
          <w:color w:val="auto"/>
          <w:sz w:val="24"/>
        </w:rPr>
      </w:pPr>
      <w:r>
        <w:rPr>
          <w:rFonts w:hint="eastAsia" w:ascii="宋体"/>
          <w:color w:val="auto"/>
          <w:sz w:val="24"/>
        </w:rPr>
        <w:t>本项目建设技术规范参照执行</w:t>
      </w:r>
      <w:r>
        <w:rPr>
          <w:rFonts w:hint="eastAsia" w:ascii="宋体"/>
          <w:color w:val="auto"/>
          <w:sz w:val="24"/>
          <w:lang w:val="en-US" w:eastAsia="zh-CN"/>
        </w:rPr>
        <w:t>GB28181-2016公共安全视频监控联网系统信息传输、交换、控制技术要求，</w:t>
      </w:r>
      <w:r>
        <w:rPr>
          <w:rFonts w:hint="eastAsia" w:ascii="宋体"/>
          <w:color w:val="auto"/>
          <w:sz w:val="24"/>
        </w:rPr>
        <w:t>DB33/T502-2018《浙江省社会治安动态视频监控系统技术规范》、DB33/T629-2011标准-点位编码之接入类型码表、DB33/T 629.1-2011《跨区域视频监控联网共享技术规范》、DB33/768-2009《安全技术防范系统建设技术规范》、GA/T 751-2008视频图像文字标注规范及《浙江省公安机关人像比对应用系统技术规范》。中标供应商需遵照上述标准进行设备安装调试及按标准设置视频图像及卡口图片中的文字标识、位置格式等。</w:t>
      </w:r>
    </w:p>
    <w:p>
      <w:pPr>
        <w:spacing w:line="360" w:lineRule="auto"/>
        <w:ind w:firstLine="482" w:firstLineChars="200"/>
        <w:outlineLvl w:val="0"/>
        <w:rPr>
          <w:rFonts w:hint="eastAsia" w:ascii="宋体"/>
          <w:b/>
          <w:color w:val="auto"/>
          <w:kern w:val="21"/>
          <w:sz w:val="24"/>
          <w:szCs w:val="24"/>
        </w:rPr>
      </w:pPr>
      <w:r>
        <w:rPr>
          <w:rFonts w:hint="eastAsia" w:ascii="宋体"/>
          <w:b/>
          <w:color w:val="auto"/>
          <w:kern w:val="21"/>
          <w:sz w:val="24"/>
          <w:szCs w:val="24"/>
          <w:lang w:eastAsia="zh-CN"/>
        </w:rPr>
        <w:t>（</w:t>
      </w:r>
      <w:r>
        <w:rPr>
          <w:rFonts w:hint="eastAsia" w:ascii="宋体"/>
          <w:b/>
          <w:color w:val="auto"/>
          <w:kern w:val="21"/>
          <w:sz w:val="24"/>
          <w:szCs w:val="24"/>
          <w:lang w:val="en-US" w:eastAsia="zh-CN"/>
        </w:rPr>
        <w:t>二</w:t>
      </w:r>
      <w:r>
        <w:rPr>
          <w:rFonts w:hint="eastAsia" w:ascii="宋体"/>
          <w:b/>
          <w:color w:val="auto"/>
          <w:kern w:val="21"/>
          <w:sz w:val="24"/>
          <w:szCs w:val="24"/>
          <w:lang w:eastAsia="zh-CN"/>
        </w:rPr>
        <w:t>）</w:t>
      </w:r>
      <w:r>
        <w:rPr>
          <w:rFonts w:hint="eastAsia" w:ascii="宋体"/>
          <w:b/>
          <w:color w:val="auto"/>
          <w:kern w:val="21"/>
          <w:sz w:val="24"/>
          <w:szCs w:val="24"/>
        </w:rPr>
        <w:t>点位内容分布</w:t>
      </w:r>
    </w:p>
    <w:p>
      <w:pPr>
        <w:snapToGrid w:val="0"/>
        <w:spacing w:line="360" w:lineRule="auto"/>
        <w:ind w:firstLine="480"/>
        <w:rPr>
          <w:rFonts w:hint="eastAsia" w:ascii="宋体"/>
          <w:color w:val="auto"/>
          <w:sz w:val="24"/>
        </w:rPr>
      </w:pPr>
      <w:r>
        <w:rPr>
          <w:rFonts w:hint="eastAsia" w:ascii="宋体"/>
          <w:color w:val="auto"/>
          <w:sz w:val="24"/>
        </w:rPr>
        <w:t>本项目规划建设点位158个，新增摄像头448个，其中900W卡口抓拍机94个，</w:t>
      </w:r>
      <w:r>
        <w:rPr>
          <w:rFonts w:hint="eastAsia" w:ascii="宋体"/>
          <w:color w:val="auto"/>
          <w:sz w:val="24"/>
          <w:lang w:eastAsia="zh-CN"/>
        </w:rPr>
        <w:t>星光级</w:t>
      </w:r>
      <w:r>
        <w:rPr>
          <w:rFonts w:hint="eastAsia" w:ascii="宋体"/>
          <w:b w:val="0"/>
          <w:bCs/>
          <w:color w:val="auto"/>
          <w:sz w:val="24"/>
          <w:szCs w:val="24"/>
          <w:lang w:eastAsia="zh-CN"/>
        </w:rPr>
        <w:t>带云台</w:t>
      </w:r>
      <w:r>
        <w:rPr>
          <w:rFonts w:hint="eastAsia" w:ascii="宋体"/>
          <w:color w:val="auto"/>
          <w:sz w:val="24"/>
          <w:lang w:eastAsia="zh-CN"/>
        </w:rPr>
        <w:t>多功能摄像机</w:t>
      </w:r>
      <w:r>
        <w:rPr>
          <w:rFonts w:hint="eastAsia" w:ascii="宋体"/>
          <w:color w:val="auto"/>
          <w:sz w:val="24"/>
        </w:rPr>
        <w:t>349个、高清球机3个以及人脸抓拍半球2个。范围覆盖</w:t>
      </w:r>
      <w:r>
        <w:rPr>
          <w:rFonts w:hint="eastAsia" w:ascii="宋体"/>
          <w:color w:val="auto"/>
          <w:sz w:val="24"/>
          <w:szCs w:val="24"/>
        </w:rPr>
        <w:t>下各、大战、上张、双庙、朱溪、步路、官路等乡镇</w:t>
      </w:r>
      <w:r>
        <w:rPr>
          <w:rFonts w:hint="eastAsia" w:ascii="宋体"/>
          <w:color w:val="auto"/>
          <w:sz w:val="24"/>
        </w:rPr>
        <w:t>。</w:t>
      </w:r>
    </w:p>
    <w:p>
      <w:pPr>
        <w:spacing w:line="360" w:lineRule="auto"/>
        <w:ind w:firstLine="482" w:firstLineChars="200"/>
        <w:rPr>
          <w:rFonts w:hint="eastAsia" w:ascii="宋体" w:hAnsi="宋体" w:cs="宋体"/>
          <w:color w:val="auto"/>
          <w:kern w:val="0"/>
          <w:sz w:val="24"/>
        </w:rPr>
      </w:pPr>
      <w:r>
        <w:rPr>
          <w:rFonts w:hint="eastAsia" w:ascii="宋体"/>
          <w:b/>
          <w:color w:val="auto"/>
          <w:sz w:val="24"/>
        </w:rPr>
        <w:t>具体分布表：详见附表二标项二点位统计表</w:t>
      </w:r>
    </w:p>
    <w:p>
      <w:pPr>
        <w:spacing w:line="360" w:lineRule="auto"/>
        <w:ind w:firstLine="482" w:firstLineChars="200"/>
        <w:outlineLvl w:val="0"/>
        <w:rPr>
          <w:rFonts w:hint="eastAsia" w:ascii="宋体"/>
          <w:b/>
          <w:color w:val="auto"/>
          <w:kern w:val="21"/>
          <w:sz w:val="24"/>
          <w:szCs w:val="24"/>
        </w:rPr>
      </w:pPr>
      <w:r>
        <w:rPr>
          <w:rFonts w:hint="eastAsia" w:ascii="宋体"/>
          <w:b/>
          <w:color w:val="auto"/>
          <w:kern w:val="21"/>
          <w:sz w:val="24"/>
          <w:szCs w:val="24"/>
          <w:lang w:eastAsia="zh-CN"/>
        </w:rPr>
        <w:t>（</w:t>
      </w:r>
      <w:r>
        <w:rPr>
          <w:rFonts w:hint="eastAsia" w:ascii="宋体"/>
          <w:b/>
          <w:color w:val="auto"/>
          <w:kern w:val="21"/>
          <w:sz w:val="24"/>
          <w:szCs w:val="24"/>
          <w:lang w:val="en-US" w:eastAsia="zh-CN"/>
        </w:rPr>
        <w:t>三</w:t>
      </w:r>
      <w:r>
        <w:rPr>
          <w:rFonts w:hint="eastAsia" w:ascii="宋体"/>
          <w:b/>
          <w:color w:val="auto"/>
          <w:kern w:val="21"/>
          <w:sz w:val="24"/>
          <w:szCs w:val="24"/>
          <w:lang w:eastAsia="zh-CN"/>
        </w:rPr>
        <w:t>）</w:t>
      </w:r>
      <w:r>
        <w:rPr>
          <w:rFonts w:hint="eastAsia" w:ascii="宋体"/>
          <w:b/>
          <w:color w:val="auto"/>
          <w:kern w:val="21"/>
          <w:sz w:val="24"/>
          <w:szCs w:val="24"/>
        </w:rPr>
        <w:t>系统功能组成及要求</w:t>
      </w:r>
    </w:p>
    <w:p>
      <w:pPr>
        <w:snapToGrid w:val="0"/>
        <w:spacing w:line="360" w:lineRule="auto"/>
        <w:ind w:firstLine="480"/>
        <w:rPr>
          <w:rFonts w:hint="eastAsia" w:ascii="宋体"/>
          <w:color w:val="auto"/>
          <w:sz w:val="24"/>
        </w:rPr>
      </w:pPr>
      <w:r>
        <w:rPr>
          <w:rFonts w:hint="eastAsia" w:ascii="宋体"/>
          <w:color w:val="auto"/>
          <w:sz w:val="24"/>
        </w:rPr>
        <w:t>1、前端监控的布点安装地点、监控目标不同，视频监控资源的重要性也不同。为了有效利用警力和设备资源，工程实施单位应对已勘察前端点位进行基础开挖前的复查与核实，按重要程度不同进行分类管理和配置。</w:t>
      </w:r>
    </w:p>
    <w:p>
      <w:pPr>
        <w:snapToGrid w:val="0"/>
        <w:spacing w:line="360" w:lineRule="auto"/>
        <w:ind w:firstLine="480"/>
        <w:rPr>
          <w:rFonts w:hint="eastAsia" w:ascii="宋体"/>
          <w:color w:val="auto"/>
          <w:sz w:val="24"/>
        </w:rPr>
      </w:pPr>
      <w:r>
        <w:rPr>
          <w:rFonts w:hint="eastAsia" w:ascii="宋体"/>
          <w:color w:val="auto"/>
          <w:sz w:val="24"/>
        </w:rPr>
        <w:t>2、本次项目结合仙居县天网建设实际情况，系统建设应近期目标与长远发展相结合，留有充分的发展余地，保持系统的先进性、安全性、开放性和可扩展性，使系统在一定时期内能满足城市公安业务发展对信息技术的需要。</w:t>
      </w:r>
      <w:r>
        <w:rPr>
          <w:rFonts w:hint="eastAsia" w:ascii="宋体"/>
          <w:color w:val="auto"/>
          <w:sz w:val="24"/>
          <w:lang w:val="en-US" w:eastAsia="zh-CN"/>
        </w:rPr>
        <w:t>建设对前端点位进行视频或图片进行全结构化分析，需要至少支持日处理1800万张卡口图片分析建模或视频结构化实时分析96路或则支持对人体数据日分析500万张图片，分析性能可根据实际需求切换配置，保证分析系统性能达到最大化使用，并且对分析完的车辆二次结构化数据回传公安天网平台，结构化数据存储时间不少于365天</w:t>
      </w:r>
      <w:r>
        <w:rPr>
          <w:rFonts w:ascii="宋体"/>
          <w:color w:val="auto"/>
          <w:sz w:val="24"/>
        </w:rPr>
        <w:t>。</w:t>
      </w:r>
      <w:r>
        <w:rPr>
          <w:rFonts w:hint="eastAsia" w:ascii="宋体"/>
          <w:color w:val="auto"/>
          <w:sz w:val="24"/>
          <w:lang w:val="en-US" w:eastAsia="zh-CN"/>
        </w:rPr>
        <w:t>对视频运维平台进行升级扩容，至少日分析12000路视频，为本次天网购买服务提供视频质量状态检测、设备在线点位提供客观数据支撑。建设视频地图功能，做到视频指挥可视化功能，可以直观展现视频画面区域内建筑物、摄像机点位、重点单位等信息数据展现。建设校时服务器，主要对前端跟后端服务器进行统一校时，保证建设点位时间一致性，需支持授时路数不少于7000次/秒，精度小于5 us；对原仙居天网平台进行大数据升级扩容改造，包括视频图像信息数据库建设、视频大数据平台建设、视频侦查平台升级。</w:t>
      </w:r>
    </w:p>
    <w:p>
      <w:pPr>
        <w:snapToGrid w:val="0"/>
        <w:spacing w:line="360" w:lineRule="auto"/>
        <w:ind w:firstLine="480"/>
        <w:rPr>
          <w:rFonts w:hint="eastAsia" w:ascii="宋体"/>
          <w:color w:val="auto"/>
          <w:sz w:val="24"/>
        </w:rPr>
      </w:pPr>
      <w:r>
        <w:rPr>
          <w:rFonts w:hint="eastAsia" w:ascii="宋体"/>
          <w:color w:val="auto"/>
          <w:sz w:val="24"/>
        </w:rPr>
        <w:t>3、前端视频图像采集设备到后端机房交换机之间的传输网络包括传输光缆、光转换设备、前端汇聚/分线设备、尾纤跳线等；允许投标人采用裸光纤方式或G-Pon方式组网。若采用裸光纤方式组网，则要求自行增加汇聚交换机相应数量的扩展板卡来实现接口数增加。若采用G-Pon方式组网，则要求自行增加汇聚/核心交换机上的万兆光模块，以实现ONU双万兆链路互联。为保障网络稳定运行，各光纤模块应采用原厂产品。网络性能指标（网络时延、时延抖动、丢包率、包误差率）应达到</w:t>
      </w:r>
      <w:r>
        <w:rPr>
          <w:rFonts w:ascii="宋体"/>
          <w:color w:val="auto"/>
          <w:sz w:val="24"/>
        </w:rPr>
        <w:t>YD/T 1171中规定的0级服务质量等级,网络时延上限值为150ms；时延抖动上限值为50ms；丢包率上限值为1x</w:t>
      </w:r>
      <w:r>
        <w:rPr>
          <w:rFonts w:ascii="宋体"/>
          <w:color w:val="auto"/>
          <w:sz w:val="24"/>
          <w:szCs w:val="24"/>
        </w:rPr>
        <w:t>10</w:t>
      </w:r>
      <w:r>
        <w:rPr>
          <w:rFonts w:ascii="宋体"/>
          <w:color w:val="auto"/>
          <w:sz w:val="24"/>
          <w:szCs w:val="24"/>
          <w:vertAlign w:val="superscript"/>
        </w:rPr>
        <w:t>-</w:t>
      </w:r>
      <w:r>
        <w:rPr>
          <w:rFonts w:hint="eastAsia" w:ascii="宋体"/>
          <w:color w:val="auto"/>
          <w:sz w:val="24"/>
          <w:szCs w:val="24"/>
          <w:vertAlign w:val="superscript"/>
        </w:rPr>
        <w:t>3</w:t>
      </w:r>
      <w:r>
        <w:rPr>
          <w:rFonts w:ascii="宋体"/>
          <w:color w:val="auto"/>
          <w:sz w:val="24"/>
        </w:rPr>
        <w:t>；包误差率上限值为1x</w:t>
      </w:r>
      <w:r>
        <w:rPr>
          <w:rFonts w:ascii="宋体"/>
          <w:color w:val="auto"/>
          <w:sz w:val="24"/>
          <w:szCs w:val="24"/>
        </w:rPr>
        <w:t>10</w:t>
      </w:r>
      <w:r>
        <w:rPr>
          <w:rFonts w:ascii="宋体"/>
          <w:color w:val="auto"/>
          <w:sz w:val="24"/>
          <w:szCs w:val="24"/>
          <w:vertAlign w:val="superscript"/>
        </w:rPr>
        <w:t>-4</w:t>
      </w:r>
      <w:r>
        <w:rPr>
          <w:rFonts w:hint="eastAsia" w:ascii="宋体"/>
          <w:color w:val="auto"/>
          <w:sz w:val="24"/>
        </w:rPr>
        <w:t>。</w:t>
      </w:r>
    </w:p>
    <w:p>
      <w:pPr>
        <w:snapToGrid w:val="0"/>
        <w:spacing w:line="360" w:lineRule="auto"/>
        <w:ind w:firstLine="480"/>
        <w:rPr>
          <w:rFonts w:hint="eastAsia" w:ascii="宋体"/>
          <w:color w:val="auto"/>
          <w:sz w:val="24"/>
        </w:rPr>
      </w:pPr>
      <w:r>
        <w:rPr>
          <w:rFonts w:hint="eastAsia" w:ascii="宋体"/>
          <w:color w:val="auto"/>
          <w:sz w:val="24"/>
        </w:rPr>
        <w:t>4、存储设备必须能无缝与原天网平台连接，录像保存时间不少于30天，图片保存时间不少于180天。</w:t>
      </w:r>
    </w:p>
    <w:p>
      <w:pPr>
        <w:snapToGrid w:val="0"/>
        <w:spacing w:line="360" w:lineRule="auto"/>
        <w:ind w:firstLine="480"/>
        <w:rPr>
          <w:rFonts w:hint="eastAsia" w:ascii="宋体"/>
          <w:color w:val="auto"/>
          <w:sz w:val="24"/>
        </w:rPr>
      </w:pPr>
      <w:r>
        <w:rPr>
          <w:rFonts w:hint="default" w:ascii="宋体"/>
          <w:color w:val="auto"/>
          <w:sz w:val="24"/>
          <w:lang w:val="en-US"/>
        </w:rPr>
        <w:t>5</w:t>
      </w:r>
      <w:r>
        <w:rPr>
          <w:rFonts w:hint="eastAsia" w:ascii="宋体"/>
          <w:color w:val="auto"/>
          <w:sz w:val="24"/>
          <w:lang w:val="en-US" w:eastAsia="zh-CN"/>
        </w:rPr>
        <w:t>、为保证视频监控系统运维质量，建议相关设备准备充足的备品备件；根据各自不同组网方式涉及的相关设备自行配置。</w:t>
      </w:r>
    </w:p>
    <w:p>
      <w:pPr>
        <w:tabs>
          <w:tab w:val="left" w:pos="8280"/>
        </w:tabs>
        <w:autoSpaceDE w:val="0"/>
        <w:autoSpaceDN w:val="0"/>
        <w:adjustRightInd w:val="0"/>
        <w:spacing w:line="360" w:lineRule="auto"/>
        <w:ind w:right="25" w:firstLine="482" w:firstLineChars="200"/>
        <w:rPr>
          <w:rFonts w:hint="eastAsia" w:ascii="宋体"/>
          <w:b/>
          <w:color w:val="auto"/>
          <w:kern w:val="21"/>
          <w:sz w:val="24"/>
          <w:szCs w:val="24"/>
        </w:rPr>
      </w:pPr>
      <w:r>
        <w:rPr>
          <w:rFonts w:hint="eastAsia" w:ascii="宋体" w:hAnsi="宋体" w:cs="宋体"/>
          <w:b/>
          <w:color w:val="auto"/>
          <w:sz w:val="24"/>
          <w:lang w:eastAsia="zh-CN"/>
        </w:rPr>
        <w:t>（</w:t>
      </w:r>
      <w:r>
        <w:rPr>
          <w:rFonts w:hint="eastAsia" w:ascii="宋体" w:hAnsi="宋体" w:cs="宋体"/>
          <w:b/>
          <w:color w:val="auto"/>
          <w:sz w:val="24"/>
          <w:lang w:val="en-US" w:eastAsia="zh-CN"/>
        </w:rPr>
        <w:t>四</w:t>
      </w:r>
      <w:r>
        <w:rPr>
          <w:rFonts w:hint="eastAsia" w:ascii="宋体" w:hAnsi="宋体" w:cs="宋体"/>
          <w:b/>
          <w:color w:val="auto"/>
          <w:sz w:val="24"/>
          <w:lang w:eastAsia="zh-CN"/>
        </w:rPr>
        <w:t>）</w:t>
      </w:r>
      <w:r>
        <w:rPr>
          <w:rFonts w:hint="eastAsia" w:ascii="宋体"/>
          <w:b/>
          <w:bCs/>
          <w:color w:val="auto"/>
          <w:sz w:val="24"/>
          <w:lang w:eastAsia="zh-CN"/>
        </w:rPr>
        <w:t>拟投入的</w:t>
      </w:r>
      <w:r>
        <w:rPr>
          <w:rFonts w:hint="eastAsia" w:ascii="宋体"/>
          <w:b/>
          <w:bCs/>
          <w:color w:val="auto"/>
          <w:sz w:val="24"/>
          <w:lang w:val="en-US" w:eastAsia="zh-CN"/>
        </w:rPr>
        <w:t>主要</w:t>
      </w:r>
      <w:r>
        <w:rPr>
          <w:rFonts w:hint="eastAsia" w:ascii="宋体"/>
          <w:b/>
          <w:bCs/>
          <w:color w:val="auto"/>
          <w:sz w:val="24"/>
          <w:lang w:eastAsia="zh-CN"/>
        </w:rPr>
        <w:t>软硬件设备</w:t>
      </w:r>
      <w:r>
        <w:rPr>
          <w:rFonts w:hint="eastAsia" w:ascii="宋体"/>
          <w:b/>
          <w:color w:val="auto"/>
          <w:kern w:val="21"/>
          <w:sz w:val="24"/>
          <w:szCs w:val="24"/>
        </w:rPr>
        <w:t>技术参数及参考数量</w:t>
      </w:r>
    </w:p>
    <w:p>
      <w:pPr>
        <w:tabs>
          <w:tab w:val="left" w:pos="900"/>
        </w:tabs>
        <w:snapToGrid w:val="0"/>
        <w:spacing w:line="360" w:lineRule="auto"/>
        <w:ind w:firstLine="480"/>
        <w:jc w:val="left"/>
        <w:rPr>
          <w:rFonts w:hint="eastAsia" w:ascii="宋体"/>
          <w:color w:val="auto"/>
          <w:sz w:val="24"/>
          <w:lang w:eastAsia="zh-CN"/>
        </w:rPr>
      </w:pPr>
      <w:r>
        <w:rPr>
          <w:rFonts w:hint="eastAsia" w:ascii="宋体"/>
          <w:color w:val="auto"/>
          <w:sz w:val="24"/>
          <w:lang w:eastAsia="zh-CN"/>
        </w:rPr>
        <w:t>技术参数与数量的参考表是组成整体服务项目最基本的单元，</w:t>
      </w:r>
      <w:r>
        <w:rPr>
          <w:rFonts w:hint="eastAsia" w:ascii="宋体"/>
          <w:color w:val="auto"/>
          <w:sz w:val="24"/>
        </w:rPr>
        <w:t>投标人可</w:t>
      </w:r>
      <w:r>
        <w:rPr>
          <w:rFonts w:hint="eastAsia" w:ascii="宋体"/>
          <w:color w:val="auto"/>
          <w:sz w:val="24"/>
          <w:lang w:val="en-US" w:eastAsia="zh-CN"/>
        </w:rPr>
        <w:t>按</w:t>
      </w:r>
      <w:r>
        <w:rPr>
          <w:rFonts w:hint="eastAsia" w:ascii="宋体"/>
          <w:color w:val="auto"/>
          <w:sz w:val="24"/>
        </w:rPr>
        <w:t>实际情况调整，</w:t>
      </w:r>
      <w:r>
        <w:rPr>
          <w:rFonts w:hint="eastAsia" w:ascii="宋体"/>
          <w:color w:val="auto"/>
          <w:sz w:val="24"/>
          <w:lang w:val="en-US" w:eastAsia="zh-CN"/>
        </w:rPr>
        <w:t>但</w:t>
      </w:r>
      <w:r>
        <w:rPr>
          <w:rFonts w:hint="eastAsia" w:ascii="宋体"/>
          <w:color w:val="auto"/>
          <w:sz w:val="24"/>
        </w:rPr>
        <w:t>整</w:t>
      </w:r>
      <w:r>
        <w:rPr>
          <w:rFonts w:hint="eastAsia" w:ascii="宋体"/>
          <w:color w:val="auto"/>
          <w:sz w:val="24"/>
          <w:lang w:val="en-US" w:eastAsia="zh-CN"/>
        </w:rPr>
        <w:t>体必须</w:t>
      </w:r>
      <w:r>
        <w:rPr>
          <w:rFonts w:hint="eastAsia" w:ascii="宋体"/>
          <w:color w:val="auto"/>
          <w:sz w:val="24"/>
        </w:rPr>
        <w:t>实现</w:t>
      </w:r>
      <w:r>
        <w:rPr>
          <w:rFonts w:hint="eastAsia" w:ascii="宋体"/>
          <w:color w:val="auto"/>
          <w:sz w:val="24"/>
          <w:lang w:val="en-US" w:eastAsia="zh-CN"/>
        </w:rPr>
        <w:t>项目服务目标</w:t>
      </w:r>
      <w:r>
        <w:rPr>
          <w:rFonts w:hint="eastAsia" w:ascii="宋体"/>
          <w:color w:val="auto"/>
          <w:sz w:val="24"/>
        </w:rPr>
        <w:t>，</w:t>
      </w:r>
      <w:r>
        <w:rPr>
          <w:rFonts w:hint="eastAsia" w:ascii="宋体"/>
          <w:color w:val="auto"/>
          <w:sz w:val="24"/>
          <w:lang w:eastAsia="zh-CN"/>
        </w:rPr>
        <w:t>如因所选设备无法满足人脸抓拍场景宽度或其他服务需求的自行增加设备</w:t>
      </w:r>
      <w:r>
        <w:rPr>
          <w:rFonts w:hint="eastAsia" w:ascii="宋体"/>
          <w:color w:val="auto"/>
          <w:sz w:val="24"/>
        </w:rPr>
        <w:t>并与</w:t>
      </w:r>
      <w:r>
        <w:rPr>
          <w:rFonts w:hint="eastAsia" w:ascii="宋体"/>
          <w:color w:val="auto"/>
          <w:sz w:val="24"/>
          <w:lang w:eastAsia="zh-CN"/>
        </w:rPr>
        <w:t>相关服务</w:t>
      </w:r>
      <w:r>
        <w:rPr>
          <w:rFonts w:hint="eastAsia" w:ascii="宋体"/>
          <w:color w:val="auto"/>
          <w:sz w:val="24"/>
        </w:rPr>
        <w:t>平台实现无缝对接</w:t>
      </w:r>
      <w:r>
        <w:rPr>
          <w:rFonts w:hint="eastAsia" w:ascii="宋体"/>
          <w:color w:val="auto"/>
          <w:sz w:val="24"/>
          <w:lang w:eastAsia="zh-CN"/>
        </w:rPr>
        <w:t>，</w:t>
      </w:r>
      <w:r>
        <w:rPr>
          <w:rFonts w:hint="eastAsia" w:ascii="宋体"/>
          <w:color w:val="auto"/>
          <w:sz w:val="24"/>
        </w:rPr>
        <w:t>由中标人承担相关的一切费用</w:t>
      </w:r>
      <w:r>
        <w:rPr>
          <w:rFonts w:hint="eastAsia" w:ascii="宋体"/>
          <w:color w:val="auto"/>
          <w:sz w:val="24"/>
          <w:lang w:eastAsia="zh-CN"/>
        </w:rPr>
        <w:t>；鼓励使用更先进的技术及设备提供更好的服务（需在治安复杂及智安村居小区等区域根据业主指定制作悬挂“无盗抢视频监控区域”警示牌</w:t>
      </w:r>
      <w:r>
        <w:rPr>
          <w:rFonts w:hint="eastAsia" w:ascii="宋体"/>
          <w:color w:val="auto"/>
          <w:sz w:val="24"/>
          <w:lang w:val="en-US" w:eastAsia="zh-CN"/>
        </w:rPr>
        <w:t>50个</w:t>
      </w:r>
      <w:r>
        <w:rPr>
          <w:rFonts w:hint="eastAsia" w:ascii="宋体"/>
          <w:color w:val="auto"/>
          <w:sz w:val="24"/>
          <w:lang w:eastAsia="zh-CN"/>
        </w:rPr>
        <w:t>）。</w:t>
      </w:r>
    </w:p>
    <w:p>
      <w:pPr>
        <w:tabs>
          <w:tab w:val="left" w:pos="900"/>
        </w:tabs>
        <w:snapToGrid w:val="0"/>
        <w:spacing w:line="360" w:lineRule="auto"/>
        <w:ind w:firstLine="480"/>
        <w:jc w:val="center"/>
        <w:rPr>
          <w:rFonts w:hint="eastAsia" w:ascii="宋体" w:cs="宋体"/>
          <w:b/>
          <w:color w:val="auto"/>
          <w:sz w:val="21"/>
          <w:szCs w:val="21"/>
          <w:lang w:bidi="ar"/>
        </w:rPr>
      </w:pPr>
      <w:r>
        <w:rPr>
          <w:rFonts w:hint="eastAsia" w:ascii="宋体"/>
          <w:b/>
          <w:bCs/>
          <w:color w:val="auto"/>
          <w:sz w:val="24"/>
          <w:lang w:val="en-US" w:eastAsia="zh-CN"/>
        </w:rPr>
        <w:t>表</w:t>
      </w:r>
      <w:r>
        <w:rPr>
          <w:rFonts w:hint="eastAsia" w:ascii="宋体"/>
          <w:b/>
          <w:bCs/>
          <w:color w:val="auto"/>
          <w:sz w:val="24"/>
          <w:lang w:eastAsia="zh-CN"/>
        </w:rPr>
        <w:t>1.拟投入的</w:t>
      </w:r>
      <w:r>
        <w:rPr>
          <w:rFonts w:hint="eastAsia" w:ascii="宋体"/>
          <w:b/>
          <w:bCs/>
          <w:color w:val="auto"/>
          <w:sz w:val="24"/>
          <w:lang w:val="en-US" w:eastAsia="zh-CN"/>
        </w:rPr>
        <w:t>主要</w:t>
      </w:r>
      <w:r>
        <w:rPr>
          <w:rFonts w:hint="eastAsia" w:ascii="宋体"/>
          <w:b/>
          <w:bCs/>
          <w:color w:val="auto"/>
          <w:sz w:val="24"/>
          <w:lang w:eastAsia="zh-CN"/>
        </w:rPr>
        <w:t>软硬件设备</w:t>
      </w:r>
      <w:r>
        <w:rPr>
          <w:rFonts w:hint="eastAsia" w:ascii="宋体"/>
          <w:b/>
          <w:bCs/>
          <w:color w:val="auto"/>
          <w:sz w:val="24"/>
          <w:lang w:val="en-US" w:eastAsia="zh-CN"/>
        </w:rPr>
        <w:t>数量</w:t>
      </w:r>
    </w:p>
    <w:tbl>
      <w:tblPr>
        <w:tblStyle w:val="39"/>
        <w:tblW w:w="0" w:type="auto"/>
        <w:tblInd w:w="0" w:type="dxa"/>
        <w:tblLayout w:type="fixed"/>
        <w:tblCellMar>
          <w:top w:w="0" w:type="dxa"/>
          <w:left w:w="0" w:type="dxa"/>
          <w:bottom w:w="0" w:type="dxa"/>
          <w:right w:w="0" w:type="dxa"/>
        </w:tblCellMar>
      </w:tblPr>
      <w:tblGrid>
        <w:gridCol w:w="650"/>
        <w:gridCol w:w="3901"/>
        <w:gridCol w:w="2902"/>
        <w:gridCol w:w="732"/>
        <w:gridCol w:w="871"/>
      </w:tblGrid>
      <w:tr>
        <w:tblPrEx>
          <w:tblCellMar>
            <w:top w:w="0" w:type="dxa"/>
            <w:left w:w="0" w:type="dxa"/>
            <w:bottom w:w="0" w:type="dxa"/>
            <w:right w:w="0" w:type="dxa"/>
          </w:tblCellMar>
        </w:tblPrEx>
        <w:trPr>
          <w:trHeight w:val="240" w:hRule="atLeast"/>
          <w:tblHeader/>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序号</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color w:val="auto"/>
                <w:sz w:val="21"/>
                <w:szCs w:val="21"/>
              </w:rPr>
            </w:pPr>
            <w:r>
              <w:rPr>
                <w:rFonts w:hint="eastAsia" w:ascii="宋体" w:cs="宋体"/>
                <w:b/>
                <w:color w:val="auto"/>
                <w:sz w:val="21"/>
                <w:szCs w:val="21"/>
                <w:lang w:bidi="ar"/>
              </w:rPr>
              <w:t>设备名称</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color w:val="auto"/>
                <w:sz w:val="21"/>
                <w:szCs w:val="21"/>
              </w:rPr>
            </w:pPr>
            <w:r>
              <w:rPr>
                <w:rFonts w:hint="eastAsia" w:ascii="宋体" w:cs="宋体"/>
                <w:b/>
                <w:color w:val="auto"/>
                <w:sz w:val="21"/>
                <w:szCs w:val="21"/>
                <w:lang w:eastAsia="zh-CN" w:bidi="ar"/>
              </w:rPr>
              <w:t>参考</w:t>
            </w:r>
            <w:r>
              <w:rPr>
                <w:rFonts w:hint="eastAsia" w:ascii="宋体" w:cs="宋体"/>
                <w:b/>
                <w:color w:val="auto"/>
                <w:sz w:val="21"/>
                <w:szCs w:val="21"/>
                <w:lang w:bidi="ar"/>
              </w:rPr>
              <w:t>品牌</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单位</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数量</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（一）视频监控设备</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星光级带云台多功能摄像机</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349</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900万</w:t>
            </w:r>
            <w:r>
              <w:rPr>
                <w:rFonts w:hint="eastAsia" w:ascii="宋体" w:cs="宋体"/>
                <w:color w:val="auto"/>
                <w:sz w:val="21"/>
                <w:szCs w:val="21"/>
                <w:lang w:eastAsia="zh-CN" w:bidi="ar"/>
              </w:rPr>
              <w:t>卡口</w:t>
            </w:r>
            <w:r>
              <w:rPr>
                <w:rFonts w:hint="eastAsia" w:ascii="宋体" w:cs="宋体"/>
                <w:color w:val="auto"/>
                <w:sz w:val="21"/>
                <w:szCs w:val="21"/>
                <w:lang w:bidi="ar"/>
              </w:rPr>
              <w:t>视频抓拍机</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94</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人脸半球摄像机</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星光</w:t>
            </w:r>
            <w:r>
              <w:rPr>
                <w:rFonts w:hint="eastAsia" w:ascii="宋体" w:cs="宋体"/>
                <w:color w:val="auto"/>
                <w:sz w:val="21"/>
                <w:szCs w:val="21"/>
                <w:lang w:val="en-US" w:eastAsia="zh-CN" w:bidi="ar"/>
              </w:rPr>
              <w:t>球机</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聚光闪光灯</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189</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4G人脸车辆布控球</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（二）杆件</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Y型监控杆，高6米,挑6米，挑4米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Y型监控杆，高6米,挑6米，挑3米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Y型监控杆，高6米,挑3米，挑3米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L型监控杆，高6米,挑6米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L型监控杆等径杆，高6米,挑3米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30</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L型监控杆等径杆，高3米,挑2米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壁装挑臂1M</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壁装挑臂2M</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抱杆挑臂,挑臂3米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57</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抱杆挑臂,挑臂2米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抱杆挑臂,挑臂1米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挑臂延伸杆-3M</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预埋件(中)</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预埋件(小)</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15</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接地棒</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个</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38</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17</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枪机壁装支架</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借杆抱箍</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20</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下吊支架（可升缩1-3m）</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（三）辅材</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杆件挂箱（大）</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只</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126</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杆件挂箱（小）</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只</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辅材</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国产</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项</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（四）传输设备</w:t>
            </w:r>
          </w:p>
        </w:tc>
      </w:tr>
      <w:tr>
        <w:tblPrEx>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一光八电</w:t>
            </w:r>
            <w:r>
              <w:rPr>
                <w:rFonts w:hint="eastAsia" w:ascii="宋体" w:cs="宋体"/>
                <w:color w:val="auto"/>
                <w:sz w:val="21"/>
                <w:szCs w:val="21"/>
                <w:lang w:bidi="ar"/>
              </w:rPr>
              <w:t>前端以太网接入设备</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137</w:t>
            </w:r>
          </w:p>
        </w:tc>
      </w:tr>
      <w:tr>
        <w:tblPrEx>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二</w:t>
            </w:r>
            <w:r>
              <w:rPr>
                <w:rFonts w:hint="eastAsia" w:ascii="宋体" w:cs="宋体"/>
                <w:color w:val="auto"/>
                <w:sz w:val="21"/>
                <w:szCs w:val="21"/>
                <w:lang w:eastAsia="zh-CN" w:bidi="ar"/>
              </w:rPr>
              <w:t>光八电</w:t>
            </w:r>
            <w:r>
              <w:rPr>
                <w:rFonts w:hint="eastAsia" w:ascii="宋体" w:cs="宋体"/>
                <w:color w:val="auto"/>
                <w:sz w:val="21"/>
                <w:szCs w:val="21"/>
                <w:lang w:bidi="ar"/>
              </w:rPr>
              <w:t>前端以太网接入设备</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8口交换机</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华三、华为、中威</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中心板卡4光1电（光口千兆电口千兆）</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35</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光端机箱</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（五）网络设备</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24口全千兆三层交换机</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24口全千兆二层交换机</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（六）存储设备</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机架式SSU存储机头</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立元、海康、华为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企业级6T硬盘</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希捷、西部数据、东芝</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144</w:t>
            </w:r>
          </w:p>
        </w:tc>
      </w:tr>
      <w:tr>
        <w:tblPrEx>
          <w:tblCellMar>
            <w:top w:w="0" w:type="dxa"/>
            <w:left w:w="0" w:type="dxa"/>
            <w:bottom w:w="0" w:type="dxa"/>
            <w:right w:w="0" w:type="dxa"/>
          </w:tblCellMar>
        </w:tblPrEx>
        <w:trPr>
          <w:trHeight w:val="24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机柜</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图腾、华丰、博华</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（七）图像视频结构化处理多维立控指挥平台</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1、图片视频结构化分析</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视频运维分析智能平台</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海康威视、立元、视联动力</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数据库服务器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海康威视、浪潮、</w:t>
            </w:r>
            <w:r>
              <w:rPr>
                <w:rFonts w:hint="eastAsia" w:ascii="宋体" w:cs="宋体"/>
                <w:color w:val="auto"/>
                <w:sz w:val="21"/>
                <w:szCs w:val="21"/>
                <w:lang w:eastAsia="zh-CN" w:bidi="ar"/>
              </w:rPr>
              <w:t>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应用服务器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海康威视、浪潮、</w:t>
            </w:r>
            <w:r>
              <w:rPr>
                <w:rFonts w:hint="eastAsia" w:ascii="宋体" w:cs="宋体"/>
                <w:color w:val="auto"/>
                <w:sz w:val="21"/>
                <w:szCs w:val="21"/>
                <w:lang w:eastAsia="zh-CN" w:bidi="ar"/>
              </w:rPr>
              <w:t>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数据接收服务器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海康威视、浪潮、</w:t>
            </w:r>
            <w:r>
              <w:rPr>
                <w:rFonts w:hint="eastAsia" w:ascii="宋体" w:cs="宋体"/>
                <w:color w:val="auto"/>
                <w:sz w:val="21"/>
                <w:szCs w:val="21"/>
                <w:lang w:eastAsia="zh-CN" w:bidi="ar"/>
              </w:rPr>
              <w:t>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图片视频分析服务器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海康威视、立元、依图</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6</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融合数据存储服务器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海康威视、立元、依图</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82"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2</w:t>
            </w:r>
            <w:r>
              <w:rPr>
                <w:rFonts w:hint="eastAsia" w:ascii="宋体" w:cs="宋体"/>
                <w:color w:val="auto"/>
                <w:sz w:val="21"/>
                <w:szCs w:val="21"/>
                <w:lang w:bidi="ar"/>
              </w:rPr>
              <w:t>、视频运维</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视频运维平台服务器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海康威视、浪潮、</w:t>
            </w:r>
            <w:r>
              <w:rPr>
                <w:rFonts w:hint="eastAsia" w:ascii="宋体" w:cs="宋体"/>
                <w:color w:val="auto"/>
                <w:sz w:val="21"/>
                <w:szCs w:val="21"/>
                <w:lang w:eastAsia="zh-CN" w:bidi="ar"/>
              </w:rPr>
              <w:t>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视频运维检测</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海康威视、立元、依图</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3</w:t>
            </w:r>
            <w:r>
              <w:rPr>
                <w:rFonts w:hint="eastAsia" w:ascii="宋体" w:cs="宋体"/>
                <w:color w:val="auto"/>
                <w:sz w:val="21"/>
                <w:szCs w:val="21"/>
                <w:lang w:bidi="ar"/>
              </w:rPr>
              <w:t>、视频地图</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视频地图应用服务器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海康威视、浪潮、</w:t>
            </w:r>
            <w:r>
              <w:rPr>
                <w:rFonts w:hint="eastAsia" w:ascii="宋体" w:cs="宋体"/>
                <w:color w:val="auto"/>
                <w:sz w:val="21"/>
                <w:szCs w:val="21"/>
                <w:lang w:eastAsia="zh-CN" w:bidi="ar"/>
              </w:rPr>
              <w:t>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视频地图</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海康威视、立元、依图</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桌面型服务器</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海康威视、浪潮、</w:t>
            </w:r>
            <w:r>
              <w:rPr>
                <w:rFonts w:hint="eastAsia" w:ascii="宋体" w:cs="宋体"/>
                <w:color w:val="auto"/>
                <w:sz w:val="21"/>
                <w:szCs w:val="21"/>
                <w:lang w:eastAsia="zh-CN" w:bidi="ar"/>
              </w:rPr>
              <w:t>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4</w:t>
            </w:r>
            <w:r>
              <w:rPr>
                <w:rFonts w:hint="eastAsia" w:ascii="宋体" w:cs="宋体"/>
                <w:color w:val="auto"/>
                <w:sz w:val="21"/>
                <w:szCs w:val="21"/>
                <w:lang w:bidi="ar"/>
              </w:rPr>
              <w:t xml:space="preserve">、校时服务器 </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 xml:space="preserve">NTP校时服务器 </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海康威视、新华三、中威</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外接信号线</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海康威视、新华三、中威</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服务器raid卡</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海康威视、浪潮、</w:t>
            </w:r>
            <w:r>
              <w:rPr>
                <w:rFonts w:hint="eastAsia" w:ascii="宋体" w:cs="宋体"/>
                <w:color w:val="auto"/>
                <w:sz w:val="21"/>
                <w:szCs w:val="21"/>
                <w:lang w:eastAsia="zh-CN" w:bidi="ar"/>
              </w:rPr>
              <w:t>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（八）天网工程视频作战侦查平台升级扩容</w:t>
            </w:r>
          </w:p>
        </w:tc>
      </w:tr>
      <w:tr>
        <w:tblPrEx>
          <w:tblCellMar>
            <w:top w:w="0" w:type="dxa"/>
            <w:left w:w="0" w:type="dxa"/>
            <w:bottom w:w="0" w:type="dxa"/>
            <w:right w:w="0" w:type="dxa"/>
          </w:tblCellMar>
        </w:tblPrEx>
        <w:trPr>
          <w:trHeight w:val="282"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1、视频图像信息数据库系统</w:t>
            </w:r>
          </w:p>
        </w:tc>
      </w:tr>
      <w:tr>
        <w:tblPrEx>
          <w:tblCellMar>
            <w:top w:w="0" w:type="dxa"/>
            <w:left w:w="0" w:type="dxa"/>
            <w:bottom w:w="0" w:type="dxa"/>
            <w:right w:w="0" w:type="dxa"/>
          </w:tblCellMar>
        </w:tblPrEx>
        <w:trPr>
          <w:trHeight w:val="282" w:hRule="atLeast"/>
        </w:trPr>
        <w:tc>
          <w:tcPr>
            <w:tcW w:w="455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硬件-大数据服务器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大数据管理节点服务器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nil"/>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大数据数据节点服务器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82" w:hRule="atLeast"/>
        </w:trPr>
        <w:tc>
          <w:tcPr>
            <w:tcW w:w="455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硬件-视图库服务器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82" w:hRule="atLeast"/>
        </w:trPr>
        <w:tc>
          <w:tcPr>
            <w:tcW w:w="650" w:type="dxa"/>
            <w:tcBorders>
              <w:top w:val="nil"/>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采集接口服务器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采集接口管理服务器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nil"/>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服务接口服务器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级联接口服务器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nil"/>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应用服务器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4551"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软件-视频图像信息数据库</w:t>
            </w:r>
          </w:p>
        </w:tc>
        <w:tc>
          <w:tcPr>
            <w:tcW w:w="2902"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核心引擎</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通用应用门户</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运维管理</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采集接口集群服务</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服务接口</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级联接口</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数据接口</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745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软件-视频大数据平台</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大数据存储服务基础框架-分布式文件系统</w:t>
            </w:r>
          </w:p>
        </w:tc>
        <w:tc>
          <w:tcPr>
            <w:tcW w:w="29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大数据存储服务基础框架-分布式数据库服务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大数据数据处理框架-集群管理监控框架</w:t>
            </w:r>
          </w:p>
        </w:tc>
        <w:tc>
          <w:tcPr>
            <w:tcW w:w="29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大数据数据处理框架-流式计算框架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大数据数据处理框架-离线计算框架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大数据数据处理框架-分布式内存计算框架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大数据数据处理框架-分布式消息队列框架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大数据数据处理框架-分布式数据搜索框架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大数据数据处理框架-分布式数据挖掘框架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资源调度服务-资源调度系统</w:t>
            </w:r>
          </w:p>
        </w:tc>
        <w:tc>
          <w:tcPr>
            <w:tcW w:w="29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资源调度服务-集群命名同步管理服务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资源调度服务-集群管理监控框架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安全保障服务-故障兼容服务</w:t>
            </w:r>
          </w:p>
        </w:tc>
        <w:tc>
          <w:tcPr>
            <w:tcW w:w="29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安全保障服务-进程守护服务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安全保障服务-数据恢复服务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安全保障服务-在线扩展服务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数据运维管理-集群容错</w:t>
            </w:r>
          </w:p>
        </w:tc>
        <w:tc>
          <w:tcPr>
            <w:tcW w:w="29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数据运维管理-状态监控服务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数据运维管理-日志采集服务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数据运维管理-用户鉴权服务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数据运维管理-界面化安装服务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数据运维管理-运维系统软件</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数据运维管理-应用监控服务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数据运维管理-数据监控服务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大数据应用服务-海量数据检索服务</w:t>
            </w:r>
          </w:p>
        </w:tc>
        <w:tc>
          <w:tcPr>
            <w:tcW w:w="29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大数据应用服务-大数据挖掘服务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大数据应用服务-大数据分析服务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28</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大数据应用服务-大数据采集服务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29</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大数据应用服务-数据资源服务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大数据应用服务-可视化分析服务</w:t>
            </w:r>
          </w:p>
        </w:tc>
        <w:tc>
          <w:tcPr>
            <w:tcW w:w="29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8"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2、视频作战侦查平台软硬件升级扩容</w:t>
            </w:r>
          </w:p>
        </w:tc>
      </w:tr>
      <w:tr>
        <w:tblPrEx>
          <w:tblCellMar>
            <w:top w:w="0" w:type="dxa"/>
            <w:left w:w="0" w:type="dxa"/>
            <w:bottom w:w="0" w:type="dxa"/>
            <w:right w:w="0" w:type="dxa"/>
          </w:tblCellMar>
        </w:tblPrEx>
        <w:trPr>
          <w:trHeight w:val="278" w:hRule="atLeast"/>
        </w:trPr>
        <w:tc>
          <w:tcPr>
            <w:tcW w:w="745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硬件-实战平台硬件升级</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运算服务器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应用服务器</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浪潮、曙光、华为</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8" w:hRule="atLeast"/>
        </w:trPr>
        <w:tc>
          <w:tcPr>
            <w:tcW w:w="745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软件-实战平台软件升级</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8" w:hRule="atLeast"/>
        </w:trPr>
        <w:tc>
          <w:tcPr>
            <w:tcW w:w="65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功能升级</w:t>
            </w:r>
          </w:p>
        </w:tc>
        <w:tc>
          <w:tcPr>
            <w:tcW w:w="2902"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立元、星环、莲子</w:t>
            </w:r>
          </w:p>
        </w:tc>
        <w:tc>
          <w:tcPr>
            <w:tcW w:w="732"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8"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（九）转码网关</w:t>
            </w:r>
          </w:p>
        </w:tc>
      </w:tr>
      <w:tr>
        <w:tblPrEx>
          <w:tblCellMar>
            <w:top w:w="0" w:type="dxa"/>
            <w:left w:w="0" w:type="dxa"/>
            <w:bottom w:w="0" w:type="dxa"/>
            <w:right w:w="0"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平台联网网关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立元、海康、华为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媒体服务网关</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立元、海康、华为</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8" w:hRule="atLeast"/>
        </w:trPr>
        <w:tc>
          <w:tcPr>
            <w:tcW w:w="455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（十）视频边界接入系统</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万兆视频交换系统</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中科富星、创谐、讯安</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78"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w:t>
            </w:r>
            <w:r>
              <w:rPr>
                <w:rFonts w:hint="eastAsia" w:ascii="宋体" w:cs="宋体"/>
                <w:color w:val="auto"/>
                <w:sz w:val="21"/>
                <w:szCs w:val="21"/>
                <w:lang w:val="en-US" w:eastAsia="zh-CN" w:bidi="ar"/>
              </w:rPr>
              <w:t>十一</w:t>
            </w:r>
            <w:r>
              <w:rPr>
                <w:rFonts w:hint="eastAsia" w:ascii="宋体" w:cs="宋体"/>
                <w:color w:val="auto"/>
                <w:sz w:val="21"/>
                <w:szCs w:val="21"/>
                <w:lang w:bidi="ar"/>
              </w:rPr>
              <w:t>）采集设备</w:t>
            </w:r>
          </w:p>
        </w:tc>
      </w:tr>
      <w:tr>
        <w:tblPrEx>
          <w:tblCellMar>
            <w:top w:w="0" w:type="dxa"/>
            <w:left w:w="0" w:type="dxa"/>
            <w:bottom w:w="0" w:type="dxa"/>
            <w:right w:w="0" w:type="dxa"/>
          </w:tblCellMar>
        </w:tblPrEx>
        <w:trPr>
          <w:trHeight w:val="278"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lang w:bidi="ar"/>
              </w:rPr>
            </w:pPr>
            <w:r>
              <w:rPr>
                <w:rFonts w:hint="eastAsia" w:ascii="宋体" w:cs="宋体"/>
                <w:color w:val="auto"/>
                <w:sz w:val="21"/>
                <w:szCs w:val="21"/>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imsi智能终端采集设备</w:t>
            </w:r>
          </w:p>
        </w:tc>
        <w:tc>
          <w:tcPr>
            <w:tcW w:w="2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烽火、鉴数、爱赛德、柏安</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auto"/>
              </w:rPr>
            </w:pPr>
            <w:r>
              <w:rPr>
                <w:rFonts w:hint="eastAsia" w:ascii="宋体" w:cs="宋体"/>
                <w:color w:val="auto"/>
                <w:sz w:val="21"/>
                <w:szCs w:val="21"/>
                <w:lang w:bidi="ar"/>
              </w:rPr>
              <w:t>套</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lang w:val="en-US" w:bidi="ar"/>
              </w:rPr>
            </w:pPr>
            <w:r>
              <w:rPr>
                <w:rFonts w:hint="eastAsia" w:ascii="宋体" w:cs="宋体"/>
                <w:color w:val="auto"/>
                <w:sz w:val="21"/>
                <w:szCs w:val="21"/>
                <w:lang w:val="en-US" w:eastAsia="zh-CN" w:bidi="ar"/>
              </w:rPr>
              <w:t>40</w:t>
            </w:r>
          </w:p>
        </w:tc>
      </w:tr>
    </w:tbl>
    <w:p>
      <w:pPr>
        <w:tabs>
          <w:tab w:val="left" w:pos="900"/>
        </w:tabs>
        <w:snapToGrid w:val="0"/>
        <w:spacing w:line="360" w:lineRule="auto"/>
        <w:ind w:firstLine="480"/>
        <w:jc w:val="center"/>
        <w:rPr>
          <w:rFonts w:hint="eastAsia" w:ascii="宋体"/>
          <w:b/>
          <w:bCs/>
          <w:color w:val="auto"/>
          <w:sz w:val="21"/>
          <w:szCs w:val="21"/>
        </w:rPr>
      </w:pPr>
      <w:r>
        <w:rPr>
          <w:rFonts w:hint="eastAsia" w:ascii="宋体"/>
          <w:b/>
          <w:bCs/>
          <w:color w:val="auto"/>
          <w:sz w:val="21"/>
          <w:szCs w:val="21"/>
        </w:rPr>
        <w:br w:type="page"/>
      </w:r>
      <w:r>
        <w:rPr>
          <w:rFonts w:hint="eastAsia" w:ascii="宋体" w:cs="宋体"/>
          <w:b/>
          <w:bCs/>
          <w:color w:val="auto"/>
          <w:sz w:val="21"/>
          <w:szCs w:val="21"/>
          <w:lang w:eastAsia="zh-CN" w:bidi="ar"/>
        </w:rPr>
        <w:t>表2.拟投入的</w:t>
      </w:r>
      <w:r>
        <w:rPr>
          <w:rFonts w:hint="eastAsia" w:ascii="宋体" w:cs="宋体"/>
          <w:b/>
          <w:bCs/>
          <w:color w:val="auto"/>
          <w:sz w:val="21"/>
          <w:szCs w:val="21"/>
          <w:lang w:val="en-US" w:eastAsia="zh-CN" w:bidi="ar"/>
        </w:rPr>
        <w:t>主要</w:t>
      </w:r>
      <w:r>
        <w:rPr>
          <w:rFonts w:hint="eastAsia" w:ascii="宋体" w:cs="宋体"/>
          <w:b/>
          <w:bCs/>
          <w:color w:val="auto"/>
          <w:sz w:val="21"/>
          <w:szCs w:val="21"/>
          <w:lang w:eastAsia="zh-CN" w:bidi="ar"/>
        </w:rPr>
        <w:t>软硬件设备技术参数</w:t>
      </w:r>
      <w:r>
        <w:rPr>
          <w:rFonts w:hint="eastAsia" w:ascii="宋体" w:cs="宋体"/>
          <w:b/>
          <w:bCs/>
          <w:color w:val="auto"/>
          <w:sz w:val="21"/>
          <w:szCs w:val="21"/>
          <w:lang w:val="en-US" w:eastAsia="zh-CN" w:bidi="ar"/>
        </w:rPr>
        <w:t>要求</w:t>
      </w:r>
    </w:p>
    <w:tbl>
      <w:tblPr>
        <w:tblStyle w:val="39"/>
        <w:tblW w:w="0" w:type="auto"/>
        <w:tblInd w:w="0" w:type="dxa"/>
        <w:tblLayout w:type="fixed"/>
        <w:tblCellMar>
          <w:top w:w="0" w:type="dxa"/>
          <w:left w:w="0" w:type="dxa"/>
          <w:bottom w:w="0" w:type="dxa"/>
          <w:right w:w="0" w:type="dxa"/>
        </w:tblCellMar>
      </w:tblPr>
      <w:tblGrid>
        <w:gridCol w:w="699"/>
        <w:gridCol w:w="36"/>
        <w:gridCol w:w="1881"/>
        <w:gridCol w:w="6440"/>
      </w:tblGrid>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序号</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color w:val="auto"/>
                <w:sz w:val="21"/>
                <w:szCs w:val="21"/>
              </w:rPr>
            </w:pPr>
            <w:r>
              <w:rPr>
                <w:rFonts w:hint="eastAsia" w:ascii="宋体" w:cs="宋体"/>
                <w:b/>
                <w:color w:val="auto"/>
                <w:sz w:val="21"/>
                <w:szCs w:val="21"/>
                <w:lang w:bidi="ar"/>
              </w:rPr>
              <w:t>设备名称</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主要技术参数</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（一）视频监控设备</w:t>
            </w:r>
          </w:p>
        </w:tc>
      </w:tr>
      <w:tr>
        <w:tblPrEx>
          <w:tblCellMar>
            <w:top w:w="0" w:type="dxa"/>
            <w:left w:w="0" w:type="dxa"/>
            <w:bottom w:w="0" w:type="dxa"/>
            <w:right w:w="0" w:type="dxa"/>
          </w:tblCellMar>
        </w:tblPrEx>
        <w:trPr>
          <w:trHeight w:val="1055"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eastAsia="zh-CN" w:bidi="ar"/>
              </w:rPr>
              <w:t>星光级带云台多功能摄像机</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lang w:eastAsia="zh-CN"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采用GPU的硬件架构，深度学习算法</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支持智能资源切换：人脸抓拍、</w:t>
            </w:r>
            <w:r>
              <w:rPr>
                <w:rFonts w:hint="eastAsia" w:ascii="宋体" w:cs="宋体"/>
                <w:b w:val="0"/>
                <w:bCs/>
                <w:color w:val="auto"/>
                <w:sz w:val="21"/>
                <w:szCs w:val="21"/>
                <w:lang w:eastAsia="zh-CN" w:bidi="ar"/>
              </w:rPr>
              <w:t>道路监控、</w:t>
            </w:r>
            <w:r>
              <w:rPr>
                <w:rFonts w:hint="eastAsia" w:ascii="宋体" w:cs="宋体"/>
                <w:b w:val="0"/>
                <w:bCs/>
                <w:color w:val="auto"/>
                <w:sz w:val="21"/>
                <w:szCs w:val="21"/>
                <w:lang w:bidi="ar"/>
              </w:rPr>
              <w:t>混合目标检测</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lang w:eastAsia="zh-CN"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传感器类型：≥1/</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"CMOS,</w:t>
            </w:r>
            <w:r>
              <w:rPr>
                <w:rFonts w:hint="eastAsia" w:ascii="宋体" w:cs="宋体"/>
                <w:b w:val="0"/>
                <w:bCs/>
                <w:color w:val="auto"/>
                <w:sz w:val="21"/>
                <w:szCs w:val="21"/>
                <w:lang w:val="en-US" w:eastAsia="zh-CN" w:bidi="ar"/>
              </w:rPr>
              <w:t>400万以上像素，</w:t>
            </w:r>
            <w:r>
              <w:rPr>
                <w:rFonts w:hint="eastAsia" w:ascii="宋体" w:cs="宋体"/>
                <w:b w:val="0"/>
                <w:bCs/>
                <w:color w:val="auto"/>
                <w:sz w:val="21"/>
                <w:szCs w:val="21"/>
                <w:lang w:bidi="ar"/>
              </w:rPr>
              <w:t>最低照度彩色：0.001 lx，黑白:0.0001 lx</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3</w:t>
            </w:r>
            <w:r>
              <w:rPr>
                <w:rFonts w:hint="eastAsia" w:ascii="宋体" w:cs="宋体"/>
                <w:b w:val="0"/>
                <w:bCs/>
                <w:color w:val="auto"/>
                <w:sz w:val="21"/>
                <w:szCs w:val="21"/>
                <w:lang w:val="en-US" w:eastAsia="zh-CN" w:bidi="ar"/>
              </w:rPr>
              <w:t>、</w:t>
            </w:r>
            <w:r>
              <w:rPr>
                <w:rFonts w:hint="eastAsia" w:ascii="宋体" w:cs="宋体"/>
                <w:b w:val="0"/>
                <w:bCs/>
                <w:color w:val="auto"/>
                <w:sz w:val="21"/>
                <w:szCs w:val="21"/>
                <w:lang w:bidi="ar"/>
              </w:rPr>
              <w:t>一体化变焦镜头，</w:t>
            </w:r>
            <w:r>
              <w:rPr>
                <w:rFonts w:hint="eastAsia" w:ascii="宋体" w:cs="宋体"/>
                <w:b w:val="0"/>
                <w:bCs/>
                <w:color w:val="auto"/>
                <w:sz w:val="21"/>
                <w:szCs w:val="21"/>
                <w:lang w:eastAsia="zh-CN" w:bidi="ar"/>
              </w:rPr>
              <w:t>最大变焦</w:t>
            </w:r>
            <w:r>
              <w:rPr>
                <w:rFonts w:hint="eastAsia" w:ascii="宋体" w:cs="宋体"/>
                <w:b w:val="0"/>
                <w:bCs/>
                <w:color w:val="auto"/>
                <w:sz w:val="21"/>
                <w:szCs w:val="21"/>
                <w:lang w:bidi="ar"/>
              </w:rPr>
              <w:t>焦距≥5</w:t>
            </w:r>
            <w:r>
              <w:rPr>
                <w:rFonts w:hint="eastAsia" w:ascii="宋体" w:cs="宋体"/>
                <w:b w:val="0"/>
                <w:bCs/>
                <w:color w:val="auto"/>
                <w:sz w:val="21"/>
                <w:szCs w:val="21"/>
                <w:lang w:val="en-US" w:eastAsia="zh-CN" w:bidi="ar"/>
              </w:rPr>
              <w:t>0</w:t>
            </w:r>
            <w:r>
              <w:rPr>
                <w:rFonts w:hint="eastAsia" w:ascii="宋体" w:cs="宋体"/>
                <w:b w:val="0"/>
                <w:bCs/>
                <w:color w:val="auto"/>
                <w:sz w:val="21"/>
                <w:szCs w:val="21"/>
                <w:lang w:bidi="ar"/>
              </w:rPr>
              <w:t>mm, 具有自动聚焦功能</w:t>
            </w:r>
            <w:r>
              <w:rPr>
                <w:rFonts w:hint="eastAsia" w:ascii="宋体" w:cs="宋体"/>
                <w:b w:val="0"/>
                <w:bCs/>
                <w:color w:val="auto"/>
                <w:sz w:val="21"/>
                <w:szCs w:val="21"/>
                <w:lang w:eastAsia="zh-CN" w:bidi="ar"/>
              </w:rPr>
              <w:t>，</w:t>
            </w:r>
            <w:r>
              <w:rPr>
                <w:rFonts w:hint="eastAsia" w:ascii="宋体" w:cs="宋体"/>
                <w:b w:val="0"/>
                <w:bCs/>
                <w:color w:val="auto"/>
                <w:sz w:val="21"/>
                <w:szCs w:val="21"/>
                <w:lang w:val="en-US" w:eastAsia="zh-CN" w:bidi="ar"/>
              </w:rPr>
              <w:t>PTZ功能，</w:t>
            </w:r>
            <w:r>
              <w:rPr>
                <w:rFonts w:hint="eastAsia" w:ascii="宋体" w:cs="宋体"/>
                <w:b w:val="0"/>
                <w:bCs/>
                <w:color w:val="auto"/>
                <w:sz w:val="21"/>
                <w:szCs w:val="21"/>
                <w:lang w:eastAsia="zh-CN" w:bidi="ar"/>
              </w:rPr>
              <w:t>支持平台后端控制</w:t>
            </w:r>
            <w:r>
              <w:rPr>
                <w:rFonts w:hint="eastAsia" w:ascii="宋体" w:cs="宋体"/>
                <w:b w:val="0"/>
                <w:bCs/>
                <w:color w:val="auto"/>
                <w:sz w:val="21"/>
                <w:szCs w:val="21"/>
                <w:lang w:bidi="ar"/>
              </w:rPr>
              <w:t>方便运维。</w:t>
            </w:r>
          </w:p>
          <w:p>
            <w:pPr>
              <w:widowControl/>
              <w:jc w:val="left"/>
              <w:textAlignment w:val="center"/>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4、安装在5.5至6米高度上</w:t>
            </w:r>
            <w:r>
              <w:rPr>
                <w:rFonts w:hint="eastAsia" w:ascii="宋体" w:cs="宋体"/>
                <w:b w:val="0"/>
                <w:bCs/>
                <w:color w:val="auto"/>
                <w:sz w:val="21"/>
                <w:szCs w:val="21"/>
                <w:lang w:eastAsia="zh-CN" w:bidi="ar"/>
              </w:rPr>
              <w:t>人脸抓拍图片</w:t>
            </w:r>
            <w:r>
              <w:rPr>
                <w:rFonts w:hint="eastAsia" w:ascii="宋体" w:cs="宋体"/>
                <w:b w:val="0"/>
                <w:bCs/>
                <w:color w:val="auto"/>
                <w:sz w:val="21"/>
                <w:szCs w:val="21"/>
                <w:lang w:val="en-US" w:eastAsia="zh-CN" w:bidi="ar"/>
              </w:rPr>
              <w:t>符合浙江省公安厅人像像素标准，车牌抓拍识别支持三车道及以上。</w:t>
            </w:r>
          </w:p>
          <w:p>
            <w:pPr>
              <w:widowControl/>
              <w:jc w:val="left"/>
              <w:textAlignment w:val="center"/>
              <w:rPr>
                <w:rFonts w:hint="eastAsia" w:ascii="宋体" w:cs="宋体"/>
                <w:b w:val="0"/>
                <w:bCs/>
                <w:color w:val="auto"/>
                <w:sz w:val="21"/>
                <w:szCs w:val="21"/>
                <w:lang w:bidi="ar"/>
              </w:rPr>
            </w:pPr>
            <w:r>
              <w:rPr>
                <w:rFonts w:hint="eastAsia" w:ascii="宋体" w:hAnsi="宋体" w:eastAsia="宋体" w:cs="宋体"/>
                <w:b w:val="0"/>
                <w:bCs/>
                <w:color w:val="auto"/>
                <w:sz w:val="21"/>
                <w:szCs w:val="21"/>
                <w:lang w:val="en-US" w:eastAsia="zh-CN" w:bidi="ar"/>
              </w:rPr>
              <w:t>5、</w:t>
            </w:r>
            <w:r>
              <w:rPr>
                <w:rFonts w:hint="eastAsia" w:ascii="宋体" w:cs="宋体"/>
                <w:b w:val="0"/>
                <w:bCs/>
                <w:color w:val="auto"/>
                <w:sz w:val="21"/>
                <w:szCs w:val="21"/>
                <w:lang w:bidi="ar"/>
              </w:rPr>
              <w:t>人脸抓拍支持同时检测≥30张，混合目标检测：支持人脸+人体抓拍，输出最优抓拍图</w:t>
            </w:r>
            <w:r>
              <w:rPr>
                <w:rFonts w:hint="eastAsia" w:ascii="宋体" w:cs="宋体"/>
                <w:b w:val="0"/>
                <w:bCs/>
                <w:color w:val="auto"/>
                <w:sz w:val="21"/>
                <w:szCs w:val="21"/>
                <w:lang w:eastAsia="zh-CN" w:bidi="ar"/>
              </w:rPr>
              <w:t>，支持道路监控行人、车辆抓拍及车牌识别；</w:t>
            </w:r>
          </w:p>
          <w:p>
            <w:pPr>
              <w:widowControl/>
              <w:jc w:val="left"/>
              <w:textAlignment w:val="center"/>
              <w:rPr>
                <w:rFonts w:hint="eastAsia" w:ascii="宋体" w:cs="宋体"/>
                <w:b w:val="0"/>
                <w:bCs w:val="0"/>
                <w:color w:val="auto"/>
                <w:sz w:val="21"/>
                <w:szCs w:val="21"/>
              </w:rPr>
            </w:pPr>
            <w:r>
              <w:rPr>
                <w:rFonts w:hint="eastAsia" w:ascii="宋体" w:hAnsi="宋体" w:eastAsia="宋体" w:cs="宋体"/>
                <w:b w:val="0"/>
                <w:bCs/>
                <w:color w:val="auto"/>
                <w:sz w:val="21"/>
                <w:szCs w:val="21"/>
                <w:lang w:val="en-US" w:eastAsia="zh-CN" w:bidi="ar"/>
              </w:rPr>
              <w:t>6、</w:t>
            </w:r>
            <w:r>
              <w:rPr>
                <w:rFonts w:hint="eastAsia" w:ascii="宋体" w:cs="宋体"/>
                <w:b w:val="0"/>
                <w:bCs/>
                <w:color w:val="auto"/>
                <w:sz w:val="21"/>
                <w:szCs w:val="21"/>
                <w:lang w:bidi="ar"/>
              </w:rPr>
              <w:t>视频压缩标准：H.265/H.264 / MJPEG</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设备内置高效</w:t>
            </w:r>
            <w:r>
              <w:rPr>
                <w:rFonts w:hint="eastAsia" w:ascii="宋体" w:cs="宋体"/>
                <w:b w:val="0"/>
                <w:bCs/>
                <w:color w:val="auto"/>
                <w:sz w:val="21"/>
                <w:szCs w:val="21"/>
                <w:lang w:eastAsia="zh-CN" w:bidi="ar"/>
              </w:rPr>
              <w:t>补光</w:t>
            </w:r>
            <w:r>
              <w:rPr>
                <w:rFonts w:hint="eastAsia" w:ascii="宋体" w:cs="宋体"/>
                <w:b w:val="0"/>
                <w:bCs/>
                <w:color w:val="auto"/>
                <w:sz w:val="21"/>
                <w:szCs w:val="21"/>
                <w:lang w:bidi="ar"/>
              </w:rPr>
              <w:t>阵列灯，低功耗，无光污染，夜间能正常进行人脸</w:t>
            </w:r>
            <w:r>
              <w:rPr>
                <w:rFonts w:hint="eastAsia" w:ascii="宋体" w:cs="宋体"/>
                <w:b w:val="0"/>
                <w:bCs/>
                <w:color w:val="auto"/>
                <w:sz w:val="21"/>
                <w:szCs w:val="21"/>
                <w:lang w:eastAsia="zh-CN" w:bidi="ar"/>
              </w:rPr>
              <w:t>及车辆</w:t>
            </w:r>
            <w:r>
              <w:rPr>
                <w:rFonts w:hint="eastAsia" w:ascii="宋体" w:cs="宋体"/>
                <w:b w:val="0"/>
                <w:bCs/>
                <w:color w:val="auto"/>
                <w:sz w:val="21"/>
                <w:szCs w:val="21"/>
                <w:lang w:bidi="ar"/>
              </w:rPr>
              <w:t>抓拍</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7、</w:t>
            </w:r>
            <w:r>
              <w:rPr>
                <w:rFonts w:hint="eastAsia" w:ascii="宋体" w:cs="宋体"/>
                <w:b w:val="0"/>
                <w:bCs/>
                <w:color w:val="auto"/>
                <w:sz w:val="21"/>
                <w:szCs w:val="21"/>
                <w:lang w:bidi="ar"/>
              </w:rPr>
              <w:t>宽动态≥100dB</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防护等级：IP67</w:t>
            </w:r>
            <w:r>
              <w:rPr>
                <w:rFonts w:hint="eastAsia" w:ascii="宋体" w:cs="宋体"/>
                <w:b w:val="0"/>
                <w:bCs/>
                <w:color w:val="auto"/>
                <w:sz w:val="21"/>
                <w:szCs w:val="21"/>
                <w:lang w:eastAsia="zh-CN" w:bidi="ar"/>
              </w:rPr>
              <w:t>，含</w:t>
            </w:r>
            <w:r>
              <w:rPr>
                <w:rFonts w:hint="eastAsia" w:ascii="宋体" w:cs="宋体"/>
                <w:b w:val="0"/>
                <w:bCs/>
                <w:color w:val="auto"/>
                <w:sz w:val="21"/>
                <w:szCs w:val="21"/>
                <w:lang w:bidi="ar"/>
              </w:rPr>
              <w:t>配套电源</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1775"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900万</w:t>
            </w:r>
            <w:r>
              <w:rPr>
                <w:rFonts w:hint="eastAsia" w:ascii="宋体" w:cs="宋体"/>
                <w:b w:val="0"/>
                <w:bCs w:val="0"/>
                <w:color w:val="auto"/>
                <w:sz w:val="21"/>
                <w:szCs w:val="21"/>
                <w:lang w:eastAsia="zh-CN" w:bidi="ar"/>
              </w:rPr>
              <w:t>卡口</w:t>
            </w:r>
            <w:r>
              <w:rPr>
                <w:rFonts w:hint="eastAsia" w:ascii="宋体" w:cs="宋体"/>
                <w:b w:val="0"/>
                <w:bCs w:val="0"/>
                <w:color w:val="auto"/>
                <w:sz w:val="21"/>
                <w:szCs w:val="21"/>
                <w:lang w:bidi="ar"/>
              </w:rPr>
              <w:t>视频抓拍机</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lang w:bidi="ar"/>
              </w:rPr>
            </w:pPr>
            <w:r>
              <w:rPr>
                <w:rFonts w:hint="eastAsia" w:ascii="宋体" w:cs="宋体"/>
                <w:b w:val="0"/>
                <w:bCs w:val="0"/>
                <w:color w:val="auto"/>
                <w:sz w:val="21"/>
                <w:szCs w:val="21"/>
                <w:lang w:bidi="ar"/>
              </w:rPr>
              <w:t>▲</w:t>
            </w:r>
            <w:r>
              <w:rPr>
                <w:rFonts w:hint="eastAsia" w:ascii="宋体" w:cs="宋体"/>
                <w:b w:val="0"/>
                <w:bCs w:val="0"/>
                <w:color w:val="auto"/>
                <w:sz w:val="21"/>
                <w:szCs w:val="21"/>
                <w:lang w:val="en-US" w:eastAsia="zh-CN" w:bidi="ar"/>
              </w:rPr>
              <w:t>1、</w:t>
            </w:r>
            <w:r>
              <w:rPr>
                <w:rFonts w:hint="eastAsia" w:ascii="宋体" w:cs="宋体"/>
                <w:b w:val="0"/>
                <w:bCs w:val="0"/>
                <w:color w:val="auto"/>
                <w:sz w:val="21"/>
                <w:szCs w:val="21"/>
                <w:lang w:bidi="ar"/>
              </w:rPr>
              <w:t>采用≥1" GMOS  ,900万像素</w:t>
            </w:r>
            <w:r>
              <w:rPr>
                <w:rFonts w:hint="eastAsia" w:ascii="宋体" w:cs="宋体"/>
                <w:b w:val="0"/>
                <w:bCs w:val="0"/>
                <w:color w:val="auto"/>
                <w:sz w:val="21"/>
                <w:szCs w:val="21"/>
                <w:lang w:eastAsia="zh-CN" w:bidi="ar"/>
              </w:rPr>
              <w:t>，最大</w:t>
            </w:r>
            <w:r>
              <w:rPr>
                <w:rFonts w:hint="eastAsia" w:ascii="宋体" w:cs="宋体"/>
                <w:b w:val="0"/>
                <w:bCs w:val="0"/>
                <w:color w:val="auto"/>
                <w:sz w:val="21"/>
                <w:szCs w:val="21"/>
                <w:lang w:bidi="ar"/>
              </w:rPr>
              <w:t>分辨率：4096(H)×2160(V)</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bidi="ar"/>
              </w:rPr>
              <w:t>▲</w:t>
            </w:r>
            <w:r>
              <w:rPr>
                <w:rFonts w:hint="eastAsia" w:ascii="宋体" w:cs="宋体"/>
                <w:b w:val="0"/>
                <w:bCs w:val="0"/>
                <w:color w:val="auto"/>
                <w:sz w:val="21"/>
                <w:szCs w:val="21"/>
                <w:lang w:val="en-US" w:eastAsia="zh-CN" w:bidi="ar"/>
              </w:rPr>
              <w:t>2、</w:t>
            </w:r>
            <w:r>
              <w:rPr>
                <w:rFonts w:hint="eastAsia" w:ascii="宋体" w:cs="宋体"/>
                <w:b w:val="0"/>
                <w:bCs w:val="0"/>
                <w:color w:val="auto"/>
                <w:sz w:val="21"/>
                <w:szCs w:val="21"/>
                <w:lang w:bidi="ar"/>
              </w:rPr>
              <w:t>采用深度学习芯片架构，支持至少两车道车窗人脸抓拍，并自动人脸抠图</w:t>
            </w:r>
            <w:r>
              <w:rPr>
                <w:rFonts w:hint="eastAsia" w:ascii="宋体" w:cs="宋体"/>
                <w:b w:val="0"/>
                <w:bCs w:val="0"/>
                <w:color w:val="auto"/>
                <w:sz w:val="21"/>
                <w:szCs w:val="21"/>
                <w:lang w:eastAsia="zh-CN" w:bidi="ar"/>
              </w:rPr>
              <w:t>并叠加大图上或上传中心可选</w:t>
            </w:r>
            <w:r>
              <w:rPr>
                <w:rFonts w:hint="eastAsia" w:ascii="宋体" w:cs="宋体"/>
                <w:b w:val="0"/>
                <w:bCs w:val="0"/>
                <w:color w:val="auto"/>
                <w:sz w:val="21"/>
                <w:szCs w:val="21"/>
                <w:lang w:bidi="ar"/>
              </w:rPr>
              <w:t>。</w:t>
            </w:r>
          </w:p>
          <w:p>
            <w:pPr>
              <w:widowControl/>
              <w:jc w:val="left"/>
              <w:textAlignment w:val="center"/>
              <w:rPr>
                <w:rFonts w:hint="eastAsia" w:ascii="宋体" w:cs="宋体"/>
                <w:b w:val="0"/>
                <w:bCs w:val="0"/>
                <w:color w:val="auto"/>
                <w:sz w:val="21"/>
                <w:szCs w:val="21"/>
                <w:lang w:bidi="ar"/>
              </w:rPr>
            </w:pPr>
            <w:r>
              <w:rPr>
                <w:rFonts w:hint="eastAsia" w:ascii="宋体" w:cs="宋体"/>
                <w:b w:val="0"/>
                <w:bCs w:val="0"/>
                <w:color w:val="auto"/>
                <w:sz w:val="21"/>
                <w:szCs w:val="21"/>
                <w:lang w:bidi="ar"/>
              </w:rPr>
              <w:t>▲</w:t>
            </w:r>
            <w:r>
              <w:rPr>
                <w:rFonts w:hint="eastAsia" w:ascii="宋体" w:cs="宋体"/>
                <w:b w:val="0"/>
                <w:bCs w:val="0"/>
                <w:color w:val="auto"/>
                <w:sz w:val="21"/>
                <w:szCs w:val="21"/>
                <w:lang w:val="en-US" w:eastAsia="zh-CN" w:bidi="ar"/>
              </w:rPr>
              <w:t>、</w:t>
            </w:r>
            <w:r>
              <w:rPr>
                <w:rFonts w:hint="eastAsia" w:ascii="宋体" w:cs="宋体"/>
                <w:b w:val="0"/>
                <w:bCs w:val="0"/>
                <w:color w:val="auto"/>
                <w:sz w:val="21"/>
                <w:szCs w:val="21"/>
                <w:lang w:bidi="ar"/>
              </w:rPr>
              <w:t>摄像机带偏振镜、50MM高清镜头或16至50MM以上可变焦镜头、室外防护罩、内置补光灯、网络防雷器、电源适配器、安装万向节、防水软管、32G CLASS 10等，支持场景卡口图片向天网平台及人脸抠图向人脸比对平台双路同时推送。</w:t>
            </w:r>
          </w:p>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val="en-US" w:eastAsia="zh-CN" w:bidi="ar"/>
              </w:rPr>
              <w:t>4、</w:t>
            </w:r>
            <w:r>
              <w:rPr>
                <w:rFonts w:hint="eastAsia" w:ascii="宋体" w:cs="宋体"/>
                <w:b w:val="0"/>
                <w:bCs w:val="0"/>
                <w:color w:val="auto"/>
                <w:sz w:val="21"/>
                <w:szCs w:val="21"/>
                <w:lang w:bidi="ar"/>
              </w:rPr>
              <w:t>最低照度：彩色:0.005Lux；图片分辨率4096*2160、1600*1200、1280*720；视频压缩支持H.265、H.264、M-JPEG、MPEG4。</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5、</w:t>
            </w:r>
            <w:r>
              <w:rPr>
                <w:rFonts w:hint="eastAsia" w:ascii="宋体" w:cs="宋体"/>
                <w:b w:val="0"/>
                <w:bCs w:val="0"/>
                <w:color w:val="auto"/>
                <w:sz w:val="21"/>
                <w:szCs w:val="21"/>
                <w:lang w:bidi="ar"/>
              </w:rPr>
              <w:t>支持车牌识别、视频触发、车身颜色识别、车型识别、车标识别和通行车辆信息捕获，支持闪光灯触发，图片支持前端存储，断电续传、保证链路故障时数据不丢失；支持对行人和非机动车的人脸检测功能</w:t>
            </w:r>
            <w:r>
              <w:rPr>
                <w:rFonts w:hint="eastAsia" w:ascii="宋体" w:cs="宋体"/>
                <w:b w:val="0"/>
                <w:bCs w:val="0"/>
                <w:color w:val="auto"/>
                <w:sz w:val="21"/>
                <w:szCs w:val="21"/>
                <w:lang w:eastAsia="zh-CN" w:bidi="ar"/>
              </w:rPr>
              <w:t>并抠</w:t>
            </w:r>
            <w:r>
              <w:rPr>
                <w:rFonts w:hint="eastAsia" w:ascii="宋体" w:cs="宋体"/>
                <w:b w:val="0"/>
                <w:bCs w:val="0"/>
                <w:color w:val="auto"/>
                <w:sz w:val="21"/>
                <w:szCs w:val="21"/>
                <w:lang w:bidi="ar"/>
              </w:rPr>
              <w:t>取人脸图片</w:t>
            </w:r>
            <w:r>
              <w:rPr>
                <w:rFonts w:hint="eastAsia" w:ascii="宋体" w:cs="宋体"/>
                <w:b w:val="0"/>
                <w:bCs w:val="0"/>
                <w:color w:val="auto"/>
                <w:sz w:val="21"/>
                <w:szCs w:val="21"/>
                <w:lang w:eastAsia="zh-CN" w:bidi="ar"/>
              </w:rPr>
              <w:t>。</w:t>
            </w:r>
          </w:p>
        </w:tc>
      </w:tr>
      <w:tr>
        <w:tblPrEx>
          <w:tblCellMar>
            <w:top w:w="0" w:type="dxa"/>
            <w:left w:w="0" w:type="dxa"/>
            <w:bottom w:w="0" w:type="dxa"/>
            <w:right w:w="0" w:type="dxa"/>
          </w:tblCellMar>
        </w:tblPrEx>
        <w:trPr>
          <w:trHeight w:val="605"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人脸半球摄像机</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1、</w:t>
            </w:r>
            <w:r>
              <w:rPr>
                <w:rFonts w:hint="eastAsia" w:ascii="宋体" w:cs="宋体"/>
                <w:b w:val="0"/>
                <w:bCs w:val="0"/>
                <w:color w:val="auto"/>
                <w:sz w:val="21"/>
                <w:szCs w:val="21"/>
                <w:lang w:bidi="ar"/>
              </w:rPr>
              <w:t>人脸抓拍：支持同时检测≥30张，输出最优的人脸抓图</w:t>
            </w:r>
            <w:r>
              <w:rPr>
                <w:rFonts w:hint="eastAsia" w:ascii="宋体" w:cs="宋体"/>
                <w:b w:val="0"/>
                <w:bCs w:val="0"/>
                <w:color w:val="auto"/>
                <w:sz w:val="21"/>
                <w:szCs w:val="21"/>
                <w:lang w:eastAsia="zh-CN" w:bidi="ar"/>
              </w:rPr>
              <w:t>。</w:t>
            </w:r>
          </w:p>
          <w:p>
            <w:pPr>
              <w:widowControl/>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2、</w:t>
            </w:r>
            <w:r>
              <w:rPr>
                <w:rFonts w:hint="eastAsia" w:ascii="宋体" w:cs="宋体"/>
                <w:b w:val="0"/>
                <w:bCs w:val="0"/>
                <w:color w:val="auto"/>
                <w:sz w:val="21"/>
                <w:szCs w:val="21"/>
                <w:lang w:bidi="ar"/>
              </w:rPr>
              <w:t>电动云台和一体化变焦镜头</w:t>
            </w:r>
            <w:r>
              <w:rPr>
                <w:rFonts w:hint="eastAsia" w:ascii="宋体" w:cs="宋体"/>
                <w:b w:val="0"/>
                <w:bCs w:val="0"/>
                <w:color w:val="auto"/>
                <w:sz w:val="21"/>
                <w:szCs w:val="21"/>
                <w:lang w:eastAsia="zh-CN" w:bidi="ar"/>
              </w:rPr>
              <w:t>或手动定向变焦镜头</w:t>
            </w:r>
            <w:r>
              <w:rPr>
                <w:rFonts w:hint="eastAsia" w:ascii="宋体" w:cs="宋体"/>
                <w:b w:val="0"/>
                <w:bCs w:val="0"/>
                <w:color w:val="auto"/>
                <w:sz w:val="21"/>
                <w:szCs w:val="21"/>
                <w:lang w:bidi="ar"/>
              </w:rPr>
              <w:t>，</w:t>
            </w:r>
            <w:r>
              <w:rPr>
                <w:rFonts w:hint="eastAsia" w:ascii="宋体" w:cs="宋体"/>
                <w:b w:val="0"/>
                <w:bCs w:val="0"/>
                <w:color w:val="auto"/>
                <w:sz w:val="21"/>
                <w:szCs w:val="21"/>
                <w:lang w:eastAsia="zh-CN" w:bidi="ar"/>
              </w:rPr>
              <w:t>支持天网平台后端控制</w:t>
            </w:r>
            <w:r>
              <w:rPr>
                <w:rFonts w:hint="eastAsia" w:ascii="宋体" w:cs="宋体"/>
                <w:b w:val="0"/>
                <w:bCs w:val="0"/>
                <w:color w:val="auto"/>
                <w:sz w:val="21"/>
                <w:szCs w:val="21"/>
                <w:lang w:bidi="ar"/>
              </w:rPr>
              <w:t>方便运维</w:t>
            </w:r>
            <w:r>
              <w:rPr>
                <w:rFonts w:hint="eastAsia" w:ascii="宋体" w:cs="宋体"/>
                <w:b w:val="0"/>
                <w:bCs w:val="0"/>
                <w:color w:val="auto"/>
                <w:sz w:val="21"/>
                <w:szCs w:val="21"/>
                <w:lang w:eastAsia="zh-CN" w:bidi="ar"/>
              </w:rPr>
              <w:t>，最大变焦</w:t>
            </w:r>
            <w:r>
              <w:rPr>
                <w:rFonts w:hint="eastAsia" w:ascii="宋体" w:cs="宋体"/>
                <w:b w:val="0"/>
                <w:bCs w:val="0"/>
                <w:color w:val="auto"/>
                <w:sz w:val="21"/>
                <w:szCs w:val="21"/>
                <w:lang w:bidi="ar"/>
              </w:rPr>
              <w:t>焦距≥12mm</w:t>
            </w:r>
            <w:r>
              <w:rPr>
                <w:rFonts w:hint="eastAsia" w:ascii="宋体" w:cs="宋体"/>
                <w:b w:val="0"/>
                <w:bCs w:val="0"/>
                <w:color w:val="auto"/>
                <w:sz w:val="21"/>
                <w:szCs w:val="21"/>
                <w:lang w:eastAsia="zh-CN" w:bidi="ar"/>
              </w:rPr>
              <w:t>。</w:t>
            </w:r>
          </w:p>
          <w:p>
            <w:pPr>
              <w:widowControl/>
              <w:numPr>
                <w:ilvl w:val="0"/>
                <w:numId w:val="0"/>
              </w:numPr>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传感元器件：≥1/</w:t>
            </w: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 CMOS</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val="en-US" w:eastAsia="zh-CN" w:bidi="ar"/>
              </w:rPr>
              <w:t>200万以上像素；</w:t>
            </w:r>
            <w:r>
              <w:rPr>
                <w:rFonts w:hint="eastAsia" w:ascii="宋体" w:cs="宋体"/>
                <w:b w:val="0"/>
                <w:bCs w:val="0"/>
                <w:color w:val="auto"/>
                <w:sz w:val="21"/>
                <w:szCs w:val="21"/>
                <w:lang w:bidi="ar"/>
              </w:rPr>
              <w:t>最低照度彩色不</w:t>
            </w:r>
            <w:r>
              <w:rPr>
                <w:rFonts w:hint="eastAsia" w:ascii="宋体" w:cs="宋体"/>
                <w:b w:val="0"/>
                <w:bCs w:val="0"/>
                <w:color w:val="auto"/>
                <w:sz w:val="21"/>
                <w:szCs w:val="21"/>
                <w:lang w:eastAsia="zh-CN" w:bidi="ar"/>
              </w:rPr>
              <w:t>大</w:t>
            </w:r>
            <w:r>
              <w:rPr>
                <w:rFonts w:hint="eastAsia" w:ascii="宋体" w:cs="宋体"/>
                <w:b w:val="0"/>
                <w:bCs w:val="0"/>
                <w:color w:val="auto"/>
                <w:sz w:val="21"/>
                <w:szCs w:val="21"/>
                <w:lang w:bidi="ar"/>
              </w:rPr>
              <w:t>于0.007 lx，黑白不</w:t>
            </w:r>
            <w:r>
              <w:rPr>
                <w:rFonts w:hint="eastAsia" w:ascii="宋体" w:cs="宋体"/>
                <w:b w:val="0"/>
                <w:bCs w:val="0"/>
                <w:color w:val="auto"/>
                <w:sz w:val="21"/>
                <w:szCs w:val="21"/>
                <w:lang w:eastAsia="zh-CN" w:bidi="ar"/>
              </w:rPr>
              <w:t>大</w:t>
            </w:r>
            <w:r>
              <w:rPr>
                <w:rFonts w:hint="eastAsia" w:ascii="宋体" w:cs="宋体"/>
                <w:b w:val="0"/>
                <w:bCs w:val="0"/>
                <w:color w:val="auto"/>
                <w:sz w:val="21"/>
                <w:szCs w:val="21"/>
                <w:lang w:bidi="ar"/>
              </w:rPr>
              <w:t>于0.0005 lx</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≥1</w:t>
            </w:r>
            <w:r>
              <w:rPr>
                <w:rFonts w:hint="eastAsia" w:ascii="宋体" w:cs="宋体"/>
                <w:b w:val="0"/>
                <w:bCs w:val="0"/>
                <w:color w:val="auto"/>
                <w:sz w:val="21"/>
                <w:szCs w:val="21"/>
                <w:lang w:val="en-US" w:eastAsia="zh-CN" w:bidi="ar"/>
              </w:rPr>
              <w:t>0</w:t>
            </w:r>
            <w:r>
              <w:rPr>
                <w:rFonts w:hint="eastAsia" w:ascii="宋体" w:cs="宋体"/>
                <w:b w:val="0"/>
                <w:bCs w:val="0"/>
                <w:color w:val="auto"/>
                <w:sz w:val="21"/>
                <w:szCs w:val="21"/>
                <w:lang w:bidi="ar"/>
              </w:rPr>
              <w:t>0dB超宽动态、强光抑制、电子防抖</w:t>
            </w:r>
            <w:r>
              <w:rPr>
                <w:rFonts w:hint="eastAsia" w:ascii="宋体" w:cs="宋体"/>
                <w:b w:val="0"/>
                <w:bCs w:val="0"/>
                <w:color w:val="auto"/>
                <w:sz w:val="21"/>
                <w:szCs w:val="21"/>
                <w:lang w:eastAsia="zh-CN" w:bidi="ar"/>
              </w:rPr>
              <w:t>；</w:t>
            </w:r>
          </w:p>
          <w:p>
            <w:pPr>
              <w:widowControl/>
              <w:numPr>
                <w:ilvl w:val="0"/>
                <w:numId w:val="0"/>
              </w:numPr>
              <w:ind w:left="0" w:leftChars="0" w:firstLine="0" w:firstLineChars="0"/>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val="en-US" w:eastAsia="zh-CN" w:bidi="ar"/>
              </w:rPr>
              <w:t>4、</w:t>
            </w:r>
            <w:r>
              <w:rPr>
                <w:rFonts w:hint="eastAsia" w:ascii="宋体" w:cs="宋体"/>
                <w:b w:val="0"/>
                <w:bCs w:val="0"/>
                <w:color w:val="auto"/>
                <w:sz w:val="21"/>
                <w:szCs w:val="21"/>
                <w:lang w:bidi="ar"/>
              </w:rPr>
              <w:t>防护等级:IP6</w:t>
            </w:r>
            <w:r>
              <w:rPr>
                <w:rFonts w:hint="eastAsia" w:ascii="宋体" w:cs="宋体"/>
                <w:b w:val="0"/>
                <w:bCs w:val="0"/>
                <w:color w:val="auto"/>
                <w:sz w:val="21"/>
                <w:szCs w:val="21"/>
                <w:lang w:val="en-US" w:eastAsia="zh-CN" w:bidi="ar"/>
              </w:rPr>
              <w:t>7</w:t>
            </w:r>
            <w:r>
              <w:rPr>
                <w:rFonts w:hint="eastAsia" w:ascii="宋体" w:cs="宋体"/>
                <w:b w:val="0"/>
                <w:bCs w:val="0"/>
                <w:color w:val="auto"/>
                <w:sz w:val="21"/>
                <w:szCs w:val="21"/>
                <w:lang w:bidi="ar"/>
              </w:rPr>
              <w:t>，支持IK10防暴等级</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含配套电源</w:t>
            </w:r>
            <w:r>
              <w:rPr>
                <w:rFonts w:hint="eastAsia" w:ascii="宋体" w:cs="宋体"/>
                <w:b w:val="0"/>
                <w:bCs w:val="0"/>
                <w:color w:val="auto"/>
                <w:sz w:val="21"/>
                <w:szCs w:val="21"/>
                <w:lang w:eastAsia="zh-CN" w:bidi="ar"/>
              </w:rPr>
              <w:t>。</w:t>
            </w:r>
          </w:p>
        </w:tc>
      </w:tr>
      <w:tr>
        <w:tblPrEx>
          <w:tblCellMar>
            <w:top w:w="0" w:type="dxa"/>
            <w:left w:w="0" w:type="dxa"/>
            <w:bottom w:w="0" w:type="dxa"/>
            <w:right w:w="0" w:type="dxa"/>
          </w:tblCellMar>
        </w:tblPrEx>
        <w:trPr>
          <w:trHeight w:val="9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4</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星光球机</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cs="宋体"/>
                <w:b w:val="0"/>
                <w:bCs w:val="0"/>
                <w:color w:val="auto"/>
                <w:sz w:val="21"/>
                <w:szCs w:val="21"/>
                <w:lang w:val="en-US" w:eastAsia="zh-CN" w:bidi="ar"/>
              </w:rPr>
            </w:pPr>
            <w:r>
              <w:rPr>
                <w:rFonts w:hint="eastAsia" w:ascii="宋体" w:cs="宋体"/>
                <w:b w:val="0"/>
                <w:bCs w:val="0"/>
                <w:color w:val="auto"/>
                <w:sz w:val="21"/>
                <w:szCs w:val="21"/>
                <w:lang w:val="en-US" w:eastAsia="zh-CN" w:bidi="ar"/>
              </w:rPr>
              <w:t>1、400W像素球机，传感元器件：≥1/2” CMOS，内置GPU芯片</w:t>
            </w:r>
            <w:r>
              <w:rPr>
                <w:rFonts w:hint="eastAsia" w:ascii="宋体" w:cs="宋体"/>
                <w:b w:val="0"/>
                <w:bCs w:val="0"/>
                <w:color w:val="auto"/>
                <w:sz w:val="21"/>
                <w:szCs w:val="21"/>
                <w:lang w:val="en-US" w:eastAsia="zh-CN" w:bidi="ar"/>
              </w:rPr>
              <w:br w:type="textWrapping"/>
            </w:r>
            <w:r>
              <w:rPr>
                <w:rFonts w:hint="eastAsia" w:ascii="宋体" w:cs="宋体"/>
                <w:b w:val="0"/>
                <w:bCs w:val="0"/>
                <w:color w:val="auto"/>
                <w:sz w:val="21"/>
                <w:szCs w:val="21"/>
                <w:lang w:val="en-US" w:eastAsia="zh-CN" w:bidi="ar"/>
              </w:rPr>
              <w:t>最低照度彩色不大于0.0005lx,黑白不大于0.0003lx</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val="en-US" w:eastAsia="zh-CN" w:bidi="ar"/>
              </w:rPr>
              <w:br w:type="textWrapping"/>
            </w:r>
            <w:r>
              <w:rPr>
                <w:rFonts w:hint="eastAsia" w:ascii="宋体" w:cs="宋体"/>
                <w:b w:val="0"/>
                <w:bCs w:val="0"/>
                <w:color w:val="auto"/>
                <w:sz w:val="21"/>
                <w:szCs w:val="21"/>
                <w:lang w:val="en-US" w:eastAsia="zh-CN" w:bidi="ar"/>
              </w:rPr>
              <w:t>2、最大变焦焦距大于200mm，35倍以上光学变倍</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val="en-US" w:eastAsia="zh-CN" w:bidi="ar"/>
              </w:rPr>
              <w:br w:type="textWrapping"/>
            </w:r>
            <w:r>
              <w:rPr>
                <w:rFonts w:hint="eastAsia" w:ascii="宋体" w:cs="宋体"/>
                <w:b w:val="0"/>
                <w:bCs w:val="0"/>
                <w:color w:val="auto"/>
                <w:sz w:val="21"/>
                <w:szCs w:val="21"/>
                <w:lang w:val="en-US" w:eastAsia="zh-CN" w:bidi="ar"/>
              </w:rPr>
              <w:t>3、支持多路码流同时输出，支持四种智能资源切换：人脸抓拍、混合目标检测、道路监控、Smart事件，人脸抓拍最大范围≥100米，支持快速聚焦功能，当设备跟踪行人或机动车等移动目标并录像时，单帧回放录像文件，每1帧画面均应清晰可见。</w:t>
            </w:r>
            <w:r>
              <w:rPr>
                <w:rFonts w:hint="eastAsia" w:ascii="宋体" w:cs="宋体"/>
                <w:b w:val="0"/>
                <w:bCs w:val="0"/>
                <w:color w:val="auto"/>
                <w:sz w:val="21"/>
                <w:szCs w:val="21"/>
                <w:lang w:val="en-US" w:eastAsia="zh-CN" w:bidi="ar"/>
              </w:rPr>
              <w:br w:type="textWrapping"/>
            </w:r>
            <w:r>
              <w:rPr>
                <w:rFonts w:hint="eastAsia" w:ascii="宋体" w:cs="宋体"/>
                <w:b w:val="0"/>
                <w:bCs w:val="0"/>
                <w:color w:val="auto"/>
                <w:sz w:val="21"/>
                <w:szCs w:val="21"/>
                <w:lang w:val="en-US" w:eastAsia="zh-CN" w:bidi="ar"/>
              </w:rPr>
              <w:t>4、视频压缩标准：H.265/H.264 / MJPEG，支持动态范围不小于100dB</w:t>
            </w:r>
            <w:r>
              <w:rPr>
                <w:rFonts w:hint="eastAsia" w:ascii="宋体" w:cs="宋体"/>
                <w:b w:val="0"/>
                <w:bCs w:val="0"/>
                <w:color w:val="auto"/>
                <w:sz w:val="21"/>
                <w:szCs w:val="21"/>
                <w:lang w:eastAsia="zh-CN" w:bidi="ar"/>
              </w:rPr>
              <w:t>。</w:t>
            </w:r>
          </w:p>
          <w:p>
            <w:pPr>
              <w:widowControl/>
              <w:numPr>
                <w:ilvl w:val="0"/>
                <w:numId w:val="0"/>
              </w:numPr>
              <w:jc w:val="left"/>
              <w:textAlignment w:val="center"/>
              <w:rPr>
                <w:rFonts w:hint="eastAsia" w:ascii="宋体" w:cs="宋体"/>
                <w:b w:val="0"/>
                <w:bCs w:val="0"/>
                <w:color w:val="auto"/>
                <w:sz w:val="21"/>
                <w:szCs w:val="21"/>
                <w:lang w:val="en-US" w:eastAsia="zh-CN" w:bidi="ar"/>
              </w:rPr>
            </w:pPr>
            <w:r>
              <w:rPr>
                <w:rFonts w:hint="eastAsia" w:ascii="宋体" w:cs="宋体"/>
                <w:b w:val="0"/>
                <w:bCs w:val="0"/>
                <w:color w:val="auto"/>
                <w:sz w:val="21"/>
                <w:szCs w:val="21"/>
                <w:lang w:val="en-US" w:eastAsia="zh-CN" w:bidi="ar"/>
              </w:rPr>
              <w:t>5、支持在白天、夜晚及有雾情况下可自动切换不同的滤光片进行成像</w:t>
            </w:r>
            <w:r>
              <w:rPr>
                <w:rFonts w:hint="eastAsia" w:ascii="宋体" w:cs="宋体"/>
                <w:b w:val="0"/>
                <w:bCs w:val="0"/>
                <w:color w:val="auto"/>
                <w:sz w:val="21"/>
                <w:szCs w:val="21"/>
                <w:lang w:eastAsia="zh-CN" w:bidi="ar"/>
              </w:rPr>
              <w:t>。</w:t>
            </w:r>
          </w:p>
          <w:p>
            <w:pPr>
              <w:widowControl/>
              <w:numPr>
                <w:ilvl w:val="0"/>
                <w:numId w:val="0"/>
              </w:numPr>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val="en-US" w:eastAsia="zh-CN" w:bidi="ar"/>
              </w:rPr>
              <w:t>6、支持水平手控速度不小于600°/S，垂直手控速度不小于200°/s，水平旋转范围为360°连续旋转，垂直旋转范围为-20°~90°</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val="en-US" w:eastAsia="zh-CN" w:bidi="ar"/>
              </w:rPr>
              <w:br w:type="textWrapping"/>
            </w:r>
            <w:r>
              <w:rPr>
                <w:rFonts w:hint="eastAsia" w:ascii="宋体" w:cs="宋体"/>
                <w:b w:val="0"/>
                <w:bCs w:val="0"/>
                <w:color w:val="auto"/>
                <w:sz w:val="21"/>
                <w:szCs w:val="21"/>
                <w:lang w:val="en-US" w:eastAsia="zh-CN" w:bidi="ar"/>
              </w:rPr>
              <w:t>7、红外补光距离不小于500米，支持IP67，含配套电源。</w:t>
            </w:r>
          </w:p>
        </w:tc>
      </w:tr>
      <w:tr>
        <w:tblPrEx>
          <w:tblCellMar>
            <w:top w:w="0" w:type="dxa"/>
            <w:left w:w="0" w:type="dxa"/>
            <w:bottom w:w="0" w:type="dxa"/>
            <w:right w:w="0" w:type="dxa"/>
          </w:tblCellMar>
        </w:tblPrEx>
        <w:trPr>
          <w:trHeight w:val="16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5</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聚光闪光灯</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cs="宋体"/>
                <w:b w:val="0"/>
                <w:bCs w:val="0"/>
                <w:color w:val="auto"/>
                <w:sz w:val="21"/>
                <w:szCs w:val="21"/>
                <w:lang w:bidi="ar"/>
              </w:rPr>
            </w:pPr>
            <w:r>
              <w:rPr>
                <w:rFonts w:hint="eastAsia" w:ascii="宋体" w:cs="宋体"/>
                <w:b w:val="0"/>
                <w:bCs w:val="0"/>
                <w:color w:val="auto"/>
                <w:sz w:val="21"/>
                <w:szCs w:val="21"/>
                <w:lang w:val="en-US" w:eastAsia="zh-CN" w:bidi="ar"/>
              </w:rPr>
              <w:t>1、</w:t>
            </w:r>
            <w:r>
              <w:rPr>
                <w:rFonts w:hint="eastAsia" w:ascii="宋体" w:cs="宋体"/>
                <w:b w:val="0"/>
                <w:bCs w:val="0"/>
                <w:color w:val="auto"/>
                <w:sz w:val="21"/>
                <w:szCs w:val="21"/>
                <w:lang w:bidi="ar"/>
              </w:rPr>
              <w:t>配合抓拍机,补光距离大于25米。</w:t>
            </w:r>
          </w:p>
          <w:p>
            <w:pPr>
              <w:widowControl/>
              <w:numPr>
                <w:ilvl w:val="0"/>
                <w:numId w:val="0"/>
              </w:numPr>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val="en-US" w:eastAsia="zh-CN" w:bidi="ar"/>
              </w:rPr>
              <w:t>2、</w:t>
            </w:r>
            <w:r>
              <w:rPr>
                <w:rFonts w:hint="eastAsia" w:ascii="宋体" w:cs="宋体"/>
                <w:b w:val="0"/>
                <w:bCs w:val="0"/>
                <w:color w:val="auto"/>
                <w:sz w:val="21"/>
                <w:szCs w:val="21"/>
                <w:lang w:bidi="ar"/>
              </w:rPr>
              <w:t>技术参数：采用透镜光栅聚光，闪光能量：250J；色温：≥5500K；回电时间：＜300ms；峰值闪光持续时间：1/30ms；工作寿命：≥300万次；触发方式：电平，+5VDC；覆盖范围：大于7.5m @25m处；电压：165VAC～265VAC；频率：48Hz～52Hz；功耗：平均＜100W（@1闪/s），瞬间最大＜300W</w:t>
            </w:r>
            <w:r>
              <w:rPr>
                <w:rFonts w:hint="eastAsia" w:ascii="宋体" w:cs="宋体"/>
                <w:b w:val="0"/>
                <w:bCs w:val="0"/>
                <w:color w:val="auto"/>
                <w:sz w:val="21"/>
                <w:szCs w:val="21"/>
                <w:lang w:eastAsia="zh-CN" w:bidi="ar"/>
              </w:rPr>
              <w:t>。</w:t>
            </w:r>
          </w:p>
          <w:p>
            <w:pPr>
              <w:widowControl/>
              <w:numPr>
                <w:ilvl w:val="0"/>
                <w:numId w:val="0"/>
              </w:numPr>
              <w:ind w:left="0" w:leftChars="0" w:firstLine="0" w:firstLineChars="0"/>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工作环境温度：-20℃～+60℃；工作环境湿度：5%~95%@40℃，无凝结；防护等级：IP66</w:t>
            </w:r>
            <w:r>
              <w:rPr>
                <w:rFonts w:hint="eastAsia" w:ascii="宋体" w:cs="宋体"/>
                <w:b w:val="0"/>
                <w:bCs w:val="0"/>
                <w:color w:val="auto"/>
                <w:sz w:val="21"/>
                <w:szCs w:val="21"/>
                <w:lang w:eastAsia="zh-CN" w:bidi="ar"/>
              </w:rPr>
              <w:t>。</w:t>
            </w:r>
          </w:p>
        </w:tc>
      </w:tr>
      <w:tr>
        <w:tblPrEx>
          <w:tblCellMar>
            <w:top w:w="0" w:type="dxa"/>
            <w:left w:w="0" w:type="dxa"/>
            <w:bottom w:w="0" w:type="dxa"/>
            <w:right w:w="0" w:type="dxa"/>
          </w:tblCellMar>
        </w:tblPrEx>
        <w:trPr>
          <w:trHeight w:val="1955"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6</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bidi="ar"/>
              </w:rPr>
              <w:t>4G人脸车辆布控球</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rPr>
            </w:pPr>
            <w:r>
              <w:rPr>
                <w:rFonts w:hint="eastAsia" w:ascii="宋体" w:cs="宋体"/>
                <w:b w:val="0"/>
                <w:bCs w:val="0"/>
                <w:color w:val="auto"/>
                <w:sz w:val="21"/>
                <w:szCs w:val="21"/>
                <w:lang w:val="en-US" w:eastAsia="zh-CN" w:bidi="ar"/>
              </w:rPr>
              <w:t>1、</w:t>
            </w:r>
            <w:r>
              <w:rPr>
                <w:rFonts w:hint="eastAsia" w:ascii="宋体" w:cs="宋体"/>
                <w:b w:val="0"/>
                <w:bCs w:val="0"/>
                <w:color w:val="auto"/>
                <w:sz w:val="21"/>
                <w:szCs w:val="21"/>
                <w:lang w:bidi="ar"/>
              </w:rPr>
              <w:t>传感器≥1/</w:t>
            </w: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 CMOS</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200</w:t>
            </w:r>
            <w:r>
              <w:rPr>
                <w:rFonts w:hint="eastAsia" w:ascii="宋体" w:cs="宋体"/>
                <w:b w:val="0"/>
                <w:bCs w:val="0"/>
                <w:color w:val="auto"/>
                <w:sz w:val="21"/>
                <w:szCs w:val="21"/>
                <w:lang w:val="en-US" w:eastAsia="zh-CN" w:bidi="ar"/>
              </w:rPr>
              <w:t>万</w:t>
            </w:r>
            <w:r>
              <w:rPr>
                <w:rFonts w:hint="eastAsia" w:ascii="宋体" w:cs="宋体"/>
                <w:b w:val="0"/>
                <w:bCs w:val="0"/>
                <w:color w:val="auto"/>
                <w:sz w:val="21"/>
                <w:szCs w:val="21"/>
                <w:lang w:bidi="ar"/>
              </w:rPr>
              <w:t>像素</w:t>
            </w:r>
            <w:r>
              <w:rPr>
                <w:rFonts w:hint="eastAsia" w:ascii="宋体" w:cs="宋体"/>
                <w:b w:val="0"/>
                <w:bCs w:val="0"/>
                <w:color w:val="auto"/>
                <w:sz w:val="21"/>
                <w:szCs w:val="21"/>
                <w:lang w:val="en-US" w:eastAsia="zh-CN" w:bidi="ar"/>
              </w:rPr>
              <w:t>以上</w:t>
            </w:r>
            <w:r>
              <w:rPr>
                <w:rFonts w:hint="eastAsia" w:ascii="宋体" w:cs="宋体"/>
                <w:b w:val="0"/>
                <w:bCs w:val="0"/>
                <w:color w:val="auto"/>
                <w:sz w:val="21"/>
                <w:szCs w:val="21"/>
                <w:lang w:bidi="ar"/>
              </w:rPr>
              <w:t>，最小照度：彩色：0.05Lux ，黑白：0.01Lux，焦距：</w:t>
            </w:r>
            <w:r>
              <w:rPr>
                <w:rFonts w:hint="eastAsia" w:ascii="宋体" w:cs="宋体"/>
                <w:b w:val="0"/>
                <w:bCs w:val="0"/>
                <w:color w:val="auto"/>
                <w:sz w:val="21"/>
                <w:szCs w:val="21"/>
                <w:lang w:eastAsia="zh-CN" w:bidi="ar"/>
              </w:rPr>
              <w:t>最大变焦大于</w:t>
            </w:r>
            <w:r>
              <w:rPr>
                <w:rFonts w:hint="eastAsia" w:ascii="宋体" w:cs="宋体"/>
                <w:b w:val="0"/>
                <w:bCs w:val="0"/>
                <w:color w:val="auto"/>
                <w:sz w:val="21"/>
                <w:szCs w:val="21"/>
                <w:lang w:bidi="ar"/>
              </w:rPr>
              <w:t>135mm</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电子快门：1/1秒 ~ 1/30,000秒水平旋转角度：360°，垂直旋转角度：-15°~90°</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2、</w:t>
            </w:r>
            <w:r>
              <w:rPr>
                <w:rFonts w:hint="eastAsia" w:ascii="宋体" w:cs="宋体"/>
                <w:b w:val="0"/>
                <w:bCs w:val="0"/>
                <w:color w:val="auto"/>
                <w:sz w:val="21"/>
                <w:szCs w:val="21"/>
                <w:lang w:bidi="ar"/>
              </w:rPr>
              <w:t>支持双SD卡存储，单卡最大支持128GB</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全网通，定位：支持GPS/北斗双模定位</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4、</w:t>
            </w:r>
            <w:r>
              <w:rPr>
                <w:rFonts w:hint="eastAsia" w:ascii="宋体" w:cs="宋体"/>
                <w:b w:val="0"/>
                <w:bCs w:val="0"/>
                <w:color w:val="auto"/>
                <w:sz w:val="21"/>
                <w:szCs w:val="21"/>
                <w:lang w:bidi="ar"/>
              </w:rPr>
              <w:t>BT4.0，WiFi：802.11a/b/g/n，支持WIFI热点，可通过平板/手机控制</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5、</w:t>
            </w:r>
            <w:r>
              <w:rPr>
                <w:rFonts w:hint="eastAsia" w:ascii="宋体" w:cs="宋体"/>
                <w:b w:val="0"/>
                <w:bCs w:val="0"/>
                <w:color w:val="auto"/>
                <w:sz w:val="21"/>
                <w:szCs w:val="21"/>
                <w:lang w:bidi="ar"/>
              </w:rPr>
              <w:t>视频编码：H.264、H.265，智能应用：支持人脸抓拍、智能跟踪、移动布控</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6、</w:t>
            </w:r>
            <w:r>
              <w:rPr>
                <w:rFonts w:hint="eastAsia" w:ascii="宋体" w:cs="宋体"/>
                <w:b w:val="0"/>
                <w:bCs w:val="0"/>
                <w:color w:val="auto"/>
                <w:sz w:val="21"/>
                <w:szCs w:val="21"/>
                <w:lang w:bidi="ar"/>
              </w:rPr>
              <w:t>防护等级：IP66，电池供电时间≥6个小时</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7、</w:t>
            </w:r>
            <w:r>
              <w:rPr>
                <w:rFonts w:hint="eastAsia" w:ascii="宋体" w:cs="宋体"/>
                <w:b w:val="0"/>
                <w:bCs w:val="0"/>
                <w:color w:val="auto"/>
                <w:sz w:val="21"/>
                <w:szCs w:val="21"/>
                <w:lang w:bidi="ar"/>
              </w:rPr>
              <w:t>支持单场景同时检出不少于30张人脸照片</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8、</w:t>
            </w:r>
            <w:r>
              <w:rPr>
                <w:rFonts w:hint="eastAsia" w:ascii="宋体" w:cs="宋体"/>
                <w:b w:val="0"/>
                <w:bCs w:val="0"/>
                <w:color w:val="auto"/>
                <w:sz w:val="21"/>
                <w:szCs w:val="21"/>
                <w:lang w:bidi="ar"/>
              </w:rPr>
              <w:t>支持对行驶车辆进行抓拍并识别车牌</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br w:type="textWrapping"/>
            </w:r>
            <w:r>
              <w:rPr>
                <w:rFonts w:hint="eastAsia" w:ascii="宋体" w:cs="宋体"/>
                <w:b w:val="0"/>
                <w:bCs w:val="0"/>
                <w:color w:val="auto"/>
                <w:sz w:val="21"/>
                <w:szCs w:val="21"/>
                <w:lang w:val="en-US" w:eastAsia="zh-CN" w:bidi="ar"/>
              </w:rPr>
              <w:t>9、</w:t>
            </w:r>
            <w:r>
              <w:rPr>
                <w:rFonts w:hint="eastAsia" w:ascii="宋体" w:cs="宋体"/>
                <w:b w:val="0"/>
                <w:bCs w:val="0"/>
                <w:color w:val="auto"/>
                <w:sz w:val="21"/>
                <w:szCs w:val="21"/>
                <w:lang w:bidi="ar"/>
              </w:rPr>
              <w:t>包含：布控球主机、电池、备用电池、电池充电器、220V电源适配器、10芯航插转接线、车载电源线、金属手提箱、定位天线，具有提手和底盘磁铁</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包含五年流量费用</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val="en-US" w:eastAsia="zh-CN" w:bidi="ar"/>
              </w:rPr>
              <w:t>需与市局指挥平台无缝对接）</w:t>
            </w:r>
            <w:r>
              <w:rPr>
                <w:rFonts w:hint="eastAsia" w:ascii="宋体" w:cs="宋体"/>
                <w:b w:val="0"/>
                <w:bCs w:val="0"/>
                <w:color w:val="auto"/>
                <w:sz w:val="21"/>
                <w:szCs w:val="21"/>
                <w:lang w:eastAsia="zh-CN" w:bidi="ar"/>
              </w:rPr>
              <w:t>。</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（二）杆件</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Y型监控杆，高6米,挑6米，挑4米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镀锌，八角形，主杆上口φ220mm(对角),下口φ280mm, 厚度6mm;</w:t>
            </w:r>
          </w:p>
          <w:p>
            <w:pPr>
              <w:widowControl/>
              <w:jc w:val="left"/>
              <w:textAlignment w:val="center"/>
              <w:rPr>
                <w:rFonts w:hint="eastAsia" w:ascii="宋体" w:cs="宋体"/>
                <w:color w:val="auto"/>
                <w:sz w:val="21"/>
                <w:szCs w:val="21"/>
              </w:rPr>
            </w:pPr>
            <w:r>
              <w:rPr>
                <w:rFonts w:hint="eastAsia" w:ascii="宋体" w:cs="宋体"/>
                <w:color w:val="auto"/>
                <w:sz w:val="21"/>
                <w:szCs w:val="21"/>
                <w:lang w:bidi="ar"/>
              </w:rPr>
              <w:t>副杆1、2上口φ90mm(对角),下口φ190mm,厚度5mm ,副杆带有导轨。</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Y型监控杆，高6米,挑6米，挑3米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镀锌，八角形，主杆上口φ220mm(对角),下口φ280mm, 厚度6mm; 副杆1、2上口φ90mm(对角),下口φ190mm,厚度5mm ,副杆带有导轨。</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Y型监控杆，高6米,挑3米，挑3米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镀锌，八角形，主杆上口φ150mm,下口φ230mm, 厚度6mm;副杆1、2镀锌φ114mm等径, 厚度5mm ,副杆带有导轨。</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4</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L型监控杆，高6米,挑6米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镀锌，八角形，主杆上口φ220mm(对角),下口φ280mm, 厚度6mm; 副杆1上口φ90mm(对角),下口φ190mm,厚度5mm ,副杆带有导轨。</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5</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L型监控杆等径杆，高6米,挑3米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6</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L型监控杆等径杆，高3米,挑2米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7</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壁装挑臂1M</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镀锌，水平管径76mm，臂厚4mm；支撑杆管径48mm，臂厚4mm,带有导轨。</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8</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壁装挑臂2M</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镀锌，水平管径76mm，臂厚4mm；支撑杆管径48mm，臂厚4mm,带有导轨。</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9</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抱杆挑臂,挑臂3米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镀锌，水平管径76mm，臂厚4mm；支撑杆管径48mm，臂厚4mm ,带有导轨。</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bidi="ar"/>
              </w:rPr>
              <w:t>10</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抱杆挑臂,挑臂2米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镀锌，水平管径76mm，臂厚4mm；支撑杆管径48mm，臂厚4mm ,带有导轨。</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抱杆挑臂,挑臂1米</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镀锌，水平管径76mm，臂厚4mm,，带有导轨。</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挑臂延伸杆-3M</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镀锌，水平管径50mm，臂厚3mm。</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预埋件(中)</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M24*6*1200（中）</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14</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预埋件(小)</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M20*4*1000（小）</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15</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接地棒</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50*50*5镀锌角铁，长度1.5m</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16</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长1.7m</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17</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长1.5m</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18</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枪机壁装支架</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cs="宋体"/>
                <w:color w:val="auto"/>
                <w:sz w:val="21"/>
                <w:szCs w:val="21"/>
              </w:rPr>
            </w:pP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19</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借杆抱箍</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cs="宋体"/>
                <w:color w:val="auto"/>
                <w:sz w:val="21"/>
                <w:szCs w:val="21"/>
              </w:rPr>
            </w:pP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20</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下吊支架（可升缩1-3m）</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下挂支架，两端长0.5</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（三）辅材</w:t>
            </w:r>
          </w:p>
        </w:tc>
      </w:tr>
      <w:tr>
        <w:tblPrEx>
          <w:tblCellMar>
            <w:top w:w="0" w:type="dxa"/>
            <w:left w:w="0" w:type="dxa"/>
            <w:bottom w:w="0" w:type="dxa"/>
            <w:right w:w="0" w:type="dxa"/>
          </w:tblCellMar>
        </w:tblPrEx>
        <w:trPr>
          <w:trHeight w:val="336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杆件挂箱（大）</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箱体外观及结构要求:采用悬挂式安装或墙装方式。</w:t>
            </w:r>
          </w:p>
          <w:p>
            <w:pPr>
              <w:widowControl/>
              <w:numPr>
                <w:ilvl w:val="0"/>
                <w:numId w:val="23"/>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尺寸：(宽)560×(深)275×(高)580mm</w:t>
            </w:r>
            <w:r>
              <w:rPr>
                <w:rFonts w:hint="eastAsia" w:ascii="宋体" w:cs="宋体"/>
                <w:color w:val="auto"/>
                <w:sz w:val="21"/>
                <w:szCs w:val="21"/>
                <w:lang w:eastAsia="zh-CN" w:bidi="ar"/>
              </w:rPr>
              <w:t>；</w:t>
            </w:r>
            <w:r>
              <w:rPr>
                <w:rFonts w:hint="eastAsia" w:ascii="宋体" w:cs="宋体"/>
                <w:color w:val="auto"/>
                <w:sz w:val="21"/>
                <w:szCs w:val="21"/>
                <w:lang w:bidi="ar"/>
              </w:rPr>
              <w:t>厚度：箱体≥1.0mm;箱门≥1.2mm。</w:t>
            </w:r>
          </w:p>
          <w:p>
            <w:pPr>
              <w:widowControl/>
              <w:numPr>
                <w:ilvl w:val="0"/>
                <w:numId w:val="23"/>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箱体材料：采用不锈钢304或201。表面防锈处理、瓦楞纸箱包装。结构为露天防雨箱，门采用防水结构，锁采用防水全封闭式，采用遮阳顶棚，在机箱侧面下部设计了换气百叶窗，箱体顶部设置换气轴流风扇，通过温控开关实现高温时的通风换气</w:t>
            </w:r>
            <w:r>
              <w:rPr>
                <w:rFonts w:hint="eastAsia" w:ascii="宋体" w:cs="宋体"/>
                <w:color w:val="auto"/>
                <w:sz w:val="21"/>
                <w:szCs w:val="21"/>
                <w:lang w:eastAsia="zh-CN" w:bidi="ar"/>
              </w:rPr>
              <w:t>，</w:t>
            </w:r>
            <w:r>
              <w:rPr>
                <w:rFonts w:hint="eastAsia" w:ascii="宋体" w:cs="宋体"/>
                <w:color w:val="auto"/>
                <w:sz w:val="21"/>
                <w:szCs w:val="21"/>
                <w:lang w:bidi="ar"/>
              </w:rPr>
              <w:t>喷涂“公安”“</w:t>
            </w:r>
            <w:r>
              <w:rPr>
                <w:rFonts w:hint="eastAsia" w:ascii="宋体" w:cs="宋体"/>
                <w:color w:val="auto"/>
                <w:sz w:val="21"/>
                <w:szCs w:val="21"/>
                <w:lang w:eastAsia="zh-CN" w:bidi="ar"/>
              </w:rPr>
              <w:t>雪亮</w:t>
            </w:r>
            <w:r>
              <w:rPr>
                <w:rFonts w:hint="eastAsia" w:ascii="宋体" w:cs="宋体"/>
                <w:color w:val="auto"/>
                <w:sz w:val="21"/>
                <w:szCs w:val="21"/>
                <w:lang w:bidi="ar"/>
              </w:rPr>
              <w:t>工程</w:t>
            </w:r>
            <w:r>
              <w:rPr>
                <w:rFonts w:hint="eastAsia" w:ascii="宋体" w:cs="宋体"/>
                <w:color w:val="auto"/>
                <w:sz w:val="21"/>
                <w:szCs w:val="21"/>
                <w:lang w:eastAsia="zh-CN" w:bidi="ar"/>
              </w:rPr>
              <w:t>”</w:t>
            </w:r>
            <w:r>
              <w:rPr>
                <w:rFonts w:hint="eastAsia" w:ascii="宋体" w:cs="宋体"/>
                <w:color w:val="auto"/>
                <w:sz w:val="21"/>
                <w:szCs w:val="21"/>
                <w:lang w:bidi="ar"/>
              </w:rPr>
              <w:t>。</w:t>
            </w:r>
          </w:p>
          <w:p>
            <w:pPr>
              <w:widowControl/>
              <w:numPr>
                <w:ilvl w:val="0"/>
                <w:numId w:val="23"/>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箱体内强电系统:包括1个单相三插插座、1个C63/2P空开、1个C32/2P空开、3个C16/2P空开、电源避雷器、光纤盒、光纤固定脚、接地排。</w:t>
            </w:r>
          </w:p>
          <w:p>
            <w:pPr>
              <w:widowControl/>
              <w:numPr>
                <w:ilvl w:val="0"/>
                <w:numId w:val="23"/>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配电设备安装底板采用5mm绝缘板制作或镀锌喷塑板， 底板应留有各种设备的安装孔位，需安装的设备有光端机及电源、球机电源、枪机电源、防雷模块等。</w:t>
            </w:r>
          </w:p>
          <w:p>
            <w:pPr>
              <w:widowControl/>
              <w:numPr>
                <w:ilvl w:val="0"/>
                <w:numId w:val="23"/>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箱体内进出线开关（或小型断路器）和电源避雷器等强电部分和工程弱电控制部分元器件原则上要求分开排列；并要求排列整齐、美观和便于安装及维护。</w:t>
            </w:r>
          </w:p>
          <w:p>
            <w:pPr>
              <w:widowControl/>
              <w:numPr>
                <w:ilvl w:val="0"/>
                <w:numId w:val="23"/>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配套防雷器:标称工作电压：AC220V;最大持续工作电压Uc：220/275V AC;标称放电电流In：20kA;最大放电电流Imax：40kA</w:t>
            </w:r>
            <w:r>
              <w:rPr>
                <w:rFonts w:hint="eastAsia" w:ascii="宋体" w:cs="宋体"/>
                <w:color w:val="auto"/>
                <w:sz w:val="21"/>
                <w:szCs w:val="21"/>
                <w:lang w:eastAsia="zh-CN" w:bidi="ar"/>
              </w:rPr>
              <w:t>。</w:t>
            </w:r>
          </w:p>
          <w:p>
            <w:pPr>
              <w:widowControl/>
              <w:jc w:val="left"/>
              <w:textAlignment w:val="center"/>
              <w:rPr>
                <w:rFonts w:hint="eastAsia" w:ascii="宋体" w:cs="宋体"/>
                <w:color w:val="auto"/>
                <w:sz w:val="21"/>
                <w:szCs w:val="21"/>
              </w:rPr>
            </w:pPr>
            <w:r>
              <w:rPr>
                <w:rFonts w:hint="eastAsia" w:ascii="宋体" w:cs="宋体"/>
                <w:color w:val="auto"/>
                <w:sz w:val="21"/>
                <w:szCs w:val="21"/>
                <w:lang w:bidi="ar"/>
              </w:rPr>
              <w:t>其他要求:箱体内应装有进出线电线电缆线夹及接地</w:t>
            </w:r>
            <w:r>
              <w:rPr>
                <w:rFonts w:hint="eastAsia" w:ascii="宋体" w:cs="宋体"/>
                <w:color w:val="auto"/>
                <w:sz w:val="21"/>
                <w:szCs w:val="21"/>
                <w:lang w:eastAsia="zh-CN" w:bidi="ar"/>
              </w:rPr>
              <w:t>，</w:t>
            </w:r>
            <w:r>
              <w:rPr>
                <w:rFonts w:hint="eastAsia" w:ascii="宋体" w:cs="宋体"/>
                <w:color w:val="auto"/>
                <w:sz w:val="21"/>
                <w:szCs w:val="21"/>
                <w:lang w:bidi="ar"/>
              </w:rPr>
              <w:t>箱体外面应有公安部门专用标识和有电危险警</w:t>
            </w:r>
            <w:r>
              <w:rPr>
                <w:rFonts w:hint="eastAsia" w:ascii="宋体" w:cs="宋体"/>
                <w:color w:val="auto"/>
                <w:sz w:val="21"/>
                <w:szCs w:val="21"/>
                <w:lang w:eastAsia="zh-CN" w:bidi="ar"/>
              </w:rPr>
              <w:t>，</w:t>
            </w:r>
            <w:r>
              <w:rPr>
                <w:rFonts w:hint="eastAsia" w:ascii="宋体" w:cs="宋体"/>
                <w:color w:val="auto"/>
                <w:sz w:val="21"/>
                <w:szCs w:val="21"/>
                <w:lang w:bidi="ar"/>
              </w:rPr>
              <w:t>导线（或导电排）要求按照国家相关标准配置挂杆机箱应配备相应抱箍。紧固件表面电镀处理。</w:t>
            </w:r>
          </w:p>
        </w:tc>
      </w:tr>
      <w:tr>
        <w:tblPrEx>
          <w:tblCellMar>
            <w:top w:w="0" w:type="dxa"/>
            <w:left w:w="0" w:type="dxa"/>
            <w:bottom w:w="0" w:type="dxa"/>
            <w:right w:w="0" w:type="dxa"/>
          </w:tblCellMar>
        </w:tblPrEx>
        <w:trPr>
          <w:trHeight w:val="305"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杆件挂箱（小）</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箱体外观及结构要求:采用悬挂式安装或墙装方式。</w:t>
            </w:r>
          </w:p>
          <w:p>
            <w:pPr>
              <w:widowControl/>
              <w:numPr>
                <w:ilvl w:val="0"/>
                <w:numId w:val="2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尺寸：(宽)320×(深)250×(高)400mm。厚度：箱体≥1.0mm;箱门≥1.2mm。</w:t>
            </w:r>
          </w:p>
          <w:p>
            <w:pPr>
              <w:widowControl/>
              <w:numPr>
                <w:ilvl w:val="0"/>
                <w:numId w:val="2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材料：采用不锈钢304或201。表面防锈处理、瓦楞纸箱包装。结构为露天防雨箱，门采用防水结构，锁采用防水全封闭式，采用遮阳顶棚，在机箱侧面下部设计了换气百叶窗，箱体顶部设置换气轴流风扇，通过温控开关实现高温时的通风换气。喷涂“公安”“</w:t>
            </w:r>
            <w:r>
              <w:rPr>
                <w:rFonts w:hint="eastAsia" w:ascii="宋体" w:cs="宋体"/>
                <w:color w:val="auto"/>
                <w:sz w:val="21"/>
                <w:szCs w:val="21"/>
                <w:lang w:eastAsia="zh-CN" w:bidi="ar"/>
              </w:rPr>
              <w:t>雪亮</w:t>
            </w:r>
            <w:r>
              <w:rPr>
                <w:rFonts w:hint="eastAsia" w:ascii="宋体" w:cs="宋体"/>
                <w:color w:val="auto"/>
                <w:sz w:val="21"/>
                <w:szCs w:val="21"/>
                <w:lang w:bidi="ar"/>
              </w:rPr>
              <w:t>工程</w:t>
            </w:r>
            <w:r>
              <w:rPr>
                <w:rFonts w:hint="eastAsia" w:ascii="宋体" w:cs="宋体"/>
                <w:color w:val="auto"/>
                <w:sz w:val="21"/>
                <w:szCs w:val="21"/>
                <w:lang w:eastAsia="zh-CN" w:bidi="ar"/>
              </w:rPr>
              <w:t>”</w:t>
            </w:r>
            <w:r>
              <w:rPr>
                <w:rFonts w:hint="eastAsia" w:ascii="宋体" w:cs="宋体"/>
                <w:color w:val="auto"/>
                <w:sz w:val="21"/>
                <w:szCs w:val="21"/>
                <w:lang w:bidi="ar"/>
              </w:rPr>
              <w:t>。</w:t>
            </w:r>
          </w:p>
          <w:p>
            <w:pPr>
              <w:widowControl/>
              <w:numPr>
                <w:ilvl w:val="0"/>
                <w:numId w:val="2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箱体内强电系统:包括1个单相三插插座、1个C63/2P空开、1个C32/2P空开、3个C16/2P空开、电源避雷器、光纤盒、光纤固定脚、接地排。</w:t>
            </w:r>
          </w:p>
          <w:p>
            <w:pPr>
              <w:widowControl/>
              <w:numPr>
                <w:ilvl w:val="0"/>
                <w:numId w:val="2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配电设备安装底板采用5mm绝缘板制作或镀锌喷塑板， 底板应留有各种设备的安装孔位，需安装的设备有光端机及电源、球机电源、枪机电源、防雷模块等。</w:t>
            </w:r>
          </w:p>
          <w:p>
            <w:pPr>
              <w:widowControl/>
              <w:numPr>
                <w:ilvl w:val="0"/>
                <w:numId w:val="2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箱体内进出线开关（或小型断路器）和电源避雷器等强电部分和工程弱电控制部分元器件原则上要求分开排列；并要求排列整齐、美观和便于安装及维护。</w:t>
            </w:r>
          </w:p>
          <w:p>
            <w:pPr>
              <w:widowControl/>
              <w:numPr>
                <w:ilvl w:val="0"/>
                <w:numId w:val="24"/>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配套防雷器:标称工作电压：AC220V;最大持续工作电压Uc：220/275V AC;标称放电电流In：20kA;最大放电电流Imax：40kA</w:t>
            </w:r>
            <w:r>
              <w:rPr>
                <w:rFonts w:hint="eastAsia" w:ascii="宋体" w:cs="宋体"/>
                <w:color w:val="auto"/>
                <w:sz w:val="21"/>
                <w:szCs w:val="21"/>
                <w:lang w:eastAsia="zh-CN" w:bidi="ar"/>
              </w:rPr>
              <w:t>。</w:t>
            </w:r>
          </w:p>
          <w:p>
            <w:pPr>
              <w:widowControl/>
              <w:jc w:val="left"/>
              <w:textAlignment w:val="center"/>
              <w:rPr>
                <w:rFonts w:hint="eastAsia" w:ascii="宋体" w:cs="宋体"/>
                <w:color w:val="auto"/>
                <w:sz w:val="21"/>
                <w:szCs w:val="21"/>
              </w:rPr>
            </w:pPr>
            <w:r>
              <w:rPr>
                <w:rFonts w:hint="eastAsia" w:ascii="宋体" w:cs="宋体"/>
                <w:color w:val="auto"/>
                <w:sz w:val="21"/>
                <w:szCs w:val="21"/>
                <w:lang w:bidi="ar"/>
              </w:rPr>
              <w:t>其他要求:箱体内应装有进出线电线电缆线夹及接地排</w:t>
            </w:r>
            <w:r>
              <w:rPr>
                <w:rFonts w:hint="eastAsia" w:ascii="宋体" w:cs="宋体"/>
                <w:color w:val="auto"/>
                <w:sz w:val="21"/>
                <w:szCs w:val="21"/>
                <w:lang w:eastAsia="zh-CN" w:bidi="ar"/>
              </w:rPr>
              <w:t>，</w:t>
            </w:r>
            <w:r>
              <w:rPr>
                <w:rFonts w:hint="eastAsia" w:ascii="宋体" w:cs="宋体"/>
                <w:color w:val="auto"/>
                <w:sz w:val="21"/>
                <w:szCs w:val="21"/>
                <w:lang w:bidi="ar"/>
              </w:rPr>
              <w:t>箱体外面应有公安部门专用标识和有电危险警示</w:t>
            </w:r>
            <w:r>
              <w:rPr>
                <w:rFonts w:hint="eastAsia" w:ascii="宋体" w:cs="宋体"/>
                <w:color w:val="auto"/>
                <w:sz w:val="21"/>
                <w:szCs w:val="21"/>
                <w:lang w:eastAsia="zh-CN" w:bidi="ar"/>
              </w:rPr>
              <w:t>，</w:t>
            </w:r>
            <w:r>
              <w:rPr>
                <w:rFonts w:hint="eastAsia" w:ascii="宋体" w:cs="宋体"/>
                <w:color w:val="auto"/>
                <w:sz w:val="21"/>
                <w:szCs w:val="21"/>
                <w:lang w:bidi="ar"/>
              </w:rPr>
              <w:t>导线（或导电排）要求按照国家相关标准配置挂杆机箱应配备相应抱箍</w:t>
            </w:r>
            <w:r>
              <w:rPr>
                <w:rFonts w:hint="eastAsia" w:ascii="宋体" w:cs="宋体"/>
                <w:color w:val="auto"/>
                <w:sz w:val="21"/>
                <w:szCs w:val="21"/>
                <w:lang w:eastAsia="zh-CN" w:bidi="ar"/>
              </w:rPr>
              <w:t>，</w:t>
            </w:r>
            <w:r>
              <w:rPr>
                <w:rFonts w:hint="eastAsia" w:ascii="宋体" w:cs="宋体"/>
                <w:color w:val="auto"/>
                <w:sz w:val="21"/>
                <w:szCs w:val="21"/>
                <w:lang w:bidi="ar"/>
              </w:rPr>
              <w:t>紧固件表面电镀处理。</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辅材</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PVC管、室外超五类网线、国标RVV3*1.0电源线、水晶头及六类网线等施工必备所有辅材</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（四）传输设备</w:t>
            </w:r>
          </w:p>
        </w:tc>
      </w:tr>
      <w:tr>
        <w:tblPrEx>
          <w:tblCellMar>
            <w:top w:w="0" w:type="dxa"/>
            <w:left w:w="0" w:type="dxa"/>
            <w:bottom w:w="0" w:type="dxa"/>
            <w:right w:w="0"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一光八电</w:t>
            </w:r>
            <w:r>
              <w:rPr>
                <w:rFonts w:hint="eastAsia" w:ascii="宋体" w:cs="宋体"/>
                <w:color w:val="auto"/>
                <w:sz w:val="21"/>
                <w:szCs w:val="21"/>
                <w:lang w:bidi="ar"/>
              </w:rPr>
              <w:t xml:space="preserve">前端以太网接入设备                      </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5"/>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独立式1个千兆光口8个千兆电口。</w:t>
            </w:r>
          </w:p>
          <w:p>
            <w:pPr>
              <w:widowControl/>
              <w:numPr>
                <w:ilvl w:val="0"/>
                <w:numId w:val="25"/>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光模块支持热插拔，采用全SFP模块设计，可灵活选择不同公里数设计配置；光接收灵敏度：≤-28dBm，传输距离20KM/40KM，光口带宽1.25Gbps,单纤单模传输；</w:t>
            </w:r>
          </w:p>
          <w:p>
            <w:pPr>
              <w:widowControl/>
              <w:numPr>
                <w:ilvl w:val="0"/>
                <w:numId w:val="25"/>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无风扇可在75℃以上恶劣工作环境温度下可靠工作；电源3级EMC保护，端口防雷设计，电口能通过接触±7KV、间隙±9KV静电测试，±4KV浪涌测试；无故障时间大于100000h。</w:t>
            </w:r>
          </w:p>
        </w:tc>
      </w:tr>
      <w:tr>
        <w:tblPrEx>
          <w:tblCellMar>
            <w:top w:w="0" w:type="dxa"/>
            <w:left w:w="0" w:type="dxa"/>
            <w:bottom w:w="0" w:type="dxa"/>
            <w:right w:w="0"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cs="宋体"/>
                <w:color w:val="auto"/>
                <w:sz w:val="21"/>
                <w:szCs w:val="21"/>
              </w:rPr>
            </w:pPr>
            <w:r>
              <w:rPr>
                <w:rFonts w:hint="eastAsia" w:ascii="宋体" w:cs="宋体"/>
                <w:color w:val="auto"/>
                <w:sz w:val="21"/>
                <w:szCs w:val="21"/>
                <w:lang w:eastAsia="zh-CN" w:bidi="ar"/>
              </w:rPr>
              <w:t>二光八电</w:t>
            </w:r>
            <w:r>
              <w:rPr>
                <w:rFonts w:hint="eastAsia" w:ascii="宋体" w:cs="宋体"/>
                <w:color w:val="auto"/>
                <w:sz w:val="21"/>
                <w:szCs w:val="21"/>
                <w:lang w:bidi="ar"/>
              </w:rPr>
              <w:t>前端以太网接入设备</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6"/>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独立式2个千兆光口8个千兆电口。</w:t>
            </w:r>
          </w:p>
          <w:p>
            <w:pPr>
              <w:widowControl/>
              <w:numPr>
                <w:ilvl w:val="0"/>
                <w:numId w:val="26"/>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光模块支持热插拔，采用全SFP模块设计，可灵活选择不同公里数设计配置；光接收灵敏度：≤-28dBm，传输距离20KM/40KM，采用单纤单模传输</w:t>
            </w:r>
            <w:r>
              <w:rPr>
                <w:rFonts w:hint="eastAsia" w:ascii="宋体" w:cs="宋体"/>
                <w:color w:val="auto"/>
                <w:sz w:val="21"/>
                <w:szCs w:val="21"/>
                <w:lang w:eastAsia="zh-CN" w:bidi="ar"/>
              </w:rPr>
              <w:t>。</w:t>
            </w:r>
          </w:p>
          <w:p>
            <w:pPr>
              <w:widowControl/>
              <w:numPr>
                <w:ilvl w:val="0"/>
                <w:numId w:val="26"/>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无风扇可在75℃以上恶劣工作环境温度下可靠工作；电源3级EMC保护，端口防雷设计， 每秒包转发数 148800PPS, 端口吞吐量1000M。</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8口交换机</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8口全千兆交换机</w:t>
            </w:r>
          </w:p>
        </w:tc>
      </w:tr>
      <w:tr>
        <w:tblPrEx>
          <w:tblCellMar>
            <w:top w:w="0" w:type="dxa"/>
            <w:left w:w="0" w:type="dxa"/>
            <w:bottom w:w="0" w:type="dxa"/>
            <w:right w:w="0"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中心板卡4光1电（光口千兆电口千兆</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7"/>
              </w:numPr>
              <w:ind w:left="0" w:leftChars="0" w:firstLine="0" w:firstLineChars="0"/>
              <w:jc w:val="left"/>
              <w:textAlignment w:val="center"/>
              <w:rPr>
                <w:rFonts w:hint="eastAsia" w:ascii="宋体" w:cs="宋体"/>
                <w:color w:val="auto"/>
                <w:sz w:val="21"/>
                <w:szCs w:val="21"/>
                <w:lang w:bidi="ar"/>
              </w:rPr>
            </w:pPr>
            <w:r>
              <w:rPr>
                <w:rFonts w:hint="eastAsia" w:ascii="宋体" w:cs="宋体"/>
                <w:color w:val="auto"/>
                <w:sz w:val="21"/>
                <w:szCs w:val="21"/>
                <w:lang w:bidi="ar"/>
              </w:rPr>
              <w:t>中心机房为标准的19英寸子框架沟，配置双电源，光口带宽1.25Gbps，SFP插拔式光模块，单模单纤传输；</w:t>
            </w:r>
          </w:p>
          <w:p>
            <w:pPr>
              <w:widowControl/>
              <w:numPr>
                <w:ilvl w:val="0"/>
                <w:numId w:val="27"/>
              </w:numPr>
              <w:ind w:left="0" w:leftChars="0" w:firstLine="0" w:firstLineChars="0"/>
              <w:jc w:val="left"/>
              <w:textAlignment w:val="center"/>
              <w:rPr>
                <w:rFonts w:hint="eastAsia" w:ascii="宋体" w:cs="宋体"/>
                <w:color w:val="auto"/>
                <w:sz w:val="21"/>
                <w:szCs w:val="21"/>
              </w:rPr>
            </w:pPr>
            <w:r>
              <w:rPr>
                <w:rFonts w:hint="eastAsia" w:ascii="宋体" w:cs="宋体"/>
                <w:color w:val="auto"/>
                <w:sz w:val="21"/>
                <w:szCs w:val="21"/>
                <w:lang w:bidi="ar"/>
              </w:rPr>
              <w:t>无故障时间大于100000h;传输距离可选择20km,40km，80km型号。</w:t>
            </w:r>
          </w:p>
          <w:p>
            <w:pPr>
              <w:widowControl/>
              <w:jc w:val="left"/>
              <w:textAlignment w:val="center"/>
              <w:rPr>
                <w:rFonts w:hint="eastAsia" w:ascii="宋体" w:cs="宋体"/>
                <w:color w:val="auto"/>
                <w:sz w:val="21"/>
                <w:szCs w:val="21"/>
              </w:rPr>
            </w:pPr>
            <w:r>
              <w:rPr>
                <w:rFonts w:hint="eastAsia" w:ascii="宋体" w:cs="宋体"/>
                <w:color w:val="auto"/>
                <w:sz w:val="21"/>
                <w:szCs w:val="21"/>
                <w:lang w:bidi="ar"/>
              </w:rPr>
              <w:t>每块板汇聚4个100/1000M自适应光口-1个10/100/1000M自适应电口。</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光端机箱</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需可上19英寸标准机架(各投标供应商根据技术自行配置)，可插15张以上板卡。使用直流48V电源或220V交流电输入；双电源供电模式；铝金结构；可利用光纤接入数&gt;=60个。</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（五）网络设备</w:t>
            </w:r>
          </w:p>
        </w:tc>
      </w:tr>
      <w:tr>
        <w:tblPrEx>
          <w:tblCellMar>
            <w:top w:w="0" w:type="dxa"/>
            <w:left w:w="0" w:type="dxa"/>
            <w:bottom w:w="0" w:type="dxa"/>
            <w:right w:w="0" w:type="dxa"/>
          </w:tblCellMar>
        </w:tblPrEx>
        <w:trPr>
          <w:trHeight w:val="1088"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24口全千兆三层交换机</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bidi="ar"/>
              </w:rPr>
              <w:t>▲</w:t>
            </w:r>
            <w:r>
              <w:rPr>
                <w:rFonts w:hint="eastAsia" w:ascii="宋体" w:cs="Arial"/>
                <w:color w:val="auto"/>
                <w:sz w:val="21"/>
                <w:szCs w:val="21"/>
                <w:lang w:val="en-US" w:eastAsia="zh-CN" w:bidi="ar"/>
              </w:rPr>
              <w:t>1、</w:t>
            </w:r>
            <w:r>
              <w:rPr>
                <w:rFonts w:hint="eastAsia" w:ascii="宋体" w:cs="Arial"/>
                <w:color w:val="auto"/>
                <w:sz w:val="21"/>
                <w:szCs w:val="21"/>
                <w:lang w:bidi="ar"/>
              </w:rPr>
              <w:t>设备性能：交换容量≥5.9</w:t>
            </w:r>
            <w:r>
              <w:rPr>
                <w:rFonts w:ascii="宋体" w:cs="Arial"/>
                <w:color w:val="auto"/>
                <w:sz w:val="21"/>
                <w:szCs w:val="21"/>
                <w:lang w:bidi="ar"/>
              </w:rPr>
              <w:t>0</w:t>
            </w:r>
            <w:r>
              <w:rPr>
                <w:rFonts w:hint="eastAsia" w:ascii="宋体" w:cs="Arial"/>
                <w:color w:val="auto"/>
                <w:sz w:val="21"/>
                <w:szCs w:val="21"/>
                <w:lang w:bidi="ar"/>
              </w:rPr>
              <w:t>Tbps，转发性能≥22</w:t>
            </w:r>
            <w:r>
              <w:rPr>
                <w:rFonts w:ascii="宋体" w:cs="Arial"/>
                <w:color w:val="auto"/>
                <w:sz w:val="21"/>
                <w:szCs w:val="21"/>
                <w:lang w:bidi="ar"/>
              </w:rPr>
              <w:t>0</w:t>
            </w:r>
            <w:r>
              <w:rPr>
                <w:rFonts w:hint="eastAsia" w:ascii="宋体" w:cs="Arial"/>
                <w:color w:val="auto"/>
                <w:sz w:val="21"/>
                <w:szCs w:val="21"/>
                <w:lang w:bidi="ar"/>
              </w:rPr>
              <w:t>Mpps</w:t>
            </w:r>
            <w:r>
              <w:rPr>
                <w:rFonts w:hint="eastAsia" w:ascii="宋体" w:cs="Arial"/>
                <w:color w:val="auto"/>
                <w:sz w:val="21"/>
                <w:szCs w:val="21"/>
                <w:lang w:eastAsia="zh-CN" w:bidi="ar"/>
              </w:rPr>
              <w:t>，</w:t>
            </w:r>
            <w:r>
              <w:rPr>
                <w:rFonts w:hint="eastAsia" w:ascii="宋体" w:cs="Arial"/>
                <w:color w:val="auto"/>
                <w:sz w:val="21"/>
                <w:szCs w:val="21"/>
                <w:lang w:bidi="ar"/>
              </w:rPr>
              <w:t>模块化双电源</w:t>
            </w:r>
            <w:r>
              <w:rPr>
                <w:rFonts w:hint="eastAsia" w:ascii="宋体" w:cs="Arial"/>
                <w:color w:val="auto"/>
                <w:sz w:val="21"/>
                <w:szCs w:val="21"/>
                <w:lang w:eastAsia="zh-CN" w:bidi="ar"/>
              </w:rPr>
              <w:t>，</w:t>
            </w:r>
            <w:r>
              <w:rPr>
                <w:rFonts w:hint="eastAsia" w:ascii="宋体" w:cs="Arial"/>
                <w:color w:val="auto"/>
                <w:sz w:val="21"/>
                <w:szCs w:val="21"/>
                <w:lang w:bidi="ar"/>
              </w:rPr>
              <w:t>模块化双风扇，前/后通风，</w:t>
            </w:r>
            <w:r>
              <w:rPr>
                <w:rFonts w:hint="eastAsia" w:ascii="宋体" w:cs="Arial"/>
                <w:color w:val="auto"/>
                <w:sz w:val="21"/>
                <w:szCs w:val="21"/>
                <w:lang w:val="en-US" w:eastAsia="zh-CN" w:bidi="ar"/>
              </w:rPr>
              <w:t>24个</w:t>
            </w:r>
            <w:r>
              <w:rPr>
                <w:rFonts w:ascii="宋体" w:cs="Arial"/>
                <w:color w:val="auto"/>
                <w:sz w:val="21"/>
                <w:szCs w:val="21"/>
                <w:lang w:bidi="ar"/>
              </w:rPr>
              <w:t>10/100/1000Base-T自适应以太网端口（</w:t>
            </w:r>
            <w:r>
              <w:rPr>
                <w:rFonts w:hint="eastAsia" w:ascii="宋体" w:cs="Arial"/>
                <w:color w:val="auto"/>
                <w:sz w:val="21"/>
                <w:szCs w:val="21"/>
                <w:lang w:val="en-US" w:eastAsia="zh-CN" w:bidi="ar"/>
              </w:rPr>
              <w:t>4个以上</w:t>
            </w:r>
            <w:r>
              <w:rPr>
                <w:rFonts w:ascii="宋体" w:cs="Arial"/>
                <w:color w:val="auto"/>
                <w:sz w:val="21"/>
                <w:szCs w:val="21"/>
                <w:lang w:bidi="ar"/>
              </w:rPr>
              <w:t>combo口），4个万兆SFP+口</w:t>
            </w:r>
            <w:r>
              <w:rPr>
                <w:rFonts w:hint="eastAsia" w:ascii="宋体" w:cs="Arial"/>
                <w:color w:val="auto"/>
                <w:sz w:val="21"/>
                <w:szCs w:val="21"/>
                <w:lang w:bidi="ar"/>
              </w:rPr>
              <w:t>，1个扩展插槽</w:t>
            </w:r>
            <w:r>
              <w:rPr>
                <w:rFonts w:hint="eastAsia" w:ascii="宋体" w:cs="Arial"/>
                <w:color w:val="auto"/>
                <w:sz w:val="21"/>
                <w:szCs w:val="21"/>
                <w:lang w:eastAsia="zh-CN" w:bidi="ar"/>
              </w:rPr>
              <w:t>。</w:t>
            </w:r>
          </w:p>
          <w:p>
            <w:pPr>
              <w:numPr>
                <w:ilvl w:val="0"/>
                <w:numId w:val="0"/>
              </w:num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val="en-US" w:eastAsia="zh-CN" w:bidi="ar"/>
              </w:rPr>
              <w:t>2、</w:t>
            </w:r>
            <w:r>
              <w:rPr>
                <w:rFonts w:hint="eastAsia" w:ascii="宋体" w:cs="Arial"/>
                <w:color w:val="auto"/>
                <w:sz w:val="21"/>
                <w:szCs w:val="21"/>
                <w:lang w:bidi="ar"/>
              </w:rPr>
              <w:t>性能指标：</w:t>
            </w:r>
            <w:r>
              <w:rPr>
                <w:rFonts w:hint="eastAsia" w:ascii="宋体" w:cs="Arial"/>
                <w:color w:val="auto"/>
                <w:sz w:val="21"/>
                <w:szCs w:val="21"/>
                <w:lang w:eastAsia="zh-CN" w:bidi="ar"/>
              </w:rPr>
              <w:t>支持三层交换技术。</w:t>
            </w:r>
          </w:p>
          <w:p>
            <w:pPr>
              <w:numPr>
                <w:ilvl w:val="0"/>
                <w:numId w:val="0"/>
              </w:numPr>
              <w:spacing w:line="360" w:lineRule="atLeast"/>
              <w:jc w:val="left"/>
              <w:textAlignment w:val="baseline"/>
              <w:rPr>
                <w:rFonts w:ascii="宋体" w:cs="Arial"/>
                <w:color w:val="auto"/>
                <w:sz w:val="21"/>
                <w:szCs w:val="21"/>
                <w:lang w:bidi="ar"/>
              </w:rPr>
            </w:pPr>
            <w:r>
              <w:rPr>
                <w:rFonts w:hint="eastAsia" w:ascii="宋体" w:cs="Arial"/>
                <w:color w:val="auto"/>
                <w:sz w:val="21"/>
                <w:szCs w:val="21"/>
                <w:lang w:val="en-US" w:eastAsia="zh-CN" w:bidi="ar"/>
              </w:rPr>
              <w:t>3、</w:t>
            </w:r>
            <w:r>
              <w:rPr>
                <w:rFonts w:hint="eastAsia" w:ascii="宋体" w:cs="Arial"/>
                <w:color w:val="auto"/>
                <w:sz w:val="21"/>
                <w:szCs w:val="21"/>
                <w:lang w:bidi="ar"/>
              </w:rPr>
              <w:t>路由协议：支持IPv4静态路由、RIP V1/V2、OSPF、BGP；</w:t>
            </w:r>
          </w:p>
          <w:p>
            <w:pPr>
              <w:rPr>
                <w:rFonts w:ascii="宋体" w:cs="Arial"/>
                <w:color w:val="auto"/>
                <w:sz w:val="21"/>
                <w:szCs w:val="21"/>
                <w:lang w:bidi="ar"/>
              </w:rPr>
            </w:pPr>
            <w:r>
              <w:rPr>
                <w:rFonts w:hint="eastAsia" w:ascii="宋体" w:cs="Arial"/>
                <w:color w:val="auto"/>
                <w:sz w:val="21"/>
                <w:szCs w:val="21"/>
                <w:lang w:bidi="ar"/>
              </w:rPr>
              <w:t>支持IPv6静态路由、RIPng、OSPFv3、BGP4</w:t>
            </w:r>
            <w:r>
              <w:rPr>
                <w:rFonts w:hint="eastAsia" w:ascii="宋体" w:cs="Arial"/>
                <w:color w:val="auto"/>
                <w:sz w:val="21"/>
                <w:szCs w:val="21"/>
                <w:lang w:eastAsia="zh-CN" w:bidi="ar"/>
              </w:rPr>
              <w:t>。</w:t>
            </w:r>
          </w:p>
          <w:p>
            <w:pPr>
              <w:rPr>
                <w:rFonts w:ascii="宋体" w:cs="Arial"/>
                <w:color w:val="auto"/>
                <w:sz w:val="21"/>
                <w:szCs w:val="21"/>
                <w:lang w:bidi="ar"/>
              </w:rPr>
            </w:pPr>
            <w:r>
              <w:rPr>
                <w:rFonts w:hint="eastAsia" w:ascii="宋体" w:cs="Arial"/>
                <w:color w:val="auto"/>
                <w:sz w:val="21"/>
                <w:szCs w:val="21"/>
                <w:lang w:val="en-US" w:eastAsia="zh-CN" w:bidi="ar"/>
              </w:rPr>
              <w:t>4、</w:t>
            </w:r>
            <w:r>
              <w:rPr>
                <w:rFonts w:hint="eastAsia" w:ascii="宋体" w:cs="Arial"/>
                <w:color w:val="auto"/>
                <w:sz w:val="21"/>
                <w:szCs w:val="21"/>
                <w:lang w:bidi="ar"/>
              </w:rPr>
              <w:t>VLAN特性：支持基于端口的VLAN，支持基于协议的VLAN；</w:t>
            </w:r>
          </w:p>
          <w:p>
            <w:pPr>
              <w:widowControl/>
              <w:jc w:val="left"/>
              <w:textAlignment w:val="center"/>
              <w:rPr>
                <w:rFonts w:hint="eastAsia" w:ascii="宋体" w:cs="宋体"/>
                <w:color w:val="auto"/>
                <w:sz w:val="21"/>
                <w:szCs w:val="21"/>
              </w:rPr>
            </w:pPr>
            <w:r>
              <w:rPr>
                <w:rFonts w:hint="eastAsia" w:ascii="宋体" w:cs="Arial"/>
                <w:color w:val="auto"/>
                <w:sz w:val="21"/>
                <w:szCs w:val="21"/>
                <w:lang w:bidi="ar"/>
              </w:rPr>
              <w:t>支持基于MAC的VLAN；最大VLAN数(不是VLAN ID)&gt;=4094</w:t>
            </w:r>
            <w:r>
              <w:rPr>
                <w:rFonts w:hint="eastAsia" w:ascii="宋体" w:cs="Arial"/>
                <w:color w:val="auto"/>
                <w:sz w:val="21"/>
                <w:szCs w:val="21"/>
                <w:lang w:eastAsia="zh-CN" w:bidi="ar"/>
              </w:rPr>
              <w:t>。</w:t>
            </w:r>
          </w:p>
        </w:tc>
      </w:tr>
      <w:tr>
        <w:tblPrEx>
          <w:tblCellMar>
            <w:top w:w="0" w:type="dxa"/>
            <w:left w:w="0" w:type="dxa"/>
            <w:bottom w:w="0" w:type="dxa"/>
            <w:right w:w="0" w:type="dxa"/>
          </w:tblCellMar>
        </w:tblPrEx>
        <w:trPr>
          <w:trHeight w:val="579"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Arial"/>
                <w:color w:val="auto"/>
                <w:sz w:val="21"/>
                <w:szCs w:val="21"/>
              </w:rPr>
            </w:pPr>
            <w:r>
              <w:rPr>
                <w:rFonts w:ascii="宋体" w:cs="Arial"/>
                <w:color w:val="auto"/>
                <w:sz w:val="21"/>
                <w:szCs w:val="21"/>
                <w:lang w:bidi="ar"/>
              </w:rPr>
              <w:t xml:space="preserve">150W </w:t>
            </w:r>
            <w:r>
              <w:rPr>
                <w:rStyle w:val="83"/>
                <w:rFonts w:ascii="宋体"/>
                <w:color w:val="auto"/>
                <w:sz w:val="21"/>
                <w:szCs w:val="21"/>
                <w:lang w:bidi="ar"/>
              </w:rPr>
              <w:t>资产管理交流电源模块</w:t>
            </w:r>
            <w:r>
              <w:rPr>
                <w:rStyle w:val="83"/>
                <w:rFonts w:hint="eastAsia" w:ascii="宋体"/>
                <w:color w:val="auto"/>
                <w:sz w:val="21"/>
                <w:szCs w:val="21"/>
                <w:lang w:eastAsia="zh-CN" w:bidi="ar"/>
              </w:rPr>
              <w:t>与交换机配套。</w:t>
            </w:r>
          </w:p>
        </w:tc>
      </w:tr>
      <w:tr>
        <w:tblPrEx>
          <w:tblCellMar>
            <w:top w:w="0" w:type="dxa"/>
            <w:left w:w="0" w:type="dxa"/>
            <w:bottom w:w="0" w:type="dxa"/>
            <w:right w:w="0" w:type="dxa"/>
          </w:tblCellMar>
        </w:tblPrEx>
        <w:trPr>
          <w:trHeight w:val="1396"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24口全千兆二层交换机</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cs="Arial"/>
                <w:color w:val="auto"/>
                <w:sz w:val="21"/>
                <w:szCs w:val="21"/>
              </w:rPr>
            </w:pPr>
            <w:r>
              <w:rPr>
                <w:rFonts w:hint="eastAsia" w:ascii="宋体" w:cs="Arial"/>
                <w:color w:val="auto"/>
                <w:sz w:val="21"/>
                <w:szCs w:val="21"/>
              </w:rPr>
              <w:t>▲</w:t>
            </w:r>
            <w:r>
              <w:rPr>
                <w:rFonts w:hint="eastAsia" w:ascii="宋体" w:cs="Arial"/>
                <w:color w:val="auto"/>
                <w:sz w:val="21"/>
                <w:szCs w:val="21"/>
                <w:lang w:val="en-US" w:eastAsia="zh-CN"/>
              </w:rPr>
              <w:t>1、</w:t>
            </w:r>
            <w:r>
              <w:rPr>
                <w:rFonts w:hint="eastAsia" w:ascii="宋体" w:cs="Arial"/>
                <w:color w:val="auto"/>
                <w:sz w:val="21"/>
                <w:szCs w:val="21"/>
              </w:rPr>
              <w:t>设备性能：交换容量≥336Gbps，转发性能≥</w:t>
            </w:r>
            <w:r>
              <w:rPr>
                <w:rFonts w:ascii="宋体" w:cs="Arial"/>
                <w:color w:val="auto"/>
                <w:sz w:val="21"/>
                <w:szCs w:val="21"/>
              </w:rPr>
              <w:t>95</w:t>
            </w:r>
            <w:r>
              <w:rPr>
                <w:rFonts w:hint="eastAsia" w:ascii="宋体" w:cs="Arial"/>
                <w:color w:val="auto"/>
                <w:sz w:val="21"/>
                <w:szCs w:val="21"/>
              </w:rPr>
              <w:t>Mpps，≥</w:t>
            </w:r>
            <w:r>
              <w:rPr>
                <w:rFonts w:ascii="宋体" w:cs="Arial"/>
                <w:color w:val="auto"/>
                <w:sz w:val="21"/>
                <w:szCs w:val="21"/>
              </w:rPr>
              <w:t>24</w:t>
            </w:r>
            <w:r>
              <w:rPr>
                <w:rFonts w:hint="eastAsia" w:ascii="宋体" w:cs="Arial"/>
                <w:color w:val="auto"/>
                <w:sz w:val="21"/>
                <w:szCs w:val="21"/>
              </w:rPr>
              <w:t>个GE端口，≥4个千兆SFP口</w:t>
            </w:r>
            <w:r>
              <w:rPr>
                <w:rFonts w:hint="eastAsia" w:ascii="宋体" w:cs="Arial"/>
                <w:color w:val="auto"/>
                <w:sz w:val="21"/>
                <w:szCs w:val="21"/>
                <w:lang w:eastAsia="zh-CN"/>
              </w:rPr>
              <w:t>。</w:t>
            </w:r>
          </w:p>
          <w:p>
            <w:pPr>
              <w:rPr>
                <w:rFonts w:ascii="宋体" w:cs="Arial"/>
                <w:color w:val="auto"/>
                <w:sz w:val="21"/>
                <w:szCs w:val="21"/>
              </w:rPr>
            </w:pPr>
            <w:r>
              <w:rPr>
                <w:rFonts w:hint="eastAsia" w:ascii="宋体" w:cs="Arial"/>
                <w:color w:val="auto"/>
                <w:sz w:val="21"/>
                <w:szCs w:val="21"/>
                <w:lang w:val="en-US" w:eastAsia="zh-CN"/>
              </w:rPr>
              <w:t>2、</w:t>
            </w:r>
            <w:r>
              <w:rPr>
                <w:rFonts w:hint="eastAsia" w:ascii="宋体" w:cs="Arial"/>
                <w:color w:val="auto"/>
                <w:sz w:val="21"/>
                <w:szCs w:val="21"/>
              </w:rPr>
              <w:t>VLAN特性：最大VLAN数(不是VLAN ID)&gt;=4094</w:t>
            </w:r>
            <w:r>
              <w:rPr>
                <w:rFonts w:hint="eastAsia" w:ascii="宋体" w:cs="Arial"/>
                <w:color w:val="auto"/>
                <w:sz w:val="21"/>
                <w:szCs w:val="21"/>
                <w:lang w:eastAsia="zh-CN"/>
              </w:rPr>
              <w:t>。</w:t>
            </w:r>
          </w:p>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rPr>
              <w:t>3、</w:t>
            </w:r>
            <w:r>
              <w:rPr>
                <w:rFonts w:hint="eastAsia" w:ascii="宋体" w:cs="宋体"/>
                <w:color w:val="auto"/>
                <w:sz w:val="21"/>
                <w:szCs w:val="21"/>
              </w:rPr>
              <w:t>路由协议：支持IPv4静态路由、RIP V1/V2、OSPF，支持IPv6静态路由、RIPng</w:t>
            </w:r>
            <w:r>
              <w:rPr>
                <w:rFonts w:hint="eastAsia" w:ascii="宋体" w:cs="宋体"/>
                <w:color w:val="auto"/>
                <w:sz w:val="21"/>
                <w:szCs w:val="21"/>
                <w:lang w:eastAsia="zh-CN"/>
              </w:rPr>
              <w:t>。</w:t>
            </w:r>
          </w:p>
        </w:tc>
      </w:tr>
      <w:tr>
        <w:tblPrEx>
          <w:tblCellMar>
            <w:top w:w="0" w:type="dxa"/>
            <w:left w:w="0" w:type="dxa"/>
            <w:bottom w:w="0" w:type="dxa"/>
            <w:right w:w="0" w:type="dxa"/>
          </w:tblCellMar>
        </w:tblPrEx>
        <w:trPr>
          <w:trHeight w:val="427"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SFP+ 万兆模块(1550nm,40km,LC)，</w:t>
            </w:r>
            <w:r>
              <w:rPr>
                <w:rFonts w:hint="eastAsia" w:ascii="宋体" w:cs="宋体"/>
                <w:color w:val="auto"/>
                <w:sz w:val="21"/>
                <w:szCs w:val="21"/>
              </w:rPr>
              <w:t>品牌要求：和交换机同一品牌</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（六）存储设备</w:t>
            </w:r>
          </w:p>
        </w:tc>
      </w:tr>
      <w:tr>
        <w:tblPrEx>
          <w:tblCellMar>
            <w:top w:w="0" w:type="dxa"/>
            <w:left w:w="0" w:type="dxa"/>
            <w:bottom w:w="0" w:type="dxa"/>
            <w:right w:w="0" w:type="dxa"/>
          </w:tblCellMar>
        </w:tblPrEx>
        <w:trPr>
          <w:trHeight w:val="216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机架式SSU存储机头</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abs>
                <w:tab w:val="left" w:pos="0"/>
              </w:tabs>
              <w:ind w:leftChars="0"/>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1、</w:t>
            </w:r>
            <w:r>
              <w:rPr>
                <w:rFonts w:hint="eastAsia" w:ascii="宋体" w:cs="宋体"/>
                <w:color w:val="auto"/>
                <w:sz w:val="21"/>
                <w:szCs w:val="21"/>
                <w:lang w:bidi="ar"/>
              </w:rPr>
              <w:t>机架式4U 24盘位，支持SAS/SATA硬盘</w:t>
            </w:r>
            <w:r>
              <w:rPr>
                <w:rFonts w:hint="eastAsia" w:ascii="宋体" w:cs="宋体"/>
                <w:color w:val="auto"/>
                <w:sz w:val="21"/>
                <w:szCs w:val="21"/>
                <w:lang w:eastAsia="zh-CN" w:bidi="ar"/>
              </w:rPr>
              <w:t>，</w:t>
            </w:r>
            <w:r>
              <w:rPr>
                <w:rFonts w:hint="eastAsia" w:ascii="宋体" w:cs="宋体"/>
                <w:color w:val="auto"/>
                <w:sz w:val="21"/>
                <w:szCs w:val="21"/>
                <w:lang w:bidi="ar"/>
              </w:rPr>
              <w:t>服务器构架,支持RAID 0，1，10，5，6；支持CIFS、NFS、iSCSI；</w:t>
            </w:r>
          </w:p>
          <w:p>
            <w:pPr>
              <w:widowControl/>
              <w:numPr>
                <w:ilvl w:val="0"/>
                <w:numId w:val="0"/>
              </w:numPr>
              <w:tabs>
                <w:tab w:val="left" w:pos="0"/>
              </w:tabs>
              <w:ind w:leftChars="0"/>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2、</w:t>
            </w:r>
            <w:r>
              <w:rPr>
                <w:rFonts w:hint="eastAsia" w:ascii="宋体" w:cs="宋体"/>
                <w:color w:val="auto"/>
                <w:sz w:val="21"/>
                <w:szCs w:val="21"/>
                <w:lang w:bidi="ar"/>
              </w:rPr>
              <w:t>冗余电源，冗余风扇，监控专属安全存储单元，流式存储，无文件系统，无磁盘碎片；</w:t>
            </w:r>
          </w:p>
          <w:p>
            <w:pPr>
              <w:widowControl/>
              <w:numPr>
                <w:ilvl w:val="0"/>
                <w:numId w:val="0"/>
              </w:numPr>
              <w:tabs>
                <w:tab w:val="left" w:pos="0"/>
              </w:tabs>
              <w:ind w:leftChars="0"/>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3、</w:t>
            </w:r>
            <w:r>
              <w:rPr>
                <w:rFonts w:hint="eastAsia" w:ascii="宋体" w:cs="宋体"/>
                <w:color w:val="auto"/>
                <w:sz w:val="21"/>
                <w:szCs w:val="21"/>
                <w:lang w:bidi="ar"/>
              </w:rPr>
              <w:t>支持中心平台统一调度，支持统一网管，支持N+3冗余热备，支持系统断线继续存储；支持设备直连存储，支持中心转发存储，支持客户直接访问和跨网访问；支持秒级定位和秒级时移回放和下载；支持1/16~16倍率的回放（例如：1/16x、1/8x、1/4x、1/2x、1 x、2x、4x、8x、16x……），支持视频回退播放；支持视频在线剪辑，支持录像按时间下载，支持录像文件高速下载。</w:t>
            </w:r>
          </w:p>
          <w:p>
            <w:pPr>
              <w:widowControl/>
              <w:jc w:val="left"/>
              <w:textAlignment w:val="center"/>
              <w:rPr>
                <w:rFonts w:hint="eastAsia" w:ascii="宋体" w:cs="宋体"/>
                <w:color w:val="auto"/>
                <w:sz w:val="21"/>
                <w:szCs w:val="21"/>
              </w:rPr>
            </w:pP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企业级6T硬盘</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6TB企业级存储专用硬盘，缓存≥128MB；能与SSU存储（机架式SSU存储机头）配套，无缝兼容；</w:t>
            </w:r>
            <w:r>
              <w:rPr>
                <w:rStyle w:val="119"/>
                <w:rFonts w:hint="default"/>
                <w:color w:val="auto"/>
                <w:sz w:val="21"/>
                <w:szCs w:val="21"/>
                <w:lang w:bidi="ar"/>
              </w:rPr>
              <w:t xml:space="preserve"> </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机柜</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42U标准机柜，600mm*1000mm*2055mm（宽度*深度*高度）</w:t>
            </w:r>
            <w:r>
              <w:rPr>
                <w:rFonts w:hint="eastAsia" w:ascii="宋体" w:cs="宋体"/>
                <w:color w:val="auto"/>
                <w:sz w:val="21"/>
                <w:szCs w:val="21"/>
              </w:rPr>
              <w:t>，含配4个挡板、PDU和接地设备, 前门单开网孔门，后面双开网孔门；机柜颜色为黑色。</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（七）图像视频结构化处理平台</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1、图片视频结构化分析</w:t>
            </w:r>
          </w:p>
        </w:tc>
      </w:tr>
      <w:tr>
        <w:tblPrEx>
          <w:tblCellMar>
            <w:top w:w="0" w:type="dxa"/>
            <w:left w:w="0" w:type="dxa"/>
            <w:bottom w:w="0" w:type="dxa"/>
            <w:right w:w="0" w:type="dxa"/>
          </w:tblCellMar>
        </w:tblPrEx>
        <w:trPr>
          <w:trHeight w:val="161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视频运维分析智能平台</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cs="宋体"/>
                <w:color w:val="auto"/>
                <w:sz w:val="21"/>
                <w:szCs w:val="21"/>
                <w:highlight w:val="none"/>
                <w:lang w:bidi="ar"/>
              </w:rPr>
            </w:pPr>
            <w:r>
              <w:rPr>
                <w:rFonts w:hint="eastAsia" w:ascii="宋体" w:cs="宋体"/>
                <w:color w:val="auto"/>
                <w:sz w:val="21"/>
                <w:szCs w:val="21"/>
                <w:lang w:val="en-US" w:eastAsia="zh-CN" w:bidi="ar"/>
              </w:rPr>
              <w:t>1、</w:t>
            </w:r>
            <w:r>
              <w:rPr>
                <w:rFonts w:hint="eastAsia" w:ascii="宋体" w:cs="宋体"/>
                <w:color w:val="auto"/>
                <w:sz w:val="21"/>
                <w:szCs w:val="21"/>
                <w:lang w:bidi="ar"/>
              </w:rPr>
              <w:t>视频系统应用：负责本级平台组织机构资源、解码资源、编码资源、平台服务器资源等各种资源的管理、配置、认证；对各种资源提供统一的分级配置管理及查询。提供智能化视频流转、分发管理功能；不受前端编码格式限制，支持多级视频流转分发功能；支持集群部署，支持多网卡绑定策略</w:t>
            </w:r>
            <w:r>
              <w:rPr>
                <w:rFonts w:hint="eastAsia" w:ascii="宋体" w:cs="宋体"/>
                <w:color w:val="auto"/>
                <w:sz w:val="21"/>
                <w:szCs w:val="21"/>
                <w:lang w:eastAsia="zh-CN" w:bidi="ar"/>
              </w:rPr>
              <w:t>；</w:t>
            </w:r>
            <w:r>
              <w:rPr>
                <w:rFonts w:hint="eastAsia" w:ascii="宋体" w:cs="宋体"/>
                <w:color w:val="auto"/>
                <w:sz w:val="21"/>
                <w:szCs w:val="21"/>
                <w:lang w:bidi="ar"/>
              </w:rPr>
              <w:t>提供多种录像检索方式，包括常规检索、分段检索、事件检索、标签检索；提供录像点播服务，支持回放录像上墙，回放电子放大、断点续传功能，录像回放可精确定位到秒级。支持在地图上对监控点信息进行标注，包含经纬度、厂家类型、摄像机朝向、预览、回放等功能</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卡口图片系统：支持120亿级别卡口过车记录、智能结构化数据的查询；支持120亿过车数据下，查询一周内、一月内及任意天数据；支持50亿级别车辆图片以图搜图；支持10个以图搜图并发数；建立大数据分析模型，提供初次入城分析、车辆落脚点分析、区域碰撞分析、频繁过车分析、行车轨迹重现、同行车辆分析、连续违法分析、车流量分析等八大技战法研判应用。支持50亿级别车辆图片以图搜图；可对车辆进行布控，支持单一车辆布控、红名单布控、初次入城布控等。可支持模板下载进行批量布控。支持选择抓拍通道到对应的窗口展示实时抓拍的人脸图片，支持接收预警设置，可选择布控任务和布控范围 ；支持展示单张实时预警抓拍图片的同时，展示对应的黑名单图片，并显示相似度、布控任务及黑名单库名称</w:t>
            </w:r>
            <w:r>
              <w:rPr>
                <w:rFonts w:hint="eastAsia" w:ascii="宋体" w:cs="宋体"/>
                <w:color w:val="auto"/>
                <w:sz w:val="21"/>
                <w:szCs w:val="21"/>
                <w:lang w:eastAsia="zh-CN" w:bidi="ar"/>
              </w:rPr>
              <w:t>；</w:t>
            </w:r>
            <w:r>
              <w:rPr>
                <w:rFonts w:hint="eastAsia" w:ascii="宋体" w:cs="宋体"/>
                <w:color w:val="auto"/>
                <w:sz w:val="21"/>
                <w:szCs w:val="21"/>
                <w:lang w:bidi="ar"/>
              </w:rPr>
              <w:t>支持预警详情信息展示，可显示实时预警抓拍图片相关信息及匹配的黑名单图片详细信息；支持设置预警记录排序方式，查询结果按相似度、时间、地点、目标进行排序</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人脸系统：支持1V1 图片比对，可选择两张本地图片进行比对，平台可输出相似度值，比对性能不低于32 对/S；1V1 比对响应时间不超过1 秒；支持抓拍库以脸搜脸，可通过导入本地人脸图片或添加抓拍库图片，按选择的时间段、相似度范围，可检索出符合条件的人脸图片并按相似度降序排序，以脸搜脸首位命中率不低于95%。支持抓拍库人脸查询，可按时段、特征信息、抓拍范围（可手动或通过地图选择点位），在动态抓拍库中检索人脸图片。支持身份确认，通过本地上传人脸图片，与静态库中的人脸图片进行相似度比对，可检索出符合条件的人脸图片并按相似度降序排序；支持设置查询条件，包括人脸库、相似度、生日、性别、省份、城市、证件号等；支持单库或者双库查重任务；支持新建布控，布控信息包含布控名称、布控对象、布控范围（可通过地图选择点位）、有效期、布控原因，并按时间段设置相似度告警阀值</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cs="宋体"/>
                <w:color w:val="auto"/>
                <w:sz w:val="21"/>
                <w:szCs w:val="21"/>
                <w:highlight w:val="none"/>
                <w:lang w:bidi="ar"/>
              </w:rPr>
              <w:t>4、支持核心圈防护管控试点</w:t>
            </w:r>
            <w:r>
              <w:rPr>
                <w:rFonts w:hint="eastAsia" w:cs="宋体"/>
                <w:color w:val="auto"/>
                <w:sz w:val="21"/>
                <w:szCs w:val="21"/>
                <w:highlight w:val="none"/>
                <w:lang w:eastAsia="zh-CN" w:bidi="ar"/>
              </w:rPr>
              <w:t>运行</w:t>
            </w:r>
            <w:r>
              <w:rPr>
                <w:rFonts w:cs="宋体"/>
                <w:color w:val="auto"/>
                <w:sz w:val="21"/>
                <w:szCs w:val="21"/>
                <w:highlight w:val="none"/>
                <w:lang w:bidi="ar"/>
              </w:rPr>
              <w:t>，主要对进出</w:t>
            </w:r>
            <w:r>
              <w:rPr>
                <w:rFonts w:hint="eastAsia" w:cs="宋体"/>
                <w:color w:val="auto"/>
                <w:sz w:val="21"/>
                <w:szCs w:val="21"/>
                <w:highlight w:val="none"/>
                <w:lang w:eastAsia="zh-CN" w:bidi="ar"/>
              </w:rPr>
              <w:t>楼宇</w:t>
            </w:r>
            <w:r>
              <w:rPr>
                <w:rFonts w:cs="宋体"/>
                <w:color w:val="auto"/>
                <w:sz w:val="21"/>
                <w:szCs w:val="21"/>
                <w:highlight w:val="none"/>
                <w:lang w:bidi="ar"/>
              </w:rPr>
              <w:t>人员，特别是到访人员登记记录，做好来访人证合一，支持管理两个通道人员人脸登记跟车辆识别，人脸采用7英寸触摸显示屏，200万双目宽动态摄像头，支持20000张人脸，1：N人脸比对时间≤0.2S/人；200万筒机，车辆识别捕获率：白天≥99%，夜间≥99%，可识别出视频中机动车车牌略微水平倾斜的车牌号码；支持</w:t>
            </w:r>
            <w:r>
              <w:rPr>
                <w:rFonts w:hint="eastAsia" w:cs="宋体"/>
                <w:color w:val="auto"/>
                <w:sz w:val="21"/>
                <w:szCs w:val="21"/>
                <w:highlight w:val="none"/>
                <w:lang w:eastAsia="zh-CN" w:bidi="ar"/>
              </w:rPr>
              <w:t>楼宇</w:t>
            </w:r>
            <w:r>
              <w:rPr>
                <w:rFonts w:cs="宋体"/>
                <w:color w:val="auto"/>
                <w:sz w:val="21"/>
                <w:szCs w:val="21"/>
                <w:highlight w:val="none"/>
                <w:lang w:bidi="ar"/>
              </w:rPr>
              <w:t>人脸轨迹功能，可通过地图展示人员行动轨迹，支持人脸名单库比对报警，最大48路图片流人脸分析比对，32个人脸名单库，总库容30万张，支持人脸库自动建模，建模速</w:t>
            </w:r>
            <w:r>
              <w:rPr>
                <w:rFonts w:hint="eastAsia" w:cs="宋体"/>
                <w:color w:val="auto"/>
                <w:sz w:val="21"/>
                <w:szCs w:val="21"/>
                <w:highlight w:val="none"/>
                <w:lang w:bidi="ar"/>
              </w:rPr>
              <w:t>度</w:t>
            </w:r>
            <w:r>
              <w:rPr>
                <w:rFonts w:cs="宋体"/>
                <w:color w:val="auto"/>
                <w:sz w:val="21"/>
                <w:szCs w:val="21"/>
                <w:highlight w:val="none"/>
                <w:lang w:bidi="ar"/>
              </w:rPr>
              <w:t>50张/秒，支持陌生人报警，支持人脸1v1比对，支持以脸搜脸、按姓名检索人脸、按属性检索人脸；相关软硬件需配套提供。</w:t>
            </w:r>
          </w:p>
          <w:p>
            <w:pPr>
              <w:widowControl/>
              <w:jc w:val="left"/>
              <w:textAlignment w:val="center"/>
              <w:rPr>
                <w:rFonts w:hint="eastAsia" w:ascii="宋体" w:cs="宋体"/>
                <w:color w:val="auto"/>
                <w:sz w:val="21"/>
                <w:szCs w:val="21"/>
              </w:rPr>
            </w:pPr>
            <w:r>
              <w:rPr>
                <w:rFonts w:hint="eastAsia" w:cs="宋体"/>
                <w:color w:val="auto"/>
                <w:sz w:val="21"/>
                <w:szCs w:val="21"/>
                <w:highlight w:val="none"/>
                <w:lang w:bidi="ar"/>
              </w:rPr>
              <w:t>▲</w:t>
            </w:r>
            <w:r>
              <w:rPr>
                <w:rFonts w:cs="宋体"/>
                <w:color w:val="auto"/>
                <w:sz w:val="21"/>
                <w:szCs w:val="21"/>
                <w:highlight w:val="none"/>
                <w:lang w:bidi="ar"/>
              </w:rPr>
              <w:t>5、</w:t>
            </w:r>
            <w:r>
              <w:rPr>
                <w:rFonts w:hint="eastAsia" w:cs="宋体"/>
                <w:color w:val="auto"/>
                <w:sz w:val="21"/>
                <w:szCs w:val="21"/>
                <w:highlight w:val="none"/>
                <w:lang w:eastAsia="zh-CN" w:bidi="ar"/>
              </w:rPr>
              <w:t>升级</w:t>
            </w:r>
            <w:r>
              <w:rPr>
                <w:rFonts w:cs="宋体"/>
                <w:color w:val="auto"/>
                <w:sz w:val="21"/>
                <w:szCs w:val="21"/>
                <w:highlight w:val="none"/>
                <w:lang w:bidi="ar"/>
              </w:rPr>
              <w:t>提供原有视频运维分析智能平台12000路licese授权，出具</w:t>
            </w:r>
            <w:r>
              <w:rPr>
                <w:rFonts w:hint="eastAsia" w:cs="宋体"/>
                <w:color w:val="auto"/>
                <w:sz w:val="21"/>
                <w:szCs w:val="21"/>
                <w:highlight w:val="none"/>
                <w:lang w:eastAsia="zh-CN" w:bidi="ar"/>
              </w:rPr>
              <w:t>运维平台服务厂家</w:t>
            </w:r>
            <w:r>
              <w:rPr>
                <w:rFonts w:cs="宋体"/>
                <w:color w:val="auto"/>
                <w:sz w:val="21"/>
                <w:szCs w:val="21"/>
                <w:highlight w:val="none"/>
                <w:lang w:bidi="ar"/>
              </w:rPr>
              <w:t>证明。</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bottom"/>
              <w:rPr>
                <w:rFonts w:hint="eastAsia" w:ascii="宋体" w:cs="宋体"/>
                <w:color w:val="auto"/>
                <w:sz w:val="21"/>
                <w:szCs w:val="21"/>
              </w:rPr>
            </w:pPr>
            <w:r>
              <w:rPr>
                <w:rFonts w:hint="eastAsia" w:ascii="宋体" w:cs="宋体"/>
                <w:color w:val="auto"/>
                <w:sz w:val="21"/>
                <w:szCs w:val="21"/>
                <w:lang w:bidi="ar"/>
              </w:rPr>
              <w:t>数据库服务器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5115×2/32G DDR4×4/960G SSD×8（8盘位，RAID 5）/RAID_2G/1GbE*2 电×1 + 10GbE*2 光×1/550W(1+1)/Windows Server 2016</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bottom"/>
              <w:rPr>
                <w:rFonts w:hint="eastAsia" w:ascii="宋体" w:cs="宋体"/>
                <w:color w:val="auto"/>
                <w:sz w:val="21"/>
                <w:szCs w:val="21"/>
              </w:rPr>
            </w:pPr>
            <w:r>
              <w:rPr>
                <w:rFonts w:hint="eastAsia" w:ascii="宋体" w:cs="宋体"/>
                <w:color w:val="auto"/>
                <w:sz w:val="21"/>
                <w:szCs w:val="21"/>
                <w:lang w:bidi="ar"/>
              </w:rPr>
              <w:t>应用服务器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5115×2/32G DDR4×4/1.2T 10K SAS×6（8盘位，RAID 5）/RAID_2G/1GbE*2 电×1 + 10GbE*2 光×1/550W(1+1)/Windows Server 2016</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4</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数据接收服务器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4114(10核2.2GHz)×1/32G DDR4/600G SAS×2/SAS_HBA/1GbE×2/550W(1+1)/2U/16DIMM</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80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5</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图片视频分析服务器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8"/>
              </w:numPr>
              <w:jc w:val="left"/>
              <w:textAlignment w:val="center"/>
              <w:rPr>
                <w:rFonts w:hint="eastAsia" w:ascii="宋体" w:cs="宋体"/>
                <w:color w:val="auto"/>
                <w:sz w:val="21"/>
                <w:szCs w:val="21"/>
                <w:lang w:bidi="ar"/>
              </w:rPr>
            </w:pPr>
            <w:r>
              <w:rPr>
                <w:rFonts w:hint="eastAsia" w:ascii="宋体" w:cs="宋体"/>
                <w:color w:val="auto"/>
                <w:sz w:val="21"/>
                <w:szCs w:val="21"/>
                <w:lang w:bidi="ar"/>
              </w:rPr>
              <w:t>硬件规格：19英寸1U标准机箱；处理器：一颗E3-1200 V3系列高性能64位CPU；集成专业级GPU芯片；内存：8GB内存；硬盘：240G 企业级SSD</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人脸分析：图片160张/秒或视频32路；车辆分析：600万张/天；视频结构化：32路；治安场景图片分析性能（车辆、人体）：96张/秒</w:t>
            </w:r>
            <w:r>
              <w:rPr>
                <w:rFonts w:hint="eastAsia" w:ascii="宋体" w:cs="宋体"/>
                <w:color w:val="auto"/>
                <w:sz w:val="21"/>
                <w:szCs w:val="21"/>
                <w:lang w:eastAsia="zh-CN" w:bidi="ar"/>
              </w:rPr>
              <w:t>。</w:t>
            </w:r>
          </w:p>
          <w:p>
            <w:pPr>
              <w:widowControl/>
              <w:numPr>
                <w:ilvl w:val="0"/>
                <w:numId w:val="29"/>
              </w:numPr>
              <w:jc w:val="left"/>
              <w:textAlignment w:val="center"/>
              <w:rPr>
                <w:rFonts w:hint="eastAsia" w:ascii="宋体" w:cs="宋体"/>
                <w:color w:val="auto"/>
                <w:sz w:val="21"/>
                <w:szCs w:val="21"/>
                <w:lang w:eastAsia="zh-CN" w:bidi="ar"/>
              </w:rPr>
            </w:pPr>
            <w:r>
              <w:rPr>
                <w:rFonts w:hint="eastAsia" w:ascii="宋体" w:cs="宋体"/>
                <w:color w:val="auto"/>
                <w:sz w:val="21"/>
                <w:szCs w:val="21"/>
                <w:lang w:bidi="ar"/>
              </w:rPr>
              <w:t>支持通过界面展示查看算法仓库支持的算法列表，包括算法名称、分析类型、分析目标、算法厂商、芯片平台、算法版本和详情信息，算法仓库支持的算法包括人车分析算法，人脸检测算法、人脸分析算法、车辆分析算法和卡口车辆分析算法，并支持对算法进行查询，支持集成运行第三方算法，并支持对算法进行管理；支持通过授权的形式去调用算法仓库中的不同的算法，实现全分析，支持同一时间并发运行多种不同的算法，支持对视频、图片进行人脸、人体、车辆的全分析；支持根据需求进行硬件计算资源预分配，达到任务秒级处理，支持对突发的任务进行计算资源动态分配，算法资源动态管理，支持通过界面展示查看每种算法已使用/预分配的总资源；支持对人体、车辆和活动目标（人车混合）图片进行结构化分析处理，车辆图片处理速度不低于1.8万张/min，人体图片处理速度不低于3.0万张/min，活动目标处理速度不低于2.4万张/min；支持900万像素及以下图片的结构化处理；支持对视频和图片中的车辆进行车牌类型识别，图片识别支持包括92式民用车，警用车、左右军车、02式个性化车、黄色双行尾牌车、上下军车、04式新军车、使馆车、一行结构新武警车、两行结构新武警车、黄色1225农用车、绿色1325农用车、黄色1325农用车、摩托车、教练车、挂车、领馆汽车、港澳台车、民航车的车牌识别，视频识别支持包括民用车、警用车、军用车、武警车、2002式号牌车的车牌识别；支持对视频和图片中车辆的类型进行识别，图片识别支持大型客车、大货车、轿车、皮卡、面包车、小货车、SUV/MPV、中型客车、二轮车/三轮车9种车型的识别，视频识别支持客车、大货车、轿车、面包车、小货车、SUV、中型客车7种车型的识别，光线正常，图片车辆类型识别正向准确率不低于99%，背向准确率不低于99%；支持对视频和图片中车辆的子品牌进行识别，图片识别支持不少于5300种车辆子品牌和年款的识别（正向），支持不少于2800种车辆子品牌和年款的识别（背向），视频识别支持不少于2000种车辆子品牌和年款的识别，光线正常，图片车辆子品牌识别白天正向准确率不低于99%，背向准确率不低于95%；支持32路1080P实时视频流全帧率活动目标智能分析，支持对录像文件全帧率32倍加速进行活动目标智能分析，支持对时长180分钟的目标稀疏视频进行人员、车辆的结构化处理，处理时间小于80秒；支持多个设备智能分析单元通过级联方式形成集群系统</w:t>
            </w:r>
            <w:r>
              <w:rPr>
                <w:rFonts w:hint="eastAsia" w:ascii="宋体" w:cs="宋体"/>
                <w:color w:val="auto"/>
                <w:sz w:val="21"/>
                <w:szCs w:val="21"/>
                <w:lang w:eastAsia="zh-CN" w:bidi="ar"/>
              </w:rPr>
              <w:t>。</w:t>
            </w:r>
          </w:p>
          <w:p>
            <w:pPr>
              <w:widowControl/>
              <w:numPr>
                <w:ilvl w:val="0"/>
                <w:numId w:val="0"/>
              </w:numPr>
              <w:jc w:val="left"/>
              <w:textAlignment w:val="center"/>
              <w:rPr>
                <w:rFonts w:hint="eastAsia" w:ascii="宋体" w:cs="宋体"/>
                <w:color w:val="auto"/>
                <w:sz w:val="21"/>
                <w:szCs w:val="21"/>
              </w:rPr>
            </w:pPr>
            <w:r>
              <w:rPr>
                <w:rFonts w:hint="eastAsia" w:ascii="宋体" w:cs="宋体"/>
                <w:color w:val="auto"/>
                <w:sz w:val="21"/>
                <w:szCs w:val="21"/>
                <w:lang w:bidi="ar"/>
              </w:rPr>
              <w:t>▲</w:t>
            </w:r>
            <w:r>
              <w:rPr>
                <w:rFonts w:hint="eastAsia" w:ascii="宋体" w:cs="宋体"/>
                <w:color w:val="auto"/>
                <w:sz w:val="21"/>
                <w:szCs w:val="21"/>
                <w:lang w:val="en-US" w:eastAsia="zh-CN" w:bidi="ar"/>
              </w:rPr>
              <w:t>4、</w:t>
            </w:r>
            <w:r>
              <w:rPr>
                <w:rFonts w:hint="eastAsia" w:ascii="宋体" w:cs="宋体"/>
                <w:color w:val="auto"/>
                <w:sz w:val="21"/>
                <w:szCs w:val="21"/>
                <w:lang w:bidi="ar"/>
              </w:rPr>
              <w:t>对原系统人脸本地应用分析功能扩容</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599"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1"/>
                <w:szCs w:val="21"/>
                <w:lang w:eastAsia="zh-CN"/>
              </w:rPr>
            </w:pPr>
            <w:r>
              <w:rPr>
                <w:rFonts w:hint="eastAsia" w:ascii="宋体" w:cs="宋体"/>
                <w:color w:val="auto"/>
                <w:sz w:val="21"/>
                <w:szCs w:val="21"/>
                <w:lang w:val="en-US" w:eastAsia="zh-CN" w:bidi="ar"/>
              </w:rPr>
              <w:t>6</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融合数据存储服务器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1、</w:t>
            </w:r>
            <w:r>
              <w:rPr>
                <w:rFonts w:hint="eastAsia" w:ascii="宋体" w:cs="宋体"/>
                <w:color w:val="auto"/>
                <w:sz w:val="21"/>
                <w:szCs w:val="21"/>
                <w:lang w:bidi="ar"/>
              </w:rPr>
              <w:t>硬件规格：机箱规格：19英寸2U标准机架式，87.8mm(高)x 482mm(宽)x 801.2mm(深)；处理器：2 * Intel 4114 CPU；内存：256GB DDR4；硬盘：240G M.2×1+240G SSD×1+ 480G SSD×6+2T 7.2K SATA×4；数据接口：2个 万兆光口+ 2个千兆电口，4个 USB 3.0；额定功耗：高效能550W铂金1+1 CRPS冗余电源</w:t>
            </w:r>
            <w:r>
              <w:rPr>
                <w:rFonts w:hint="eastAsia" w:ascii="宋体" w:cs="宋体"/>
                <w:color w:val="auto"/>
                <w:sz w:val="21"/>
                <w:szCs w:val="21"/>
                <w:lang w:eastAsia="zh-CN" w:bidi="ar"/>
              </w:rPr>
              <w:t>。</w:t>
            </w:r>
          </w:p>
          <w:p>
            <w:pPr>
              <w:widowControl/>
              <w:numPr>
                <w:ilvl w:val="0"/>
                <w:numId w:val="0"/>
              </w:numPr>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2、</w:t>
            </w:r>
            <w:r>
              <w:rPr>
                <w:rFonts w:hint="eastAsia" w:ascii="宋体" w:cs="宋体"/>
                <w:color w:val="auto"/>
                <w:sz w:val="21"/>
                <w:szCs w:val="21"/>
                <w:lang w:bidi="ar"/>
              </w:rPr>
              <w:t>软件性能：单台设备支持不少于20亿数据的存储、查询检索、以图搜图。50个用户并发，查询检索效率不低于4.5亿条数据/s，以图搜图效率不低于2000万条模型/s。支持集群线性扩展数据存储容量和系统计算能力；支持在正常提供服务的情况下对集群进行扩容，即增加集群服务器数量。当集群中任意节点发生故障时，集群可保持正常工作且数据不会丢失；支持动态扩容；支持人脸、人体、车辆、mac等数据从下级大数据服务器级联到上级大数据服务器；支持将布控的车辆、人脸等信息从上级大数据级联到下级大数据；支持关联人脸、人体、车辆进行综合查询；一车一档信息包含车牌号码、车牌颜色、车牌归属地、车牌类型、车牌状态、车辆类型、品牌、型号、年款、车辆颜色、颜色深度、黄标车、危化品、是否有装饰、过车记录、落脚点卡口、套牌次数、活跃区域、活跃卡口、危险行为统计等。支持分析指定车辆在一段时间内的卡口过车记录；支持分析指定卡口在一段时间内不同车辆通过的次数；支持分析出几个区域通过的车辆的交集，并且能够查看分析出的车辆在这几个区域的过车记录；支持以车牌、时间段、车牌颜色为条件，对可疑车辆的活动轨迹进行自动分析，分析出可疑车辆可能的落脚点；支持分析指定车辆的轨迹规律，显示该车经过的卡口点以及经过的次数，并以不同的颜色标识过车数分布；实时更新过车记录；支持分析指定时间内，卡口总数、过车总数、异常过车次数、车辆总数、外地车总数、初次入城总数、最活跃卡口Top5，最活跃车辆Top5、属地分布Top5、品牌分布Top5，以及高峰时段，类型分布，车辆颜色分布。支持对一张车辆图片进行图片相似度的匹配搜索，并支持按相似度排序；支持建立不少于1000个人脸库并提供检索服务支持按时段、性别、年龄段、戴眼镜、微笑、高危人群、抓拍范围等查询条件在动态抓拍库中检索人脸图片；支持人脸抓拍记录查询、支持人脸报警记录查询；支持单库或者双库查重任务，单库查重指在同一人脸库中找出重复（相似）人脸，双库查重指在不同人脸库中找出重复（相似）人脸，支持按最小相似度、性别、姓名、身份证号等查询查重结果。支持人证比对设备采集的身份证照片和抓拍照片的成对入库；支持按照聚类方式检索；支持使用单张或多张图片进行以人搜人，选择时间段、监控点（支持树形选点和地图选点），结果按照相似度降序排序；支持本地上传图片进行以人搜人，系统可自动识别人体；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p>
          <w:p>
            <w:pPr>
              <w:widowControl/>
              <w:numPr>
                <w:ilvl w:val="0"/>
                <w:numId w:val="0"/>
              </w:numPr>
              <w:jc w:val="left"/>
              <w:textAlignment w:val="center"/>
              <w:rPr>
                <w:rFonts w:hint="eastAsia" w:ascii="宋体" w:cs="宋体"/>
                <w:color w:val="auto"/>
                <w:sz w:val="21"/>
                <w:szCs w:val="21"/>
              </w:rPr>
            </w:pPr>
            <w:r>
              <w:rPr>
                <w:rFonts w:hint="eastAsia" w:ascii="宋体" w:cs="宋体"/>
                <w:color w:val="auto"/>
                <w:sz w:val="21"/>
                <w:szCs w:val="21"/>
                <w:lang w:bidi="ar"/>
              </w:rPr>
              <w:t>▲</w:t>
            </w:r>
            <w:r>
              <w:rPr>
                <w:rFonts w:hint="eastAsia" w:ascii="宋体" w:cs="宋体"/>
                <w:color w:val="auto"/>
                <w:sz w:val="21"/>
                <w:szCs w:val="21"/>
                <w:lang w:val="en-US" w:eastAsia="zh-CN" w:bidi="ar"/>
              </w:rPr>
              <w:t>3、</w:t>
            </w:r>
            <w:r>
              <w:rPr>
                <w:rFonts w:hint="eastAsia" w:ascii="宋体" w:cs="宋体"/>
                <w:color w:val="auto"/>
                <w:sz w:val="21"/>
                <w:szCs w:val="21"/>
                <w:lang w:bidi="ar"/>
              </w:rPr>
              <w:t>对原系统人脸本地应用分析功能扩容。</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2</w:t>
            </w:r>
            <w:r>
              <w:rPr>
                <w:rFonts w:hint="eastAsia" w:ascii="宋体" w:cs="宋体"/>
                <w:color w:val="auto"/>
                <w:sz w:val="21"/>
                <w:szCs w:val="21"/>
                <w:lang w:bidi="ar"/>
              </w:rPr>
              <w:t>、视频运维</w:t>
            </w:r>
          </w:p>
        </w:tc>
      </w:tr>
      <w:tr>
        <w:tblPrEx>
          <w:tblCellMar>
            <w:top w:w="0" w:type="dxa"/>
            <w:left w:w="0" w:type="dxa"/>
            <w:bottom w:w="0" w:type="dxa"/>
            <w:right w:w="0" w:type="dxa"/>
          </w:tblCellMar>
        </w:tblPrEx>
        <w:trPr>
          <w:trHeight w:val="474"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视频运维平台服务器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4114(10核2.2GHz)×1/32G DDR4/600G SAS×2/SAS_HBA/1GbE×2/550W(1+1)/2U/16DIMM。</w:t>
            </w:r>
          </w:p>
        </w:tc>
      </w:tr>
      <w:tr>
        <w:tblPrEx>
          <w:tblCellMar>
            <w:top w:w="0" w:type="dxa"/>
            <w:left w:w="0" w:type="dxa"/>
            <w:bottom w:w="0" w:type="dxa"/>
            <w:right w:w="0" w:type="dxa"/>
          </w:tblCellMar>
        </w:tblPrEx>
        <w:trPr>
          <w:trHeight w:val="4607"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视频运维检测</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1、</w:t>
            </w:r>
            <w:r>
              <w:rPr>
                <w:rFonts w:hint="eastAsia" w:ascii="宋体" w:cs="宋体"/>
                <w:color w:val="auto"/>
                <w:sz w:val="21"/>
                <w:szCs w:val="21"/>
                <w:lang w:bidi="ar"/>
              </w:rPr>
              <w:t>支持常见摄像机故障，检测内容包括信号丢失、图像模糊、噪声干扰、黑白图像、图像偏色、图像剧变、场景变更、画面冻结、视频抖动、视频遮挡、对比度异常、登录异常、亮度异常、条纹干扰、云台失控、取流异常等。</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分析能力：1</w:t>
            </w:r>
            <w:r>
              <w:rPr>
                <w:rFonts w:hint="eastAsia" w:ascii="宋体" w:cs="宋体"/>
                <w:color w:val="auto"/>
                <w:sz w:val="21"/>
                <w:szCs w:val="21"/>
                <w:lang w:val="en-US" w:eastAsia="zh-CN" w:bidi="ar"/>
              </w:rPr>
              <w:t>2</w:t>
            </w:r>
            <w:r>
              <w:rPr>
                <w:rFonts w:hint="eastAsia" w:ascii="宋体" w:cs="宋体"/>
                <w:color w:val="auto"/>
                <w:sz w:val="21"/>
                <w:szCs w:val="21"/>
                <w:lang w:bidi="ar"/>
              </w:rPr>
              <w:t>000路/天；视频质量诊断准确率：视频质量诊断率应≥95%。</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支持新建多个周期性任务，任务只在配置的周期内才会执行；</w:t>
            </w:r>
            <w:r>
              <w:rPr>
                <w:rFonts w:hint="eastAsia" w:ascii="宋体" w:cs="宋体"/>
                <w:color w:val="auto"/>
                <w:sz w:val="21"/>
                <w:szCs w:val="21"/>
                <w:lang w:bidi="ar"/>
              </w:rPr>
              <w:br w:type="textWrapping"/>
            </w:r>
            <w:r>
              <w:rPr>
                <w:rFonts w:hint="eastAsia" w:ascii="宋体" w:cs="宋体"/>
                <w:color w:val="auto"/>
                <w:sz w:val="21"/>
                <w:szCs w:val="21"/>
                <w:lang w:bidi="ar"/>
              </w:rPr>
              <w:t>信息总览功能，显示出最近诊断的大致信息，可以按任务或者按监控点显示，并可将诊断信息及质量诊断异常图片以excel格式保存到本地。</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支持对视频录像完整性监控。</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5、</w:t>
            </w:r>
            <w:r>
              <w:rPr>
                <w:rFonts w:hint="eastAsia" w:ascii="宋体" w:cs="宋体"/>
                <w:color w:val="auto"/>
                <w:sz w:val="21"/>
                <w:szCs w:val="21"/>
                <w:lang w:bidi="ar"/>
              </w:rPr>
              <w:t>统计分析，可以按照故障类型、区域统计、故障率进行统计，并以线图、柱状图或饼图来展示，通过点击线图的折点、柱状图柱块或饼状图饼块，可罗列出该异常类型就的监控点；实现分区域、分时段、分类别的故障统计和报表功能，用于用户和维护人员的运行决策。</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6、</w:t>
            </w:r>
            <w:r>
              <w:rPr>
                <w:rFonts w:hint="eastAsia" w:ascii="宋体" w:cs="宋体"/>
                <w:color w:val="auto"/>
                <w:sz w:val="21"/>
                <w:szCs w:val="21"/>
                <w:lang w:bidi="ar"/>
              </w:rPr>
              <w:t>支持故障工单管理，可定制个性化运维考核方式，如分项目运维超时扣款、报停扣款等，通过该平台可实现运维费用结算。</w:t>
            </w:r>
            <w:r>
              <w:rPr>
                <w:rFonts w:hint="eastAsia" w:ascii="宋体" w:cs="宋体"/>
                <w:color w:val="auto"/>
                <w:sz w:val="21"/>
                <w:szCs w:val="21"/>
                <w:lang w:bidi="ar"/>
              </w:rPr>
              <w:br w:type="textWrapping"/>
            </w:r>
            <w:r>
              <w:rPr>
                <w:rFonts w:hint="eastAsia" w:ascii="宋体" w:cs="宋体"/>
                <w:color w:val="auto"/>
                <w:sz w:val="21"/>
                <w:szCs w:val="21"/>
                <w:lang w:bidi="ar"/>
              </w:rPr>
              <w:t>▲</w:t>
            </w:r>
            <w:r>
              <w:rPr>
                <w:rFonts w:hint="eastAsia" w:ascii="宋体" w:cs="宋体"/>
                <w:color w:val="auto"/>
                <w:sz w:val="21"/>
                <w:szCs w:val="21"/>
                <w:lang w:val="en-US" w:eastAsia="zh-CN" w:bidi="ar"/>
              </w:rPr>
              <w:t>7、</w:t>
            </w:r>
            <w:r>
              <w:rPr>
                <w:rFonts w:hint="eastAsia" w:ascii="宋体" w:cs="宋体"/>
                <w:color w:val="auto"/>
                <w:sz w:val="21"/>
                <w:szCs w:val="21"/>
                <w:lang w:bidi="ar"/>
              </w:rPr>
              <w:t>对原来运维系统无缝升级。</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3</w:t>
            </w:r>
            <w:r>
              <w:rPr>
                <w:rFonts w:hint="eastAsia" w:ascii="宋体" w:cs="宋体"/>
                <w:color w:val="auto"/>
                <w:sz w:val="21"/>
                <w:szCs w:val="21"/>
                <w:lang w:bidi="ar"/>
              </w:rPr>
              <w:t>、视频地图</w:t>
            </w:r>
          </w:p>
        </w:tc>
      </w:tr>
      <w:tr>
        <w:tblPrEx>
          <w:tblCellMar>
            <w:top w:w="0" w:type="dxa"/>
            <w:left w:w="0" w:type="dxa"/>
            <w:bottom w:w="0" w:type="dxa"/>
            <w:right w:w="0" w:type="dxa"/>
          </w:tblCellMar>
        </w:tblPrEx>
        <w:trPr>
          <w:trHeight w:val="9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视频地图应用服务器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4114(10核2.2GHz)×1/32G DDR4/600G SAS×2/SAS_HBA/1GbE×2/550W(1+1)/2U/16DIMM。</w:t>
            </w:r>
          </w:p>
        </w:tc>
      </w:tr>
      <w:tr>
        <w:tblPrEx>
          <w:tblCellMar>
            <w:top w:w="0" w:type="dxa"/>
            <w:left w:w="0" w:type="dxa"/>
            <w:bottom w:w="0" w:type="dxa"/>
            <w:right w:w="0" w:type="dxa"/>
          </w:tblCellMar>
        </w:tblPrEx>
        <w:trPr>
          <w:trHeight w:val="7055"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视频地图</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0"/>
              </w:numPr>
              <w:jc w:val="left"/>
              <w:textAlignment w:val="center"/>
              <w:rPr>
                <w:rFonts w:hint="eastAsia" w:ascii="宋体" w:cs="宋体"/>
                <w:color w:val="auto"/>
                <w:sz w:val="21"/>
                <w:szCs w:val="21"/>
              </w:rPr>
            </w:pPr>
            <w:r>
              <w:rPr>
                <w:rFonts w:hint="eastAsia" w:ascii="宋体" w:cs="宋体"/>
                <w:color w:val="auto"/>
                <w:sz w:val="21"/>
                <w:szCs w:val="21"/>
                <w:lang w:bidi="ar"/>
              </w:rPr>
              <w:t>支持实时视频图像标注，能够对视频画面中重点位置、区域添加无损动态标注，能够直观展示视频画面区域内有效信息、属性和特征，最大支持添加500个标签。</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支持普通定点标签的添加，不同类型标签以不同颜色或图标展现，标签包含视频监控标签、车辆监控标签、人脸监控标签、商场标签、酒店标签</w:t>
            </w:r>
            <w:r>
              <w:rPr>
                <w:rFonts w:hint="eastAsia" w:ascii="宋体" w:cs="宋体"/>
                <w:color w:val="auto"/>
                <w:sz w:val="21"/>
                <w:szCs w:val="21"/>
                <w:lang w:eastAsia="zh-CN" w:bidi="ar"/>
              </w:rPr>
              <w:t>，</w:t>
            </w:r>
            <w:r>
              <w:rPr>
                <w:rFonts w:hint="eastAsia" w:ascii="宋体" w:cs="宋体"/>
                <w:color w:val="auto"/>
                <w:sz w:val="21"/>
                <w:szCs w:val="21"/>
                <w:lang w:bidi="ar"/>
              </w:rPr>
              <w:t>***、路灯、井盖、垃圾桶、社区服务站、厕所</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bidi="ar"/>
              </w:rPr>
              <w:t>火车站标签、飞机场标签、汽车站标签、出入口标签、港口标签、地铁站标签、检查站标签、加油站标签、停车场标签</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在全景视频画面中针对有警力部署的地方,可以标识防控圈标签,在画面上能任意画线</w:t>
            </w:r>
            <w:r>
              <w:rPr>
                <w:rFonts w:hint="eastAsia" w:ascii="宋体" w:cs="宋体"/>
                <w:color w:val="auto"/>
                <w:sz w:val="21"/>
                <w:szCs w:val="21"/>
                <w:lang w:eastAsia="zh-CN" w:bidi="ar"/>
              </w:rPr>
              <w:t>，</w:t>
            </w:r>
            <w:r>
              <w:rPr>
                <w:rFonts w:hint="eastAsia" w:ascii="宋体" w:cs="宋体"/>
                <w:color w:val="auto"/>
                <w:sz w:val="21"/>
                <w:szCs w:val="21"/>
                <w:lang w:bidi="ar"/>
              </w:rPr>
              <w:t>针对区域里部署的警员数量、警员能力等信息输入</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实现在动态视频画面中标识固定执勤岗亭的执勤人员、电话、装备等信息。</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5、</w:t>
            </w:r>
            <w:r>
              <w:rPr>
                <w:rFonts w:hint="eastAsia" w:ascii="宋体" w:cs="宋体"/>
                <w:color w:val="auto"/>
                <w:sz w:val="21"/>
                <w:szCs w:val="21"/>
                <w:lang w:bidi="ar"/>
              </w:rPr>
              <w:t>在全景视频画面中，对一个标签关联多个监控视频的可以设置预案进行展示。</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6、</w:t>
            </w:r>
            <w:r>
              <w:rPr>
                <w:rFonts w:hint="eastAsia" w:ascii="宋体" w:cs="宋体"/>
                <w:color w:val="auto"/>
                <w:sz w:val="21"/>
                <w:szCs w:val="21"/>
                <w:lang w:bidi="ar"/>
              </w:rPr>
              <w:t>支持勾选标签显示类型，在视频画面中屏蔽或显示相应类型的标签。</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7、</w:t>
            </w:r>
            <w:r>
              <w:rPr>
                <w:rFonts w:hint="eastAsia" w:ascii="宋体" w:cs="宋体"/>
                <w:color w:val="auto"/>
                <w:sz w:val="21"/>
                <w:szCs w:val="21"/>
                <w:lang w:bidi="ar"/>
              </w:rPr>
              <w:t>视频标签支持模糊、精准搜索定位，实现视频画面快速定位到目标位置标签。</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8、</w:t>
            </w:r>
            <w:r>
              <w:rPr>
                <w:rFonts w:hint="eastAsia" w:ascii="宋体" w:cs="宋体"/>
                <w:color w:val="auto"/>
                <w:sz w:val="21"/>
                <w:szCs w:val="21"/>
                <w:lang w:bidi="ar"/>
              </w:rPr>
              <w:t>通过标签联动低点视频并在全景视频画面中以画中画形式实时呈现。</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9、</w:t>
            </w:r>
            <w:r>
              <w:rPr>
                <w:rFonts w:hint="eastAsia" w:ascii="宋体" w:cs="宋体"/>
                <w:color w:val="auto"/>
                <w:sz w:val="21"/>
                <w:szCs w:val="21"/>
                <w:lang w:bidi="ar"/>
              </w:rPr>
              <w:t>当重点区域安装多个密集监控点的场景下，可添加一个标签关联多个监控视频，并支持画面轮巡。</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10、</w:t>
            </w:r>
            <w:r>
              <w:rPr>
                <w:rFonts w:hint="eastAsia" w:ascii="宋体" w:cs="宋体"/>
                <w:color w:val="auto"/>
                <w:sz w:val="21"/>
                <w:szCs w:val="21"/>
                <w:lang w:bidi="ar"/>
              </w:rPr>
              <w:t>AR鹰眼全景视频画面中可以调用指哪打哪功能，在全景画面不变的情况下，快速放大细节和跟踪目标。</w:t>
            </w:r>
            <w:r>
              <w:rPr>
                <w:rFonts w:hint="eastAsia" w:ascii="宋体" w:cs="宋体"/>
                <w:color w:val="auto"/>
                <w:sz w:val="21"/>
                <w:szCs w:val="21"/>
                <w:lang w:bidi="ar"/>
              </w:rPr>
              <w:br w:type="textWrapping"/>
            </w:r>
            <w:r>
              <w:rPr>
                <w:rFonts w:hint="eastAsia" w:ascii="宋体" w:cs="宋体"/>
                <w:color w:val="auto"/>
                <w:sz w:val="21"/>
                <w:szCs w:val="21"/>
                <w:lang w:bidi="ar"/>
              </w:rPr>
              <w:t>▲</w:t>
            </w:r>
            <w:r>
              <w:rPr>
                <w:rFonts w:hint="eastAsia" w:ascii="宋体" w:cs="宋体"/>
                <w:color w:val="auto"/>
                <w:sz w:val="21"/>
                <w:szCs w:val="21"/>
                <w:lang w:val="en-US" w:eastAsia="zh-CN" w:bidi="ar"/>
              </w:rPr>
              <w:t>11、</w:t>
            </w:r>
            <w:r>
              <w:rPr>
                <w:rFonts w:hint="eastAsia" w:ascii="宋体" w:cs="宋体"/>
                <w:color w:val="auto"/>
                <w:sz w:val="21"/>
                <w:szCs w:val="21"/>
                <w:lang w:bidi="ar"/>
              </w:rPr>
              <w:t>需要跟原来指挥中心大屏系统无缝对接。</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桌面型服务器</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i7-7700T/16G DDR4/1T 7.2K SATA/GTX 1060_6G/1GbE×2。</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4</w:t>
            </w:r>
            <w:r>
              <w:rPr>
                <w:rFonts w:hint="eastAsia" w:ascii="宋体" w:cs="宋体"/>
                <w:color w:val="auto"/>
                <w:sz w:val="21"/>
                <w:szCs w:val="21"/>
                <w:lang w:bidi="ar"/>
              </w:rPr>
              <w:t xml:space="preserve">、校时服务器 </w:t>
            </w:r>
          </w:p>
        </w:tc>
      </w:tr>
      <w:tr>
        <w:tblPrEx>
          <w:tblCellMar>
            <w:top w:w="0" w:type="dxa"/>
            <w:left w:w="0" w:type="dxa"/>
            <w:bottom w:w="0" w:type="dxa"/>
            <w:right w:w="0" w:type="dxa"/>
          </w:tblCellMar>
        </w:tblPrEx>
        <w:trPr>
          <w:trHeight w:val="240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 xml:space="preserve">NTP校时服务器 </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1、</w:t>
            </w:r>
            <w:r>
              <w:rPr>
                <w:rFonts w:hint="eastAsia" w:ascii="宋体" w:cs="宋体"/>
                <w:color w:val="auto"/>
                <w:sz w:val="21"/>
                <w:szCs w:val="21"/>
                <w:lang w:bidi="ar"/>
              </w:rPr>
              <w:t>根据授时信号的强度，支持GPS/北斗/CDMA自动切换校时，产品标配是不带CDMA模块的。</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守时能力：精度24小时＜28us。</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授时容量：单端口≥7000次/秒。</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高授时精度：＜5 us。</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5、</w:t>
            </w:r>
            <w:r>
              <w:rPr>
                <w:rFonts w:hint="eastAsia" w:ascii="宋体" w:cs="宋体"/>
                <w:color w:val="auto"/>
                <w:sz w:val="21"/>
                <w:szCs w:val="21"/>
                <w:lang w:bidi="ar"/>
              </w:rPr>
              <w:t>授时频段：GPS授时中心频率1575MHz</w:t>
            </w:r>
            <w:r>
              <w:rPr>
                <w:rFonts w:hint="eastAsia" w:ascii="宋体" w:cs="宋体"/>
                <w:color w:val="auto"/>
                <w:sz w:val="21"/>
                <w:szCs w:val="21"/>
                <w:lang w:eastAsia="zh-CN" w:bidi="ar"/>
              </w:rPr>
              <w:t>，</w:t>
            </w:r>
            <w:r>
              <w:rPr>
                <w:rFonts w:hint="eastAsia" w:ascii="宋体" w:cs="宋体"/>
                <w:color w:val="auto"/>
                <w:sz w:val="21"/>
                <w:szCs w:val="21"/>
                <w:lang w:bidi="ar"/>
              </w:rPr>
              <w:t>北斗授时中心频率2491MHz</w:t>
            </w:r>
            <w:r>
              <w:rPr>
                <w:rFonts w:hint="eastAsia" w:ascii="宋体" w:cs="宋体"/>
                <w:color w:val="auto"/>
                <w:sz w:val="21"/>
                <w:szCs w:val="21"/>
                <w:lang w:bidi="ar"/>
              </w:rPr>
              <w:br w:type="textWrapping"/>
            </w:r>
            <w:r>
              <w:rPr>
                <w:rFonts w:hint="eastAsia" w:ascii="宋体" w:cs="宋体"/>
                <w:color w:val="auto"/>
                <w:sz w:val="21"/>
                <w:szCs w:val="21"/>
                <w:lang w:bidi="ar"/>
              </w:rPr>
              <w:t>CDMA授时中心频率800MHz。</w:t>
            </w:r>
          </w:p>
        </w:tc>
      </w:tr>
      <w:tr>
        <w:tblPrEx>
          <w:tblCellMar>
            <w:top w:w="0" w:type="dxa"/>
            <w:left w:w="0" w:type="dxa"/>
            <w:bottom w:w="0" w:type="dxa"/>
            <w:right w:w="0"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外接信号线</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1、</w:t>
            </w:r>
            <w:r>
              <w:rPr>
                <w:rFonts w:hint="eastAsia" w:ascii="宋体" w:cs="宋体"/>
                <w:color w:val="auto"/>
                <w:sz w:val="21"/>
                <w:szCs w:val="21"/>
                <w:lang w:bidi="ar"/>
              </w:rPr>
              <w:t>电缆名称:实芯聚乙烯绝缘同轴电缆。</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内导体结构:1/0.90±0.003mm。</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内导体标称截面：0.64 mm2。</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护套材料：聚氯乙烯；平均厚度：0.7mm；最薄点厚度：0.53mm。</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服务器raid卡</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PCIE,LSI9361-8i,2GB,raid5。</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（八）天网工程视频作战侦查平台升级扩容</w:t>
            </w:r>
          </w:p>
        </w:tc>
      </w:tr>
      <w:tr>
        <w:tblPrEx>
          <w:tblCellMar>
            <w:top w:w="0" w:type="dxa"/>
            <w:left w:w="0" w:type="dxa"/>
            <w:bottom w:w="0" w:type="dxa"/>
            <w:right w:w="0" w:type="dxa"/>
          </w:tblCellMar>
        </w:tblPrEx>
        <w:trPr>
          <w:trHeight w:val="27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1、视频图像信息数据库系统</w:t>
            </w:r>
          </w:p>
        </w:tc>
      </w:tr>
      <w:tr>
        <w:tblPrEx>
          <w:tblCellMar>
            <w:top w:w="0" w:type="dxa"/>
            <w:left w:w="0" w:type="dxa"/>
            <w:bottom w:w="0" w:type="dxa"/>
            <w:right w:w="0" w:type="dxa"/>
          </w:tblCellMar>
        </w:tblPrEx>
        <w:trPr>
          <w:trHeight w:val="27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硬件-大数据服务器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720" w:hRule="atLeast"/>
        </w:trPr>
        <w:tc>
          <w:tcPr>
            <w:tcW w:w="699"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大数据管理节点服务器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CPU：Intel Xeon E5-2660v4 *2，内存：DDR4 256GB，硬盘：600G 10K SAS *2，1T SAS *2，RAID控制器，4千兆网卡，冗余电源风扇；导轨；五年原厂质保，五年故障硬盘不返还。</w:t>
            </w:r>
          </w:p>
        </w:tc>
      </w:tr>
      <w:tr>
        <w:tblPrEx>
          <w:tblCellMar>
            <w:top w:w="0" w:type="dxa"/>
            <w:left w:w="0" w:type="dxa"/>
            <w:bottom w:w="0" w:type="dxa"/>
            <w:right w:w="0" w:type="dxa"/>
          </w:tblCellMar>
        </w:tblPrEx>
        <w:trPr>
          <w:trHeight w:val="720" w:hRule="atLeast"/>
        </w:trPr>
        <w:tc>
          <w:tcPr>
            <w:tcW w:w="699" w:type="dxa"/>
            <w:tcBorders>
              <w:top w:val="single" w:color="000000" w:sz="4" w:space="0"/>
              <w:left w:val="single" w:color="000000" w:sz="4" w:space="0"/>
              <w:bottom w:val="nil"/>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大数据数据节点服务器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CPU：Intel Xeon E5-2660v4 *2，内存：DDR4 128GB，硬盘：600G 10K SAS *2，2T SAS *10，RAID控制器，4千兆网卡，冗余电源风扇；导轨；五年原厂质保，五年故障硬盘不返还。</w:t>
            </w:r>
          </w:p>
        </w:tc>
      </w:tr>
      <w:tr>
        <w:tblPrEx>
          <w:tblCellMar>
            <w:top w:w="0" w:type="dxa"/>
            <w:left w:w="0" w:type="dxa"/>
            <w:bottom w:w="0" w:type="dxa"/>
            <w:right w:w="0" w:type="dxa"/>
          </w:tblCellMar>
        </w:tblPrEx>
        <w:trPr>
          <w:trHeight w:val="27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硬件-视图库服务器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r>
      <w:tr>
        <w:tblPrEx>
          <w:tblCellMar>
            <w:top w:w="0" w:type="dxa"/>
            <w:left w:w="0" w:type="dxa"/>
            <w:bottom w:w="0" w:type="dxa"/>
            <w:right w:w="0" w:type="dxa"/>
          </w:tblCellMar>
        </w:tblPrEx>
        <w:trPr>
          <w:trHeight w:val="480" w:hRule="atLeast"/>
        </w:trPr>
        <w:tc>
          <w:tcPr>
            <w:tcW w:w="699" w:type="dxa"/>
            <w:tcBorders>
              <w:top w:val="nil"/>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采集接口服务器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IntelXeon E5-2620 CPU，32G内存，2*600G SAS 10K 2.5”硬盘、RAID1，2*1G网卡，冗余电源风扇，自带光驱，导轨；五年原厂质保，五年故障硬盘不返还。</w:t>
            </w:r>
          </w:p>
        </w:tc>
      </w:tr>
      <w:tr>
        <w:tblPrEx>
          <w:tblCellMar>
            <w:top w:w="0" w:type="dxa"/>
            <w:left w:w="0" w:type="dxa"/>
            <w:bottom w:w="0" w:type="dxa"/>
            <w:right w:w="0" w:type="dxa"/>
          </w:tblCellMar>
        </w:tblPrEx>
        <w:trPr>
          <w:trHeight w:val="720" w:hRule="atLeast"/>
        </w:trPr>
        <w:tc>
          <w:tcPr>
            <w:tcW w:w="699"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采集接口管理服务器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IntelXeon E5-2620  CPU，64G内存，2*600G SAS 10K 2.5“硬盘、RAID1，2*10G网卡，含万兆模块，冗余电源风扇，自带光驱；导轨；五年原厂质保，五年故障硬盘不返还。</w:t>
            </w:r>
          </w:p>
        </w:tc>
      </w:tr>
      <w:tr>
        <w:tblPrEx>
          <w:tblCellMar>
            <w:top w:w="0" w:type="dxa"/>
            <w:left w:w="0" w:type="dxa"/>
            <w:bottom w:w="0" w:type="dxa"/>
            <w:right w:w="0" w:type="dxa"/>
          </w:tblCellMar>
        </w:tblPrEx>
        <w:trPr>
          <w:trHeight w:val="480" w:hRule="atLeast"/>
        </w:trPr>
        <w:tc>
          <w:tcPr>
            <w:tcW w:w="699" w:type="dxa"/>
            <w:tcBorders>
              <w:top w:val="nil"/>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服务接口服务器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IntelXeon E5-2620 CPU，32G内存，2*600G SAS 10K 2.5”硬盘、RAID1，2*1G网卡，冗余电源风扇，自带光驱，导轨；五年原厂质保，五年故障硬盘不返还。</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级联接口服务器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IntelXeon E5-2620 CPU，32G内存，2*600G SAS 10K 2.5”硬盘、RAID1，2*1G网卡，冗余电源风扇，自带光驱，导轨；五年原厂质保，五年故障硬盘不返还。</w:t>
            </w:r>
          </w:p>
        </w:tc>
      </w:tr>
      <w:tr>
        <w:tblPrEx>
          <w:tblCellMar>
            <w:top w:w="0" w:type="dxa"/>
            <w:left w:w="0" w:type="dxa"/>
            <w:bottom w:w="0" w:type="dxa"/>
            <w:right w:w="0" w:type="dxa"/>
          </w:tblCellMar>
        </w:tblPrEx>
        <w:trPr>
          <w:trHeight w:val="480" w:hRule="atLeast"/>
        </w:trPr>
        <w:tc>
          <w:tcPr>
            <w:tcW w:w="699" w:type="dxa"/>
            <w:tcBorders>
              <w:top w:val="nil"/>
              <w:left w:val="single" w:color="000000" w:sz="4"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应用服务器</w:t>
            </w:r>
          </w:p>
        </w:tc>
        <w:tc>
          <w:tcPr>
            <w:tcW w:w="644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IntelXeon E5-2620 CPU，32G内存，2*600G SAS 10K 2.5”硬盘、RAID1，2*1G网卡，冗余电源风扇，自带光驱，导轨；五年原厂质保，五年故障硬盘不返还。</w:t>
            </w:r>
          </w:p>
        </w:tc>
      </w:tr>
      <w:tr>
        <w:tblPrEx>
          <w:tblCellMar>
            <w:top w:w="0" w:type="dxa"/>
            <w:left w:w="0" w:type="dxa"/>
            <w:bottom w:w="0" w:type="dxa"/>
            <w:right w:w="0" w:type="dxa"/>
          </w:tblCellMar>
        </w:tblPrEx>
        <w:trPr>
          <w:trHeight w:val="270" w:hRule="atLeast"/>
        </w:trPr>
        <w:tc>
          <w:tcPr>
            <w:tcW w:w="2616" w:type="dxa"/>
            <w:gridSpan w:val="3"/>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软件-视频图像信息数据库</w:t>
            </w:r>
          </w:p>
        </w:tc>
        <w:tc>
          <w:tcPr>
            <w:tcW w:w="644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14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核心引擎</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基于公安部GA/T1400《公安视频图像信息应用系统》系列标准，以大数据平台为基础，基于Kafka消息队列和Sparkstreaming流处理技术，能够存储海量自动采集或人工采集的视频图像信息对象，并通过对存储对象的清洗、组织、梳理，为用户提供数据检索、数据共享、布控服务、统计分析等服务。支持县、市、省、部四级跨地区级联联网。支持与多个下级视图库或多个上级视图库级联联网，支持多级联网，实现视图库管理对象的订阅与服务；在采集接口、数据服务接口和级联接口之间提供高速数据交换服务。</w:t>
            </w:r>
          </w:p>
        </w:tc>
      </w:tr>
      <w:tr>
        <w:tblPrEx>
          <w:tblCellMar>
            <w:top w:w="0" w:type="dxa"/>
            <w:left w:w="0" w:type="dxa"/>
            <w:bottom w:w="0" w:type="dxa"/>
            <w:right w:w="0" w:type="dxa"/>
          </w:tblCellMar>
        </w:tblPrEx>
        <w:trPr>
          <w:trHeight w:val="31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通用应用门户</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1、</w:t>
            </w:r>
            <w:r>
              <w:rPr>
                <w:rFonts w:hint="eastAsia" w:ascii="宋体" w:cs="宋体"/>
                <w:color w:val="auto"/>
                <w:sz w:val="21"/>
                <w:szCs w:val="21"/>
                <w:lang w:bidi="ar"/>
              </w:rPr>
              <w:t>提供数据查询与检索、布控及告警、订阅与通知等应用门户，支持数据跨级查询。具备对用户、设备、日志等方面的管理界面。</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支持具备对特定移动目标对象的特征属性（如车牌号码、车型、颜色、空间区域等）及其组合进行在线布控功能，具备布控设置、告警响应、布控撤除等功能。</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支持对视图库中自动采集的视频图像信息、采集设备或系统的目录和状态、视频案事件信息等进行订阅、撤销订阅等，并能在接收到通知后自动实现同步。通过提供发布/订阅机制，实现对象信息的自动同步与共享。</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支持全文检索和级联检索。</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5、</w:t>
            </w:r>
            <w:r>
              <w:rPr>
                <w:rFonts w:hint="eastAsia" w:ascii="宋体" w:cs="宋体"/>
                <w:color w:val="auto"/>
                <w:sz w:val="21"/>
                <w:szCs w:val="21"/>
                <w:lang w:bidi="ar"/>
              </w:rPr>
              <w:t>提供用户业务数据及服务调用情况的查询、统计和分析，用户能根据这些报表准确了解整个视频图像信息数据库存储的对象内容及服务调用情况。</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6、</w:t>
            </w:r>
            <w:r>
              <w:rPr>
                <w:rFonts w:hint="eastAsia" w:ascii="宋体" w:cs="宋体"/>
                <w:color w:val="auto"/>
                <w:sz w:val="21"/>
                <w:szCs w:val="21"/>
                <w:lang w:bidi="ar"/>
              </w:rPr>
              <w:t>系统的报表管理功能包括定制报表、生成报表、打印/导出报表等功能。系统根据用户指定的报表内容和生成报表的时间，输出相应的报表，包括对采集接口、服务接口、级联接口的各类数据统计。</w:t>
            </w:r>
          </w:p>
        </w:tc>
      </w:tr>
      <w:tr>
        <w:tblPrEx>
          <w:tblCellMar>
            <w:top w:w="0" w:type="dxa"/>
            <w:left w:w="0" w:type="dxa"/>
            <w:bottom w:w="0" w:type="dxa"/>
            <w:right w:w="0" w:type="dxa"/>
          </w:tblCellMar>
        </w:tblPrEx>
        <w:trPr>
          <w:trHeight w:val="26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运维管理</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val="en-US" w:eastAsia="zh-CN" w:bidi="ar"/>
              </w:rPr>
              <w:t>1、</w:t>
            </w:r>
            <w:r>
              <w:rPr>
                <w:rFonts w:hint="eastAsia" w:ascii="宋体" w:cs="宋体"/>
                <w:color w:val="auto"/>
                <w:sz w:val="21"/>
                <w:szCs w:val="21"/>
                <w:lang w:bidi="ar"/>
              </w:rPr>
              <w:t>全方位展示视频图像信息数据库的内部构成、外部连接情况及数据走向，实时动态显示各服务或指令的运行状态，管理人员可一目了然的了解整个视频图像信息数据库的架构及实时运行状态，便于及时发现并处理异常故障。</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对用户、角色基本信息进行管理，控制用户角色的访问操作权限，包括用户管理、角色管理、组织管理等。</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对接入视频图像信息数据库的所有应用系统（如上下级视频图像信息数据库、应用平台、采集系统、第三方应用等）提供认证鉴权服务，未完成服务接口登记的系统将无法调用视频图像信息数据库的接口，保障接入系统的合法性。</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提供系统操作日志、运行日志的管理及检索、分析服务，运行日志包括视图库内服务模块的启动、停止，系统用户的注册、注销、对象删除操作等信息，操作日志包括管理用户登录、退出、配置操作等使用信息。</w:t>
            </w:r>
          </w:p>
        </w:tc>
      </w:tr>
      <w:tr>
        <w:tblPrEx>
          <w:tblCellMar>
            <w:top w:w="0" w:type="dxa"/>
            <w:left w:w="0" w:type="dxa"/>
            <w:bottom w:w="0" w:type="dxa"/>
            <w:right w:w="0"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采集接口集群服务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与前端采集设备或前端采集设备网关直接通信。前端设备将自动采集的视频图像及结构化数据实时上传到视图库中；前端设备状态及配置信息与视图库之间保持同步。前端设备将采集的视频图像信息数据通过网关实时上传到视图库中；前端设备状态通过网关与视图库之间保持同步。</w:t>
            </w:r>
          </w:p>
        </w:tc>
      </w:tr>
      <w:tr>
        <w:tblPrEx>
          <w:tblCellMar>
            <w:top w:w="0" w:type="dxa"/>
            <w:left w:w="0" w:type="dxa"/>
            <w:bottom w:w="0" w:type="dxa"/>
            <w:right w:w="0" w:type="dxa"/>
          </w:tblCellMar>
        </w:tblPrEx>
        <w:trPr>
          <w:trHeight w:val="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服务接口</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支持公安视频应用平台及各警种应用程序访问各种管理对象资源，实现以下功能：</w:t>
            </w:r>
          </w:p>
          <w:p>
            <w:pPr>
              <w:widowControl/>
              <w:numPr>
                <w:ilvl w:val="0"/>
                <w:numId w:val="31"/>
              </w:numPr>
              <w:jc w:val="left"/>
              <w:textAlignment w:val="center"/>
              <w:rPr>
                <w:rFonts w:hint="eastAsia" w:ascii="宋体" w:cs="宋体"/>
                <w:color w:val="auto"/>
                <w:sz w:val="21"/>
                <w:szCs w:val="21"/>
                <w:lang w:bidi="ar"/>
              </w:rPr>
            </w:pPr>
            <w:r>
              <w:rPr>
                <w:rFonts w:hint="eastAsia" w:ascii="宋体" w:cs="宋体"/>
                <w:color w:val="auto"/>
                <w:sz w:val="21"/>
                <w:szCs w:val="21"/>
                <w:lang w:bidi="ar"/>
              </w:rPr>
              <w:t>前端采集设备管理功能（前端设备直接接入）。</w:t>
            </w:r>
          </w:p>
          <w:p>
            <w:pPr>
              <w:widowControl/>
              <w:numPr>
                <w:ilvl w:val="0"/>
                <w:numId w:val="31"/>
              </w:numPr>
              <w:jc w:val="left"/>
              <w:textAlignment w:val="center"/>
              <w:rPr>
                <w:rFonts w:hint="eastAsia" w:ascii="宋体" w:cs="宋体"/>
                <w:color w:val="auto"/>
                <w:sz w:val="21"/>
                <w:szCs w:val="21"/>
              </w:rPr>
            </w:pPr>
            <w:r>
              <w:rPr>
                <w:rFonts w:hint="eastAsia" w:ascii="宋体" w:cs="宋体"/>
                <w:color w:val="auto"/>
                <w:sz w:val="21"/>
                <w:szCs w:val="21"/>
                <w:lang w:bidi="ar"/>
              </w:rPr>
              <w:t>前端采集设备网关管理功能（设备网关接入）。</w:t>
            </w:r>
          </w:p>
          <w:p>
            <w:pPr>
              <w:widowControl/>
              <w:numPr>
                <w:ilvl w:val="0"/>
                <w:numId w:val="31"/>
              </w:numPr>
              <w:jc w:val="left"/>
              <w:textAlignment w:val="center"/>
              <w:rPr>
                <w:rFonts w:hint="eastAsia" w:ascii="宋体" w:cs="宋体"/>
                <w:color w:val="auto"/>
                <w:sz w:val="21"/>
                <w:szCs w:val="21"/>
                <w:lang w:bidi="ar"/>
              </w:rPr>
            </w:pPr>
            <w:r>
              <w:rPr>
                <w:rFonts w:hint="eastAsia" w:ascii="宋体" w:cs="宋体"/>
                <w:color w:val="auto"/>
                <w:sz w:val="21"/>
                <w:szCs w:val="21"/>
                <w:lang w:bidi="ar"/>
              </w:rPr>
              <w:t>案事件信息采集导入、更新维护。</w:t>
            </w:r>
          </w:p>
          <w:p>
            <w:pPr>
              <w:widowControl/>
              <w:numPr>
                <w:ilvl w:val="0"/>
                <w:numId w:val="31"/>
              </w:numPr>
              <w:jc w:val="left"/>
              <w:textAlignment w:val="center"/>
              <w:rPr>
                <w:rFonts w:hint="eastAsia" w:ascii="宋体" w:cs="宋体"/>
                <w:color w:val="auto"/>
                <w:sz w:val="21"/>
                <w:szCs w:val="21"/>
              </w:rPr>
            </w:pPr>
            <w:r>
              <w:rPr>
                <w:rFonts w:hint="eastAsia" w:ascii="宋体" w:cs="宋体"/>
                <w:color w:val="auto"/>
                <w:sz w:val="21"/>
                <w:szCs w:val="21"/>
                <w:lang w:bidi="ar"/>
              </w:rPr>
              <w:t>数据查询。</w:t>
            </w:r>
          </w:p>
          <w:p>
            <w:pPr>
              <w:widowControl/>
              <w:numPr>
                <w:ilvl w:val="0"/>
                <w:numId w:val="31"/>
              </w:numPr>
              <w:jc w:val="left"/>
              <w:textAlignment w:val="center"/>
              <w:rPr>
                <w:rFonts w:hint="eastAsia" w:ascii="宋体" w:cs="宋体"/>
                <w:color w:val="auto"/>
                <w:sz w:val="21"/>
                <w:szCs w:val="21"/>
                <w:lang w:bidi="ar"/>
              </w:rPr>
            </w:pPr>
            <w:r>
              <w:rPr>
                <w:rFonts w:hint="eastAsia" w:ascii="宋体" w:cs="宋体"/>
                <w:color w:val="auto"/>
                <w:sz w:val="21"/>
                <w:szCs w:val="21"/>
                <w:lang w:bidi="ar"/>
              </w:rPr>
              <w:t>布控功能。</w:t>
            </w:r>
          </w:p>
          <w:p>
            <w:pPr>
              <w:widowControl/>
              <w:numPr>
                <w:ilvl w:val="0"/>
                <w:numId w:val="0"/>
              </w:numPr>
              <w:jc w:val="left"/>
              <w:textAlignment w:val="center"/>
              <w:rPr>
                <w:rFonts w:hint="eastAsia" w:ascii="宋体" w:cs="宋体"/>
                <w:color w:val="auto"/>
                <w:sz w:val="21"/>
                <w:szCs w:val="21"/>
              </w:rPr>
            </w:pPr>
            <w:r>
              <w:rPr>
                <w:rFonts w:hint="eastAsia" w:ascii="宋体" w:cs="宋体"/>
                <w:color w:val="auto"/>
                <w:sz w:val="21"/>
                <w:szCs w:val="21"/>
                <w:lang w:bidi="ar"/>
              </w:rPr>
              <w:t>6、订阅功能</w:t>
            </w:r>
          </w:p>
        </w:tc>
      </w:tr>
      <w:tr>
        <w:tblPrEx>
          <w:tblCellMar>
            <w:top w:w="0" w:type="dxa"/>
            <w:left w:w="0" w:type="dxa"/>
            <w:bottom w:w="0" w:type="dxa"/>
            <w:right w:w="0" w:type="dxa"/>
          </w:tblCellMar>
        </w:tblPrEx>
        <w:trPr>
          <w:trHeight w:val="965"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级联接口</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支持图像数据库之间上下级级联，完成多区域数据的集群功能，实现以下功能：</w:t>
            </w:r>
          </w:p>
          <w:p>
            <w:pPr>
              <w:widowControl/>
              <w:numPr>
                <w:ilvl w:val="0"/>
                <w:numId w:val="32"/>
              </w:numPr>
              <w:jc w:val="left"/>
              <w:textAlignment w:val="center"/>
              <w:rPr>
                <w:rFonts w:hint="eastAsia" w:ascii="宋体" w:cs="宋体"/>
                <w:color w:val="auto"/>
                <w:sz w:val="21"/>
                <w:szCs w:val="21"/>
                <w:lang w:bidi="ar"/>
              </w:rPr>
            </w:pPr>
            <w:r>
              <w:rPr>
                <w:rFonts w:hint="eastAsia" w:ascii="宋体" w:cs="宋体"/>
                <w:color w:val="auto"/>
                <w:sz w:val="21"/>
                <w:szCs w:val="21"/>
                <w:lang w:bidi="ar"/>
              </w:rPr>
              <w:t>前端采集设备状态同步功能：设备列表、设备状态上报及查询，订阅(基于采集设备)、通知同步（新增、修改、删除）。</w:t>
            </w:r>
          </w:p>
          <w:p>
            <w:pPr>
              <w:widowControl/>
              <w:numPr>
                <w:ilvl w:val="0"/>
                <w:numId w:val="32"/>
              </w:numPr>
              <w:jc w:val="left"/>
              <w:textAlignment w:val="center"/>
              <w:rPr>
                <w:rFonts w:hint="eastAsia" w:ascii="宋体" w:cs="宋体"/>
                <w:color w:val="auto"/>
                <w:sz w:val="21"/>
                <w:szCs w:val="21"/>
                <w:lang w:bidi="ar"/>
              </w:rPr>
            </w:pPr>
            <w:r>
              <w:rPr>
                <w:rFonts w:hint="eastAsia" w:ascii="宋体" w:cs="宋体"/>
                <w:color w:val="auto"/>
                <w:sz w:val="21"/>
                <w:szCs w:val="21"/>
                <w:lang w:bidi="ar"/>
              </w:rPr>
              <w:t>采集设备自动采集图像信息的订阅、订阅后触发通知的实时转发上报功能：对于采集接口上报的跨地域设备状态、视频图像（含人、车、物、图片、视频片断等信息）往上级图像库转发。</w:t>
            </w:r>
          </w:p>
          <w:p>
            <w:pPr>
              <w:widowControl/>
              <w:numPr>
                <w:ilvl w:val="0"/>
                <w:numId w:val="0"/>
              </w:numPr>
              <w:jc w:val="left"/>
              <w:textAlignment w:val="center"/>
              <w:rPr>
                <w:rFonts w:hint="eastAsia" w:ascii="宋体" w:cs="宋体"/>
                <w:color w:val="auto"/>
                <w:sz w:val="21"/>
                <w:szCs w:val="21"/>
              </w:rPr>
            </w:pPr>
            <w:r>
              <w:rPr>
                <w:rFonts w:hint="eastAsia" w:ascii="宋体" w:cs="宋体"/>
                <w:color w:val="auto"/>
                <w:sz w:val="21"/>
                <w:szCs w:val="21"/>
                <w:lang w:bidi="ar"/>
              </w:rPr>
              <w:t>3、分布式布控、上报；4、视频图像信息对象数据(设备、事件、案件及相关人、车、物、图片、视频、附件)的分布式查询获取：特定案件(基于案件ID)、案件目录信息的订阅(基于案件管理区域)、通知同步。</w:t>
            </w:r>
          </w:p>
        </w:tc>
      </w:tr>
      <w:tr>
        <w:tblPrEx>
          <w:tblCellMar>
            <w:top w:w="0" w:type="dxa"/>
            <w:left w:w="0" w:type="dxa"/>
            <w:bottom w:w="0" w:type="dxa"/>
            <w:right w:w="0"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数据接口</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通过二次开发，提供非标系统接入，实现数据采集、数据服务、数据级联等应。</w:t>
            </w:r>
          </w:p>
        </w:tc>
      </w:tr>
      <w:tr>
        <w:tblPrEx>
          <w:tblCellMar>
            <w:top w:w="0" w:type="dxa"/>
            <w:left w:w="0" w:type="dxa"/>
            <w:bottom w:w="0" w:type="dxa"/>
            <w:right w:w="0" w:type="dxa"/>
          </w:tblCellMar>
        </w:tblPrEx>
        <w:trPr>
          <w:trHeight w:val="27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软件-视频大数据平台</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cs="宋体"/>
                <w:color w:val="auto"/>
                <w:sz w:val="21"/>
                <w:szCs w:val="21"/>
              </w:rPr>
            </w:pP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大数据存储服务基础框架-分布式文件系统</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提供一个高度容错的分布式文件系统HDFS，设计用于在低成本硬件上运行</w:t>
            </w:r>
            <w:r>
              <w:rPr>
                <w:rFonts w:hint="eastAsia" w:ascii="宋体" w:cs="宋体"/>
                <w:color w:val="auto"/>
                <w:sz w:val="21"/>
                <w:szCs w:val="21"/>
                <w:lang w:eastAsia="zh-CN" w:bidi="ar"/>
              </w:rPr>
              <w:t>，</w:t>
            </w:r>
            <w:r>
              <w:rPr>
                <w:rFonts w:hint="eastAsia" w:ascii="宋体" w:cs="宋体"/>
                <w:color w:val="auto"/>
                <w:sz w:val="21"/>
                <w:szCs w:val="21"/>
                <w:lang w:bidi="ar"/>
              </w:rPr>
              <w:t>提供高吞吐读写能力。</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大数据存储服务基础框架-分布式数据库服务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支持部署分布式数据库框架（Hbase+Hive），支持海量结构化和非结构化数据管理，通过大数据技术来进行高并发、高效能的数据读写，支持毫秒级的响应。</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大数据数据处理框架-集群管理监控框架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支持部署ZooKeeper，集群管理监控系统，统一管理集群内各类型节点，提供数据同步、分组，机器健康状况监控。</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大数据数据处理框架-流式计算框架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提供Spark批量方式的计算和处理，主要用于处理实时的流数据。保证了数据的完整性、实时性、高吞吐和可容错性。</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大数据数据处理框架-离线计算框架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分布式数据处理计算模型MR，支持海量数据的离线处理。</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大数据数据处理框架-分布式内存计算框架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支持采用内存计算框架Impala，提供基于内存的高性能计算。性能是MR的10倍以上。用于大部分高性能计算需求。</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大数据数据处理框架-分布式消息队列框架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支持高吞吐量的分布式发布订阅Kafka消息系统，通常被集成到应用系统中,收集"用户行为日志"等,并可以使用各种消费终端将消息转存分布式存储系统中。</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大数据数据处理框架-分布式数据搜索框架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支持分布式，高效的ES搜索引擎。设计用于云计算中，能够达到实时搜索，稳定，可靠，快速，安装使用方便。支持通过HTTP使用JSON进行数据索引。</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大数据数据处理框架-分布式数据挖掘框架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采用GraphX等图计算、机器学习、神经网络技术，支持分布式框架部署，对结构化、非结构化、半结构化数据的进行挖掘，提供分类、估计、预测、相关性关联等数据分析功能。</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17</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资源调度服务-资源调度系统</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根据分布式系统的资源情况和用户需求提供统一的资源调度，合理的安排任务，提供了三种调度策略：CapacityScheduler，FIFO Scheduler,FairScheduler。</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资源调度服务-集群命名同步管理服务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提供分布式服务框架主要是用来解决分布式应用中经常遇到的一些数据管理问题，如：统一命名服务、状态同步服务、集群管理、分布式应用配置项的管理等。</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资源调度服务-集群管理监控框架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支持集群管理监控系统，统一管理集群内各类型节点，提供磁盘、CPU、内存、网络等健康状况监控。</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安全保障服务-故障兼容服务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服务支持在任一节点掉线、断电、停止运行情况下，集群业务仍可运行，数据不丢失。</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安全保障服务-进程守护服务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监视关键进程运行情况，自动重启崩溃的进程。</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22</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安全保障服务-数据恢复服务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支持数据多副本存储，支持数据备份、回复功能。</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23</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安全保障服务-在线扩展服务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支持在线扩增一台或多台服务器。</w:t>
            </w:r>
          </w:p>
        </w:tc>
      </w:tr>
      <w:tr>
        <w:tblPrEx>
          <w:tblCellMar>
            <w:top w:w="0" w:type="dxa"/>
            <w:left w:w="0" w:type="dxa"/>
            <w:bottom w:w="0" w:type="dxa"/>
            <w:right w:w="0"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24</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数据运维管理-集群容错</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通过集群技术，解决面临突发灾害事故时系统崩溃的传统问题，保障系统的长期正常工作。</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数据运维管理-状态监控服务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支持节点设备运行状态监控：CPU、硬盘IO、网络状况、节点在线状况。</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26</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数据运维管理-日志采集服务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支持大数据平台基础架构各框架服务的信息采集、汇总、展现。</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27</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数据运维管理-用户鉴权服务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支持用户账号创建、注销、修改等管理，支持账号使用过程中的鉴权服务。</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28</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数据运维管理-界面化安装服务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支持向导式的安装界面，快速搭建系统；一键式部署集群服务，配置操作简单；服务交付时间小于35mins。</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29</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数据运维管理-运维系统软件</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提供可视化的管理界面，直观、便捷地提供集群日常维护和扩容操作。</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30</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数据运维管理-应用监控服务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监控在平台中运行的应用情况，提供监控接口可接入自定义应用。</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31</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数据运维管理-数据监控服务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监控平台接入的数据，包括每分钟，每小时，每天的接入量。</w:t>
            </w:r>
          </w:p>
        </w:tc>
      </w:tr>
      <w:tr>
        <w:tblPrEx>
          <w:tblCellMar>
            <w:top w:w="0" w:type="dxa"/>
            <w:left w:w="0" w:type="dxa"/>
            <w:bottom w:w="0" w:type="dxa"/>
            <w:right w:w="0"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32</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大数据应用服务-海量数据检索服务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海量检索引擎，可通过横向扩展用于解决超百亿数据的检索性能问题，再是通过定制解决传统数据库面向单一数据表源问题，海量检索引擎可对关键字检索返回相关多个维度多表的复合汇总结果。</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33</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大数据应用服务-大数据挖掘服务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利用大数据挖掘的相关算法，对人、车、物多维数据进行分析和关联关系挖掘，服务于数据碰撞应用模型。</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34</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大数据应用服务-大数据分析服务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针对海量数据构建数据关系，通过大数据分析服务引擎，挖掘数据关系，保证数据碰撞模型的建设。</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35</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大数据应用服务-大数据采集服务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利用大数据技术，可采集关系型数据库中数据到大数据平台。</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36</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大数据应用服务-数据资源服务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提供统一的数据服务接口，对外提供查询服务，可供各业务系统使用，并统计生成报表</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37</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大数据应用服务-可视化分析服务</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提供可视化的分析服务，对多种数据进行关联分析。</w:t>
            </w:r>
          </w:p>
        </w:tc>
      </w:tr>
      <w:tr>
        <w:tblPrEx>
          <w:tblCellMar>
            <w:top w:w="0" w:type="dxa"/>
            <w:left w:w="0" w:type="dxa"/>
            <w:bottom w:w="0" w:type="dxa"/>
            <w:right w:w="0" w:type="dxa"/>
          </w:tblCellMar>
        </w:tblPrEx>
        <w:trPr>
          <w:trHeight w:val="27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2、视频作战侦查平台软硬件升级扩容</w:t>
            </w:r>
          </w:p>
        </w:tc>
      </w:tr>
      <w:tr>
        <w:tblPrEx>
          <w:tblCellMar>
            <w:top w:w="0" w:type="dxa"/>
            <w:left w:w="0" w:type="dxa"/>
            <w:bottom w:w="0" w:type="dxa"/>
            <w:right w:w="0" w:type="dxa"/>
          </w:tblCellMar>
        </w:tblPrEx>
        <w:trPr>
          <w:trHeight w:val="27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硬件-实战平台硬件升级</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运算服务器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IntelXeon E5-2640 CPU*2，64G内存，8*600G SAS 15K 2.5”硬盘、RAID5，2*1G网卡，冗余电源风扇，自带光驱，导轨；五年原厂质保，五年故障硬盘不返还。</w:t>
            </w:r>
          </w:p>
        </w:tc>
      </w:tr>
      <w:tr>
        <w:tblPrEx>
          <w:tblCellMar>
            <w:top w:w="0" w:type="dxa"/>
            <w:left w:w="0" w:type="dxa"/>
            <w:bottom w:w="0" w:type="dxa"/>
            <w:right w:w="0" w:type="dxa"/>
          </w:tblCellMar>
        </w:tblPrEx>
        <w:trPr>
          <w:trHeight w:val="48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应用服务器</w:t>
            </w:r>
          </w:p>
        </w:tc>
        <w:tc>
          <w:tcPr>
            <w:tcW w:w="6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IntelXeon E5-2640 CPU*2，64G内存，8*600G SAS 15K 2.5”硬盘、RAID5，2*1G网卡，冗余电源风扇，自带光驱，导轨；五年原厂质保，五年故障硬盘不返还。</w:t>
            </w:r>
          </w:p>
        </w:tc>
      </w:tr>
      <w:tr>
        <w:tblPrEx>
          <w:tblCellMar>
            <w:top w:w="0" w:type="dxa"/>
            <w:left w:w="0" w:type="dxa"/>
            <w:bottom w:w="0" w:type="dxa"/>
            <w:right w:w="0" w:type="dxa"/>
          </w:tblCellMar>
        </w:tblPrEx>
        <w:trPr>
          <w:trHeight w:val="270" w:hRule="atLeast"/>
        </w:trPr>
        <w:tc>
          <w:tcPr>
            <w:tcW w:w="2616" w:type="dxa"/>
            <w:gridSpan w:val="3"/>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软件-实战平台软件升级</w:t>
            </w:r>
          </w:p>
        </w:tc>
        <w:tc>
          <w:tcPr>
            <w:tcW w:w="644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cs="宋体"/>
                <w:color w:val="auto"/>
                <w:sz w:val="21"/>
                <w:szCs w:val="21"/>
              </w:rPr>
            </w:pPr>
          </w:p>
        </w:tc>
      </w:tr>
      <w:tr>
        <w:tblPrEx>
          <w:tblCellMar>
            <w:top w:w="0" w:type="dxa"/>
            <w:left w:w="0" w:type="dxa"/>
            <w:bottom w:w="0" w:type="dxa"/>
            <w:right w:w="0" w:type="dxa"/>
          </w:tblCellMar>
        </w:tblPrEx>
        <w:trPr>
          <w:trHeight w:val="1625" w:hRule="atLeast"/>
        </w:trPr>
        <w:tc>
          <w:tcPr>
            <w:tcW w:w="6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功能升级</w:t>
            </w:r>
          </w:p>
        </w:tc>
        <w:tc>
          <w:tcPr>
            <w:tcW w:w="64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本次升级结合仙居县实战应用建设实际情况，保持系统的先进性、安全性、开放性和可扩展性，使系统在一定时期内能满足仙居公安业务发展的需要。平台以浙江省厅视频图像信息实战应用基础平台和台州市局视频作战侦查新平台为蓝本，加强界面的图形化、便捷化、规范化设计，简化操作交互流程，优化升级平台业务功能，提升视频侦查应用水平。</w:t>
            </w:r>
            <w:r>
              <w:rPr>
                <w:rFonts w:hint="eastAsia" w:ascii="宋体" w:cs="宋体"/>
                <w:color w:val="auto"/>
                <w:sz w:val="21"/>
                <w:szCs w:val="21"/>
                <w:lang w:bidi="ar"/>
              </w:rPr>
              <w:br w:type="textWrapping"/>
            </w:r>
            <w:r>
              <w:rPr>
                <w:rFonts w:hint="eastAsia" w:ascii="宋体" w:cs="宋体"/>
                <w:color w:val="auto"/>
                <w:sz w:val="21"/>
                <w:szCs w:val="21"/>
                <w:lang w:bidi="ar"/>
              </w:rPr>
              <w:t>1、对接省厅高德在线地图，提供高精度地理数据查询服务。</w:t>
            </w:r>
            <w:r>
              <w:rPr>
                <w:rFonts w:hint="eastAsia" w:ascii="宋体" w:cs="宋体"/>
                <w:color w:val="auto"/>
                <w:sz w:val="21"/>
                <w:szCs w:val="21"/>
                <w:lang w:bidi="ar"/>
              </w:rPr>
              <w:br w:type="textWrapping"/>
            </w:r>
            <w:r>
              <w:rPr>
                <w:rFonts w:hint="eastAsia" w:ascii="宋体" w:cs="宋体"/>
                <w:color w:val="auto"/>
                <w:sz w:val="21"/>
                <w:szCs w:val="21"/>
                <w:lang w:bidi="ar"/>
              </w:rPr>
              <w:t>2、部署离线地图，加强视频专网应用能力。</w:t>
            </w:r>
            <w:r>
              <w:rPr>
                <w:rFonts w:hint="eastAsia" w:ascii="宋体" w:cs="宋体"/>
                <w:color w:val="auto"/>
                <w:sz w:val="21"/>
                <w:szCs w:val="21"/>
                <w:lang w:bidi="ar"/>
              </w:rPr>
              <w:br w:type="textWrapping"/>
            </w:r>
            <w:r>
              <w:rPr>
                <w:rFonts w:hint="eastAsia" w:ascii="宋体" w:cs="宋体"/>
                <w:color w:val="auto"/>
                <w:sz w:val="21"/>
                <w:szCs w:val="21"/>
                <w:lang w:bidi="ar"/>
              </w:rPr>
              <w:t>3、提供全局导视图，可面向全市范围的资源管控，支持对视频点位、车辆卡口、过车流量等信息进行实时监测管理，帮助市局从宏观到微观了解最新系统运行情况，为操作人员提供信息全面、形式多样的全县资源状况立体化展示。</w:t>
            </w:r>
            <w:r>
              <w:rPr>
                <w:rFonts w:hint="eastAsia" w:ascii="宋体" w:cs="宋体"/>
                <w:color w:val="auto"/>
                <w:sz w:val="21"/>
                <w:szCs w:val="21"/>
                <w:lang w:bidi="ar"/>
              </w:rPr>
              <w:br w:type="textWrapping"/>
            </w:r>
            <w:r>
              <w:rPr>
                <w:rFonts w:hint="eastAsia" w:ascii="宋体" w:cs="宋体"/>
                <w:color w:val="auto"/>
                <w:sz w:val="21"/>
                <w:szCs w:val="21"/>
                <w:lang w:bidi="ar"/>
              </w:rPr>
              <w:t>4、车辆应用是平台的重要组成部分，本次升级以深化应用为理念，在优化原有车辆技战法基础上，扩展新的技战法，提升车辆侦查分析应用水平。</w:t>
            </w:r>
            <w:r>
              <w:rPr>
                <w:rFonts w:hint="eastAsia" w:ascii="宋体" w:cs="宋体"/>
                <w:color w:val="auto"/>
                <w:sz w:val="21"/>
                <w:szCs w:val="21"/>
                <w:lang w:bidi="ar"/>
              </w:rPr>
              <w:br w:type="textWrapping"/>
            </w:r>
            <w:r>
              <w:rPr>
                <w:rFonts w:hint="eastAsia" w:ascii="宋体" w:cs="宋体"/>
                <w:color w:val="auto"/>
                <w:sz w:val="21"/>
                <w:szCs w:val="21"/>
                <w:lang w:bidi="ar"/>
              </w:rPr>
              <w:t>5、支持谷歌浏览器，彻底抛弃IE各版本的不兼容和加载页面的低效率；系统摒弃控件模式，对系统所有控件相关的业务模式和原有控件的加载方式进行调整，重新开发视频等各种组件，适应谷歌浏览器的应用。</w:t>
            </w:r>
            <w:r>
              <w:rPr>
                <w:rFonts w:hint="eastAsia" w:ascii="宋体" w:cs="宋体"/>
                <w:color w:val="auto"/>
                <w:sz w:val="21"/>
                <w:szCs w:val="21"/>
                <w:lang w:bidi="ar"/>
              </w:rPr>
              <w:br w:type="textWrapping"/>
            </w:r>
            <w:r>
              <w:rPr>
                <w:rFonts w:hint="eastAsia" w:ascii="宋体" w:cs="宋体"/>
                <w:color w:val="auto"/>
                <w:sz w:val="21"/>
                <w:szCs w:val="21"/>
                <w:lang w:bidi="ar"/>
              </w:rPr>
              <w:t>6、在本地环境支持的情况下，部署一年内可承诺免费开发市局平台的升级功能。</w:t>
            </w:r>
          </w:p>
        </w:tc>
      </w:tr>
      <w:tr>
        <w:tblPrEx>
          <w:tblCellMar>
            <w:top w:w="0" w:type="dxa"/>
            <w:left w:w="0" w:type="dxa"/>
            <w:bottom w:w="0" w:type="dxa"/>
            <w:right w:w="0" w:type="dxa"/>
          </w:tblCellMar>
        </w:tblPrEx>
        <w:trPr>
          <w:trHeight w:val="240" w:hRule="atLeast"/>
        </w:trPr>
        <w:tc>
          <w:tcPr>
            <w:tcW w:w="9056"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（九）转码网关</w:t>
            </w:r>
          </w:p>
        </w:tc>
      </w:tr>
      <w:tr>
        <w:tblPrEx>
          <w:tblCellMar>
            <w:top w:w="0" w:type="dxa"/>
            <w:left w:w="0" w:type="dxa"/>
            <w:bottom w:w="0" w:type="dxa"/>
            <w:right w:w="0" w:type="dxa"/>
          </w:tblCellMar>
        </w:tblPrEx>
        <w:trPr>
          <w:trHeight w:val="4320" w:hRule="atLeast"/>
        </w:trPr>
        <w:tc>
          <w:tcPr>
            <w:tcW w:w="6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平台联网网关</w:t>
            </w:r>
          </w:p>
        </w:tc>
        <w:tc>
          <w:tcPr>
            <w:tcW w:w="64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1、</w:t>
            </w:r>
            <w:r>
              <w:rPr>
                <w:rFonts w:hint="eastAsia" w:ascii="宋体" w:cs="宋体"/>
                <w:color w:val="auto"/>
                <w:sz w:val="21"/>
                <w:szCs w:val="21"/>
                <w:lang w:bidi="ar"/>
              </w:rPr>
              <w:t>支持GB/T 28181标准协议，集成信令网关服务、安全认证和日志管理等功能；将多个独立的符合GB/T 28181的平台无缝连接，实现跨平台的音频、视频实时访问和存储、回放、下载等各种业务；支持GB/T 28181-2016标准；支持实时音视频预览；支持录像检索和回放；支持告警和订阅；支持日志管理；支持web管理；支持统一网管。</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系统参数</w:t>
            </w:r>
            <w:r>
              <w:rPr>
                <w:rFonts w:hint="eastAsia" w:ascii="宋体" w:cs="宋体"/>
                <w:color w:val="auto"/>
                <w:sz w:val="21"/>
                <w:szCs w:val="21"/>
                <w:lang w:eastAsia="zh-CN" w:bidi="ar"/>
              </w:rPr>
              <w:t>：</w:t>
            </w:r>
            <w:r>
              <w:rPr>
                <w:rFonts w:hint="eastAsia" w:ascii="宋体" w:cs="宋体"/>
                <w:color w:val="auto"/>
                <w:sz w:val="21"/>
                <w:szCs w:val="21"/>
                <w:lang w:bidi="ar"/>
              </w:rPr>
              <w:t>主处理器 2颗IntelXeonE5-2620v4</w:t>
            </w:r>
            <w:r>
              <w:rPr>
                <w:rFonts w:hint="eastAsia" w:ascii="宋体" w:cs="宋体"/>
                <w:color w:val="auto"/>
                <w:sz w:val="21"/>
                <w:szCs w:val="21"/>
                <w:lang w:eastAsia="zh-CN" w:bidi="ar"/>
              </w:rPr>
              <w:t>；</w:t>
            </w:r>
            <w:r>
              <w:rPr>
                <w:rFonts w:hint="eastAsia" w:ascii="宋体" w:cs="宋体"/>
                <w:color w:val="auto"/>
                <w:sz w:val="21"/>
                <w:szCs w:val="21"/>
                <w:lang w:bidi="ar"/>
              </w:rPr>
              <w:t>操作系统 Red Hat Enterprise Linux 64 位</w:t>
            </w:r>
            <w:r>
              <w:rPr>
                <w:rFonts w:hint="eastAsia" w:ascii="宋体" w:cs="宋体"/>
                <w:color w:val="auto"/>
                <w:sz w:val="21"/>
                <w:szCs w:val="21"/>
                <w:lang w:eastAsia="zh-CN" w:bidi="ar"/>
              </w:rPr>
              <w:t>；</w:t>
            </w:r>
            <w:r>
              <w:rPr>
                <w:rFonts w:hint="eastAsia" w:ascii="宋体" w:cs="宋体"/>
                <w:color w:val="auto"/>
                <w:sz w:val="21"/>
                <w:szCs w:val="21"/>
                <w:lang w:bidi="ar"/>
              </w:rPr>
              <w:t>内存 Dual channel DDR4 ECC,64Gb</w:t>
            </w:r>
            <w:r>
              <w:rPr>
                <w:rFonts w:hint="eastAsia" w:ascii="宋体" w:cs="宋体"/>
                <w:color w:val="auto"/>
                <w:sz w:val="21"/>
                <w:szCs w:val="21"/>
                <w:lang w:bidi="ar"/>
              </w:rPr>
              <w:br w:type="textWrapping"/>
            </w:r>
            <w:r>
              <w:rPr>
                <w:rFonts w:hint="eastAsia" w:ascii="宋体" w:cs="宋体"/>
                <w:color w:val="auto"/>
                <w:sz w:val="21"/>
                <w:szCs w:val="21"/>
                <w:lang w:bidi="ar"/>
              </w:rPr>
              <w:t>硬盘 4块SAS 2.5"，15000RPM,600G</w:t>
            </w:r>
            <w:r>
              <w:rPr>
                <w:rFonts w:hint="eastAsia" w:ascii="宋体" w:cs="宋体"/>
                <w:color w:val="auto"/>
                <w:sz w:val="21"/>
                <w:szCs w:val="21"/>
                <w:lang w:eastAsia="zh-CN" w:bidi="ar"/>
              </w:rPr>
              <w:t>；</w:t>
            </w:r>
            <w:r>
              <w:rPr>
                <w:rFonts w:hint="eastAsia" w:ascii="宋体" w:cs="宋体"/>
                <w:color w:val="auto"/>
                <w:sz w:val="21"/>
                <w:szCs w:val="21"/>
                <w:lang w:bidi="ar"/>
              </w:rPr>
              <w:t>产品性能 级联协议 GB/T 28181-2016</w:t>
            </w:r>
            <w:r>
              <w:rPr>
                <w:rFonts w:hint="eastAsia" w:ascii="宋体" w:cs="宋体"/>
                <w:color w:val="auto"/>
                <w:sz w:val="21"/>
                <w:szCs w:val="21"/>
                <w:lang w:eastAsia="zh-CN" w:bidi="ar"/>
              </w:rPr>
              <w:t>；</w:t>
            </w:r>
            <w:r>
              <w:rPr>
                <w:rFonts w:hint="eastAsia" w:ascii="宋体" w:cs="宋体"/>
                <w:color w:val="auto"/>
                <w:sz w:val="21"/>
                <w:szCs w:val="21"/>
                <w:lang w:bidi="ar"/>
              </w:rPr>
              <w:t>级联点位数 12 万。</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网络接口 2个RJ45，10M/100M/1000M 自适应以太网口</w:t>
            </w:r>
            <w:r>
              <w:rPr>
                <w:rFonts w:hint="eastAsia" w:ascii="宋体" w:cs="宋体"/>
                <w:color w:val="auto"/>
                <w:sz w:val="21"/>
                <w:szCs w:val="21"/>
                <w:lang w:eastAsia="zh-CN" w:bidi="ar"/>
              </w:rPr>
              <w:t>；</w:t>
            </w:r>
            <w:r>
              <w:rPr>
                <w:rFonts w:hint="eastAsia" w:ascii="宋体" w:cs="宋体"/>
                <w:color w:val="auto"/>
                <w:sz w:val="21"/>
                <w:szCs w:val="21"/>
                <w:lang w:bidi="ar"/>
              </w:rPr>
              <w:t>USB 接口 2个USB3.0前置接口，2个USB3.0后置接口</w:t>
            </w:r>
            <w:r>
              <w:rPr>
                <w:rFonts w:hint="eastAsia" w:ascii="宋体" w:cs="宋体"/>
                <w:color w:val="auto"/>
                <w:sz w:val="21"/>
                <w:szCs w:val="21"/>
                <w:lang w:eastAsia="zh-CN" w:bidi="ar"/>
              </w:rPr>
              <w:t>；</w:t>
            </w:r>
            <w:r>
              <w:rPr>
                <w:rFonts w:hint="eastAsia" w:ascii="宋体" w:cs="宋体"/>
                <w:color w:val="auto"/>
                <w:sz w:val="21"/>
                <w:szCs w:val="21"/>
                <w:lang w:bidi="ar"/>
              </w:rPr>
              <w:t>VGA 输出口 1 个</w:t>
            </w:r>
            <w:r>
              <w:rPr>
                <w:rFonts w:hint="eastAsia" w:ascii="宋体" w:cs="宋体"/>
                <w:color w:val="auto"/>
                <w:sz w:val="21"/>
                <w:szCs w:val="21"/>
                <w:lang w:bidi="ar"/>
              </w:rPr>
              <w:br w:type="textWrapping"/>
            </w:r>
            <w:r>
              <w:rPr>
                <w:rFonts w:hint="eastAsia" w:ascii="宋体" w:cs="宋体"/>
                <w:color w:val="auto"/>
                <w:sz w:val="21"/>
                <w:szCs w:val="21"/>
                <w:lang w:bidi="ar"/>
              </w:rPr>
              <w:t>常见参数 电源 AC220V，550W,内置，1+1 冗余</w:t>
            </w:r>
            <w:r>
              <w:rPr>
                <w:rFonts w:hint="eastAsia" w:ascii="宋体" w:cs="宋体"/>
                <w:color w:val="auto"/>
                <w:sz w:val="21"/>
                <w:szCs w:val="21"/>
                <w:lang w:eastAsia="zh-CN" w:bidi="ar"/>
              </w:rPr>
              <w:t>。</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工作温度 0℃--＋40℃</w:t>
            </w:r>
            <w:r>
              <w:rPr>
                <w:rFonts w:hint="eastAsia" w:ascii="宋体" w:cs="宋体"/>
                <w:color w:val="auto"/>
                <w:sz w:val="21"/>
                <w:szCs w:val="21"/>
                <w:lang w:eastAsia="zh-CN" w:bidi="ar"/>
              </w:rPr>
              <w:t>，</w:t>
            </w:r>
            <w:r>
              <w:rPr>
                <w:rFonts w:hint="eastAsia" w:ascii="宋体" w:cs="宋体"/>
                <w:color w:val="auto"/>
                <w:sz w:val="21"/>
                <w:szCs w:val="21"/>
                <w:lang w:bidi="ar"/>
              </w:rPr>
              <w:t>工作湿度 10％--90％</w:t>
            </w:r>
            <w:r>
              <w:rPr>
                <w:rFonts w:hint="eastAsia" w:ascii="宋体" w:cs="宋体"/>
                <w:color w:val="auto"/>
                <w:sz w:val="21"/>
                <w:szCs w:val="21"/>
                <w:lang w:eastAsia="zh-CN" w:bidi="ar"/>
              </w:rPr>
              <w:t>，</w:t>
            </w:r>
            <w:r>
              <w:rPr>
                <w:rFonts w:hint="eastAsia" w:ascii="宋体" w:cs="宋体"/>
                <w:color w:val="auto"/>
                <w:sz w:val="21"/>
                <w:szCs w:val="21"/>
                <w:lang w:bidi="ar"/>
              </w:rPr>
              <w:t>尺寸 19英寸标准 2U机箱，做RAID5。</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w:t>
            </w:r>
            <w:r>
              <w:rPr>
                <w:rFonts w:hint="eastAsia" w:ascii="宋体" w:cs="宋体"/>
                <w:color w:val="auto"/>
                <w:sz w:val="21"/>
                <w:szCs w:val="21"/>
                <w:lang w:val="en-US" w:eastAsia="zh-CN" w:bidi="ar"/>
              </w:rPr>
              <w:t>5、</w:t>
            </w:r>
            <w:r>
              <w:rPr>
                <w:rFonts w:hint="eastAsia" w:ascii="宋体" w:cs="宋体"/>
                <w:color w:val="auto"/>
                <w:sz w:val="21"/>
                <w:szCs w:val="21"/>
                <w:lang w:bidi="ar"/>
              </w:rPr>
              <w:t>需无缝接入台州公安天网视频作战侦查平台，出具</w:t>
            </w:r>
            <w:r>
              <w:rPr>
                <w:rFonts w:hint="eastAsia" w:ascii="宋体" w:cs="宋体"/>
                <w:color w:val="auto"/>
                <w:sz w:val="21"/>
                <w:szCs w:val="21"/>
                <w:lang w:eastAsia="zh-CN" w:bidi="ar"/>
              </w:rPr>
              <w:t>天网</w:t>
            </w:r>
            <w:r>
              <w:rPr>
                <w:rFonts w:hint="eastAsia" w:ascii="宋体" w:cs="宋体"/>
                <w:color w:val="auto"/>
                <w:sz w:val="21"/>
                <w:szCs w:val="21"/>
                <w:lang w:bidi="ar"/>
              </w:rPr>
              <w:t>平台</w:t>
            </w:r>
            <w:r>
              <w:rPr>
                <w:rFonts w:hint="eastAsia" w:ascii="宋体" w:cs="宋体"/>
                <w:color w:val="auto"/>
                <w:sz w:val="21"/>
                <w:szCs w:val="21"/>
                <w:lang w:eastAsia="zh-CN" w:bidi="ar"/>
              </w:rPr>
              <w:t>服务</w:t>
            </w:r>
            <w:r>
              <w:rPr>
                <w:rFonts w:hint="eastAsia" w:ascii="宋体" w:cs="宋体"/>
                <w:color w:val="auto"/>
                <w:sz w:val="21"/>
                <w:szCs w:val="21"/>
                <w:lang w:bidi="ar"/>
              </w:rPr>
              <w:t>厂家无缝接入证明</w:t>
            </w:r>
            <w:r>
              <w:rPr>
                <w:rFonts w:hint="eastAsia" w:ascii="宋体" w:cs="宋体"/>
                <w:color w:val="auto"/>
                <w:sz w:val="21"/>
                <w:szCs w:val="21"/>
                <w:lang w:eastAsia="zh-CN" w:bidi="ar"/>
              </w:rPr>
              <w:t>，</w:t>
            </w:r>
            <w:r>
              <w:rPr>
                <w:rFonts w:hint="eastAsia" w:ascii="宋体" w:cs="宋体"/>
                <w:color w:val="auto"/>
                <w:sz w:val="21"/>
                <w:szCs w:val="21"/>
                <w:lang w:bidi="ar"/>
              </w:rPr>
              <w:t>保修五年</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5040" w:hRule="atLeast"/>
        </w:trPr>
        <w:tc>
          <w:tcPr>
            <w:tcW w:w="69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1917"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媒体服务网关</w:t>
            </w:r>
          </w:p>
        </w:tc>
        <w:tc>
          <w:tcPr>
            <w:tcW w:w="64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1、</w:t>
            </w:r>
            <w:r>
              <w:rPr>
                <w:rFonts w:hint="eastAsia" w:ascii="宋体" w:cs="宋体"/>
                <w:color w:val="auto"/>
                <w:sz w:val="21"/>
                <w:szCs w:val="21"/>
                <w:lang w:bidi="ar"/>
              </w:rPr>
              <w:t>支持GB/T 28181标准协议，集成各种非标码流到标准码流的转换、分发和管理功能；配合平台联网网关实现音视频在多个级联平台间的预览和录像回放、下载功能；支持GB/T 28181-2016标准；全面支持高清、标清视频格式；支持TCP、UDP协议；支持RTP格式；支持负载均衡；支持统一网管。</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2、</w:t>
            </w:r>
            <w:r>
              <w:rPr>
                <w:rFonts w:hint="eastAsia" w:ascii="宋体" w:cs="宋体"/>
                <w:color w:val="auto"/>
                <w:sz w:val="21"/>
                <w:szCs w:val="21"/>
                <w:lang w:bidi="ar"/>
              </w:rPr>
              <w:t>系统参数</w:t>
            </w:r>
            <w:r>
              <w:rPr>
                <w:rFonts w:hint="eastAsia" w:ascii="宋体" w:cs="宋体"/>
                <w:color w:val="auto"/>
                <w:sz w:val="21"/>
                <w:szCs w:val="21"/>
                <w:lang w:eastAsia="zh-CN" w:bidi="ar"/>
              </w:rPr>
              <w:t>：</w:t>
            </w:r>
            <w:r>
              <w:rPr>
                <w:rFonts w:hint="eastAsia" w:ascii="宋体" w:cs="宋体"/>
                <w:color w:val="auto"/>
                <w:sz w:val="21"/>
                <w:szCs w:val="21"/>
                <w:lang w:bidi="ar"/>
              </w:rPr>
              <w:t>主处理器 2颗IntelXeonE5-2620v4</w:t>
            </w:r>
            <w:r>
              <w:rPr>
                <w:rFonts w:hint="eastAsia" w:ascii="宋体" w:cs="宋体"/>
                <w:color w:val="auto"/>
                <w:sz w:val="21"/>
                <w:szCs w:val="21"/>
                <w:lang w:eastAsia="zh-CN" w:bidi="ar"/>
              </w:rPr>
              <w:t>；</w:t>
            </w:r>
            <w:r>
              <w:rPr>
                <w:rFonts w:hint="eastAsia" w:ascii="宋体" w:cs="宋体"/>
                <w:color w:val="auto"/>
                <w:sz w:val="21"/>
                <w:szCs w:val="21"/>
                <w:lang w:bidi="ar"/>
              </w:rPr>
              <w:t xml:space="preserve">操作系统 Windows 2008 </w:t>
            </w:r>
            <w:r>
              <w:rPr>
                <w:rFonts w:hint="eastAsia" w:ascii="宋体" w:cs="宋体"/>
                <w:color w:val="auto"/>
                <w:sz w:val="21"/>
                <w:szCs w:val="21"/>
                <w:lang w:val="en-US" w:eastAsia="zh-CN" w:bidi="ar"/>
              </w:rPr>
              <w:t xml:space="preserve"> </w:t>
            </w:r>
            <w:r>
              <w:rPr>
                <w:rFonts w:hint="eastAsia" w:ascii="宋体" w:cs="宋体"/>
                <w:color w:val="auto"/>
                <w:sz w:val="21"/>
                <w:szCs w:val="21"/>
                <w:lang w:bidi="ar"/>
              </w:rPr>
              <w:t>64 位</w:t>
            </w:r>
            <w:r>
              <w:rPr>
                <w:rFonts w:hint="eastAsia" w:ascii="宋体" w:cs="宋体"/>
                <w:color w:val="auto"/>
                <w:sz w:val="21"/>
                <w:szCs w:val="21"/>
                <w:lang w:eastAsia="zh-CN" w:bidi="ar"/>
              </w:rPr>
              <w:t>；</w:t>
            </w:r>
            <w:r>
              <w:rPr>
                <w:rFonts w:hint="eastAsia" w:ascii="宋体" w:cs="宋体"/>
                <w:color w:val="auto"/>
                <w:sz w:val="21"/>
                <w:szCs w:val="21"/>
                <w:lang w:bidi="ar"/>
              </w:rPr>
              <w:t>内存 Dual channel DDR4 ECC,32Gb</w:t>
            </w:r>
            <w:r>
              <w:rPr>
                <w:rFonts w:hint="eastAsia" w:ascii="宋体" w:cs="宋体"/>
                <w:color w:val="auto"/>
                <w:sz w:val="21"/>
                <w:szCs w:val="21"/>
                <w:lang w:eastAsia="zh-CN" w:bidi="ar"/>
              </w:rPr>
              <w:t>；</w:t>
            </w:r>
            <w:r>
              <w:rPr>
                <w:rFonts w:hint="eastAsia" w:ascii="宋体" w:cs="宋体"/>
                <w:color w:val="auto"/>
                <w:sz w:val="21"/>
                <w:szCs w:val="21"/>
                <w:lang w:bidi="ar"/>
              </w:rPr>
              <w:t>硬盘 6块SAS 2.5"，10000RPM,600G。</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3、</w:t>
            </w:r>
            <w:r>
              <w:rPr>
                <w:rFonts w:hint="eastAsia" w:ascii="宋体" w:cs="宋体"/>
                <w:color w:val="auto"/>
                <w:sz w:val="21"/>
                <w:szCs w:val="21"/>
                <w:lang w:bidi="ar"/>
              </w:rPr>
              <w:t>产品性能 转码能力至少50路1080P</w:t>
            </w:r>
            <w:r>
              <w:rPr>
                <w:rFonts w:hint="eastAsia" w:ascii="宋体" w:cs="宋体"/>
                <w:color w:val="auto"/>
                <w:sz w:val="21"/>
                <w:szCs w:val="21"/>
                <w:lang w:eastAsia="zh-CN" w:bidi="ar"/>
              </w:rPr>
              <w:t>；</w:t>
            </w:r>
            <w:r>
              <w:rPr>
                <w:rFonts w:hint="eastAsia" w:ascii="宋体" w:cs="宋体"/>
                <w:color w:val="auto"/>
                <w:sz w:val="21"/>
                <w:szCs w:val="21"/>
                <w:lang w:bidi="ar"/>
              </w:rPr>
              <w:t>输出编码格式 H.264</w:t>
            </w:r>
            <w:r>
              <w:rPr>
                <w:rFonts w:hint="eastAsia" w:ascii="宋体" w:cs="宋体"/>
                <w:color w:val="auto"/>
                <w:sz w:val="21"/>
                <w:szCs w:val="21"/>
                <w:lang w:eastAsia="zh-CN" w:bidi="ar"/>
              </w:rPr>
              <w:t>；</w:t>
            </w:r>
            <w:r>
              <w:rPr>
                <w:rFonts w:hint="eastAsia" w:ascii="宋体" w:cs="宋体"/>
                <w:color w:val="auto"/>
                <w:sz w:val="21"/>
                <w:szCs w:val="21"/>
                <w:lang w:bidi="ar"/>
              </w:rPr>
              <w:t>输出分辨率 QCIF/CIF/4CIF/D1/720P/1080P。</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4、</w:t>
            </w:r>
            <w:r>
              <w:rPr>
                <w:rFonts w:hint="eastAsia" w:ascii="宋体" w:cs="宋体"/>
                <w:color w:val="auto"/>
                <w:sz w:val="21"/>
                <w:szCs w:val="21"/>
                <w:lang w:bidi="ar"/>
              </w:rPr>
              <w:t>输出码率 32K - 6Mbps</w:t>
            </w:r>
            <w:r>
              <w:rPr>
                <w:rFonts w:hint="eastAsia" w:ascii="宋体" w:cs="宋体"/>
                <w:color w:val="auto"/>
                <w:sz w:val="21"/>
                <w:szCs w:val="21"/>
                <w:lang w:eastAsia="zh-CN" w:bidi="ar"/>
              </w:rPr>
              <w:t>，</w:t>
            </w:r>
            <w:r>
              <w:rPr>
                <w:rFonts w:hint="eastAsia" w:ascii="宋体" w:cs="宋体"/>
                <w:color w:val="auto"/>
                <w:sz w:val="21"/>
                <w:szCs w:val="21"/>
                <w:lang w:bidi="ar"/>
              </w:rPr>
              <w:t>输出帧率 1 - 全帧率。</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5、</w:t>
            </w:r>
            <w:r>
              <w:rPr>
                <w:rFonts w:hint="eastAsia" w:ascii="宋体" w:cs="宋体"/>
                <w:color w:val="auto"/>
                <w:sz w:val="21"/>
                <w:szCs w:val="21"/>
                <w:lang w:bidi="ar"/>
              </w:rPr>
              <w:t>网络接口 2个RJ45，10M/100M/1000M 自适应以太网口</w:t>
            </w:r>
            <w:r>
              <w:rPr>
                <w:rFonts w:hint="eastAsia" w:ascii="宋体" w:cs="宋体"/>
                <w:color w:val="auto"/>
                <w:sz w:val="21"/>
                <w:szCs w:val="21"/>
                <w:lang w:eastAsia="zh-CN" w:bidi="ar"/>
              </w:rPr>
              <w:t>，</w:t>
            </w:r>
            <w:r>
              <w:rPr>
                <w:rFonts w:hint="eastAsia" w:ascii="宋体" w:cs="宋体"/>
                <w:color w:val="auto"/>
                <w:sz w:val="21"/>
                <w:szCs w:val="21"/>
                <w:lang w:bidi="ar"/>
              </w:rPr>
              <w:t>USB 接口 2个USB3.0前置接口，2个USB3.0后置接口</w:t>
            </w:r>
            <w:r>
              <w:rPr>
                <w:rFonts w:hint="eastAsia" w:ascii="宋体" w:cs="宋体"/>
                <w:color w:val="auto"/>
                <w:sz w:val="21"/>
                <w:szCs w:val="21"/>
                <w:lang w:eastAsia="zh-CN" w:bidi="ar"/>
              </w:rPr>
              <w:t>，</w:t>
            </w:r>
            <w:r>
              <w:rPr>
                <w:rFonts w:hint="eastAsia" w:ascii="宋体" w:cs="宋体"/>
                <w:color w:val="auto"/>
                <w:sz w:val="21"/>
                <w:szCs w:val="21"/>
                <w:lang w:bidi="ar"/>
              </w:rPr>
              <w:t>VGA 输出口 1 个</w:t>
            </w:r>
            <w:r>
              <w:rPr>
                <w:rFonts w:hint="eastAsia" w:ascii="宋体" w:cs="宋体"/>
                <w:color w:val="auto"/>
                <w:sz w:val="21"/>
                <w:szCs w:val="21"/>
                <w:lang w:bidi="ar"/>
              </w:rPr>
              <w:br w:type="textWrapping"/>
            </w:r>
            <w:r>
              <w:rPr>
                <w:rFonts w:hint="eastAsia" w:ascii="宋体" w:cs="宋体"/>
                <w:color w:val="auto"/>
                <w:sz w:val="21"/>
                <w:szCs w:val="21"/>
                <w:lang w:bidi="ar"/>
              </w:rPr>
              <w:t>常规参数 电源 AC220V，550W,内置，1+1 冗余。</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6、</w:t>
            </w:r>
            <w:r>
              <w:rPr>
                <w:rFonts w:hint="eastAsia" w:ascii="宋体" w:cs="宋体"/>
                <w:color w:val="auto"/>
                <w:sz w:val="21"/>
                <w:szCs w:val="21"/>
                <w:lang w:bidi="ar"/>
              </w:rPr>
              <w:t>工作温度 0℃--＋40℃</w:t>
            </w:r>
            <w:r>
              <w:rPr>
                <w:rFonts w:hint="eastAsia" w:ascii="宋体" w:cs="宋体"/>
                <w:color w:val="auto"/>
                <w:sz w:val="21"/>
                <w:szCs w:val="21"/>
                <w:lang w:eastAsia="zh-CN" w:bidi="ar"/>
              </w:rPr>
              <w:t>，</w:t>
            </w:r>
            <w:r>
              <w:rPr>
                <w:rFonts w:hint="eastAsia" w:ascii="宋体" w:cs="宋体"/>
                <w:color w:val="auto"/>
                <w:sz w:val="21"/>
                <w:szCs w:val="21"/>
                <w:lang w:bidi="ar"/>
              </w:rPr>
              <w:t>工作湿度 10％--90％。</w:t>
            </w:r>
            <w:r>
              <w:rPr>
                <w:rFonts w:hint="eastAsia" w:ascii="宋体" w:cs="宋体"/>
                <w:color w:val="auto"/>
                <w:sz w:val="21"/>
                <w:szCs w:val="21"/>
                <w:lang w:bidi="ar"/>
              </w:rPr>
              <w:br w:type="textWrapping"/>
            </w:r>
            <w:r>
              <w:rPr>
                <w:rFonts w:hint="eastAsia" w:ascii="宋体" w:cs="宋体"/>
                <w:color w:val="auto"/>
                <w:sz w:val="21"/>
                <w:szCs w:val="21"/>
                <w:lang w:val="en-US" w:eastAsia="zh-CN" w:bidi="ar"/>
              </w:rPr>
              <w:t>7、</w:t>
            </w:r>
            <w:r>
              <w:rPr>
                <w:rFonts w:hint="eastAsia" w:ascii="宋体" w:cs="宋体"/>
                <w:color w:val="auto"/>
                <w:sz w:val="21"/>
                <w:szCs w:val="21"/>
                <w:lang w:bidi="ar"/>
              </w:rPr>
              <w:t>尺寸 19英寸标准 2U机箱，做RAID5。</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w:t>
            </w:r>
            <w:r>
              <w:rPr>
                <w:rFonts w:hint="eastAsia" w:ascii="宋体" w:cs="宋体"/>
                <w:color w:val="auto"/>
                <w:sz w:val="21"/>
                <w:szCs w:val="21"/>
                <w:lang w:val="en-US" w:eastAsia="zh-CN" w:bidi="ar"/>
              </w:rPr>
              <w:t>8、</w:t>
            </w:r>
            <w:r>
              <w:rPr>
                <w:rFonts w:hint="eastAsia" w:ascii="宋体" w:cs="宋体"/>
                <w:color w:val="auto"/>
                <w:sz w:val="21"/>
                <w:szCs w:val="21"/>
                <w:lang w:bidi="ar"/>
              </w:rPr>
              <w:t>需无缝接入台州公安天网视频作战侦查平台，出具</w:t>
            </w:r>
            <w:r>
              <w:rPr>
                <w:rFonts w:hint="eastAsia" w:ascii="宋体" w:cs="宋体"/>
                <w:color w:val="auto"/>
                <w:sz w:val="21"/>
                <w:szCs w:val="21"/>
                <w:lang w:eastAsia="zh-CN" w:bidi="ar"/>
              </w:rPr>
              <w:t>天网</w:t>
            </w:r>
            <w:r>
              <w:rPr>
                <w:rFonts w:hint="eastAsia" w:ascii="宋体" w:cs="宋体"/>
                <w:color w:val="auto"/>
                <w:sz w:val="21"/>
                <w:szCs w:val="21"/>
                <w:lang w:bidi="ar"/>
              </w:rPr>
              <w:t>平台</w:t>
            </w:r>
            <w:r>
              <w:rPr>
                <w:rFonts w:hint="eastAsia" w:ascii="宋体" w:cs="宋体"/>
                <w:color w:val="auto"/>
                <w:sz w:val="21"/>
                <w:szCs w:val="21"/>
                <w:lang w:eastAsia="zh-CN" w:bidi="ar"/>
              </w:rPr>
              <w:t>服务</w:t>
            </w:r>
            <w:r>
              <w:rPr>
                <w:rFonts w:hint="eastAsia" w:ascii="宋体" w:cs="宋体"/>
                <w:color w:val="auto"/>
                <w:sz w:val="21"/>
                <w:szCs w:val="21"/>
                <w:lang w:bidi="ar"/>
              </w:rPr>
              <w:t>厂家无缝接入证明</w:t>
            </w:r>
            <w:r>
              <w:rPr>
                <w:rFonts w:hint="eastAsia" w:ascii="宋体" w:cs="宋体"/>
                <w:color w:val="auto"/>
                <w:sz w:val="21"/>
                <w:szCs w:val="21"/>
                <w:lang w:eastAsia="zh-CN" w:bidi="ar"/>
              </w:rPr>
              <w:t>，</w:t>
            </w:r>
            <w:r>
              <w:rPr>
                <w:rFonts w:hint="eastAsia" w:ascii="宋体" w:cs="宋体"/>
                <w:color w:val="auto"/>
                <w:sz w:val="21"/>
                <w:szCs w:val="21"/>
                <w:lang w:bidi="ar"/>
              </w:rPr>
              <w:t>保修五年</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（十）视频边界接入系统</w:t>
            </w:r>
          </w:p>
        </w:tc>
      </w:tr>
      <w:tr>
        <w:tblPrEx>
          <w:tblCellMar>
            <w:top w:w="0" w:type="dxa"/>
            <w:left w:w="0" w:type="dxa"/>
            <w:bottom w:w="0" w:type="dxa"/>
            <w:right w:w="0" w:type="dxa"/>
          </w:tblCellMar>
        </w:tblPrEx>
        <w:trPr>
          <w:trHeight w:val="240" w:hRule="atLeast"/>
        </w:trPr>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1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万兆视频交换系统</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w:t>
            </w:r>
            <w:r>
              <w:rPr>
                <w:rFonts w:hint="eastAsia" w:ascii="宋体" w:cs="宋体"/>
                <w:color w:val="auto"/>
                <w:sz w:val="21"/>
                <w:szCs w:val="21"/>
                <w:lang w:val="en-US" w:eastAsia="zh-CN" w:bidi="ar"/>
              </w:rPr>
              <w:t>1、</w:t>
            </w:r>
            <w:r>
              <w:rPr>
                <w:rFonts w:hint="eastAsia" w:ascii="宋体" w:cs="宋体"/>
                <w:color w:val="auto"/>
                <w:sz w:val="21"/>
                <w:szCs w:val="21"/>
                <w:lang w:bidi="ar"/>
              </w:rPr>
              <w:t>硬件架构:视频交换系统应采用三台设备的结构，由安全隔离设备、视频用户认证服务器、视频接入认证服务器组成，以支持应用与传输剥离。</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2、</w:t>
            </w:r>
            <w:r>
              <w:rPr>
                <w:rFonts w:hint="eastAsia" w:ascii="宋体" w:cs="宋体"/>
                <w:color w:val="auto"/>
                <w:sz w:val="21"/>
                <w:szCs w:val="21"/>
                <w:lang w:bidi="ar"/>
              </w:rPr>
              <w:t>视频接入认证服务器：系统采用工业级服务器体系架构\系统加速硬件： &gt;6Gbps背板交换带宽。\操作系统：采用基于Linux操作系统内核剪裁、增强、优化的安全操作系统\处理器：INTEL CPU：内存： 4GB /6个千兆以太网口和2个SFP+万兆插槽。</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3、</w:t>
            </w:r>
            <w:r>
              <w:rPr>
                <w:rFonts w:hint="eastAsia" w:ascii="宋体" w:cs="宋体"/>
                <w:color w:val="auto"/>
                <w:sz w:val="21"/>
                <w:szCs w:val="21"/>
                <w:lang w:bidi="ar"/>
              </w:rPr>
              <w:t>隔离设备：系统必须采用2+1架构，包括内网处理系统、外网处理系统和隔离摆渡系统构成\隔离硬件：采用专用ASIC隔离芯片实现网络硬件隔离和数据安全摆渡\GAP硬件隔离交换芯片：2块采用Altera  ArriaIIGX 核心的FPGA芯片，采用 TSMC的40nm低k绝缘工艺，逻辑单元(LE)&gt;180K。内、外网各6个千兆以太网口和2个SFP+万兆插槽。</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4、</w:t>
            </w:r>
            <w:r>
              <w:rPr>
                <w:rFonts w:hint="eastAsia" w:ascii="宋体" w:cs="宋体"/>
                <w:color w:val="auto"/>
                <w:sz w:val="21"/>
                <w:szCs w:val="21"/>
                <w:lang w:bidi="ar"/>
              </w:rPr>
              <w:t>视频用户认证服务器：系统采用工业级服务器体系架构\系统加速硬件： &gt;6Gbps背板交换带宽。\操作系统：采用基于Linux操作系统内核剪裁、增强、优化的安全操作系统\处理器：INTEL CPU：内存： 4GB /6个千兆以太网口和2个SFP+万兆插槽。</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5、</w:t>
            </w:r>
            <w:r>
              <w:rPr>
                <w:rFonts w:hint="eastAsia" w:ascii="宋体" w:cs="宋体"/>
                <w:color w:val="auto"/>
                <w:sz w:val="21"/>
                <w:szCs w:val="21"/>
                <w:lang w:bidi="ar"/>
              </w:rPr>
              <w:t>管理功能:采用基于linux内核的多核并行安全操作系统。</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提供基于https的图形化安全管理，支持用户名/口令、数字证书等多种认证管理方式。</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val="en-US" w:eastAsia="zh-CN" w:bidi="ar"/>
              </w:rPr>
              <w:t>6、</w:t>
            </w:r>
            <w:r>
              <w:rPr>
                <w:rFonts w:hint="eastAsia" w:ascii="宋体" w:cs="宋体"/>
                <w:color w:val="auto"/>
                <w:sz w:val="21"/>
                <w:szCs w:val="21"/>
                <w:lang w:bidi="ar"/>
              </w:rPr>
              <w:t>性能:支持2000路D1图象（2Mbps）网络吞吐量4Gbps。</w:t>
            </w:r>
          </w:p>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w:t>
            </w:r>
            <w:r>
              <w:rPr>
                <w:rFonts w:hint="eastAsia" w:ascii="宋体" w:cs="宋体"/>
                <w:color w:val="auto"/>
                <w:sz w:val="21"/>
                <w:szCs w:val="21"/>
                <w:lang w:val="en-US" w:eastAsia="zh-CN" w:bidi="ar"/>
              </w:rPr>
              <w:t>7、</w:t>
            </w:r>
            <w:r>
              <w:rPr>
                <w:rFonts w:hint="eastAsia" w:ascii="宋体" w:cs="宋体"/>
                <w:color w:val="auto"/>
                <w:sz w:val="21"/>
                <w:szCs w:val="21"/>
                <w:lang w:bidi="ar"/>
              </w:rPr>
              <w:t>产品资质:产品厂商为公安部边界接入平台入围企业。</w:t>
            </w:r>
          </w:p>
          <w:p>
            <w:pPr>
              <w:widowControl/>
              <w:jc w:val="left"/>
              <w:textAlignment w:val="center"/>
              <w:rPr>
                <w:rFonts w:hint="eastAsia" w:ascii="宋体" w:cs="宋体"/>
                <w:color w:val="auto"/>
                <w:sz w:val="21"/>
                <w:szCs w:val="21"/>
              </w:rPr>
            </w:pPr>
            <w:r>
              <w:rPr>
                <w:rFonts w:hint="eastAsia" w:ascii="宋体" w:cs="宋体"/>
                <w:color w:val="auto"/>
                <w:sz w:val="21"/>
                <w:szCs w:val="21"/>
                <w:lang w:bidi="ar"/>
              </w:rPr>
              <w:t>▲</w:t>
            </w:r>
            <w:r>
              <w:rPr>
                <w:rFonts w:hint="eastAsia" w:ascii="宋体" w:cs="宋体"/>
                <w:color w:val="auto"/>
                <w:sz w:val="21"/>
                <w:szCs w:val="21"/>
                <w:lang w:val="en-US" w:eastAsia="zh-CN" w:bidi="ar"/>
              </w:rPr>
              <w:t>8、</w:t>
            </w:r>
            <w:r>
              <w:rPr>
                <w:rFonts w:hint="eastAsia" w:ascii="宋体" w:cs="宋体"/>
                <w:color w:val="auto"/>
                <w:sz w:val="21"/>
                <w:szCs w:val="21"/>
                <w:lang w:bidi="ar"/>
              </w:rPr>
              <w:t>需无缝接入台州公安天网视频作战侦查平台，出具</w:t>
            </w:r>
            <w:r>
              <w:rPr>
                <w:rFonts w:hint="eastAsia" w:ascii="宋体" w:cs="宋体"/>
                <w:color w:val="auto"/>
                <w:sz w:val="21"/>
                <w:szCs w:val="21"/>
                <w:lang w:eastAsia="zh-CN" w:bidi="ar"/>
              </w:rPr>
              <w:t>天网</w:t>
            </w:r>
            <w:r>
              <w:rPr>
                <w:rFonts w:hint="eastAsia" w:ascii="宋体" w:cs="宋体"/>
                <w:color w:val="auto"/>
                <w:sz w:val="21"/>
                <w:szCs w:val="21"/>
                <w:lang w:bidi="ar"/>
              </w:rPr>
              <w:t>平台</w:t>
            </w:r>
            <w:r>
              <w:rPr>
                <w:rFonts w:hint="eastAsia" w:ascii="宋体" w:cs="宋体"/>
                <w:color w:val="auto"/>
                <w:sz w:val="21"/>
                <w:szCs w:val="21"/>
                <w:lang w:eastAsia="zh-CN" w:bidi="ar"/>
              </w:rPr>
              <w:t>服务</w:t>
            </w:r>
            <w:r>
              <w:rPr>
                <w:rFonts w:hint="eastAsia" w:ascii="宋体" w:cs="宋体"/>
                <w:color w:val="auto"/>
                <w:sz w:val="21"/>
                <w:szCs w:val="21"/>
                <w:lang w:bidi="ar"/>
              </w:rPr>
              <w:t>厂家无缝接入证明</w:t>
            </w:r>
            <w:r>
              <w:rPr>
                <w:rFonts w:hint="eastAsia" w:ascii="宋体" w:cs="宋体"/>
                <w:color w:val="auto"/>
                <w:sz w:val="21"/>
                <w:szCs w:val="21"/>
                <w:lang w:eastAsia="zh-CN" w:bidi="ar"/>
              </w:rPr>
              <w:t>，</w:t>
            </w:r>
            <w:r>
              <w:rPr>
                <w:rFonts w:hint="eastAsia" w:ascii="宋体" w:cs="宋体"/>
                <w:color w:val="auto"/>
                <w:sz w:val="21"/>
                <w:szCs w:val="21"/>
                <w:lang w:bidi="ar"/>
              </w:rPr>
              <w:t>保修五年</w:t>
            </w:r>
            <w:r>
              <w:rPr>
                <w:rFonts w:hint="eastAsia" w:ascii="宋体" w:cs="宋体"/>
                <w:color w:val="auto"/>
                <w:sz w:val="21"/>
                <w:szCs w:val="21"/>
                <w:lang w:eastAsia="zh-CN" w:bidi="ar"/>
              </w:rPr>
              <w:t>。</w:t>
            </w:r>
          </w:p>
        </w:tc>
      </w:tr>
      <w:tr>
        <w:tblPrEx>
          <w:tblCellMar>
            <w:top w:w="0" w:type="dxa"/>
            <w:left w:w="0" w:type="dxa"/>
            <w:bottom w:w="0" w:type="dxa"/>
            <w:right w:w="0" w:type="dxa"/>
          </w:tblCellMar>
        </w:tblPrEx>
        <w:trPr>
          <w:trHeight w:val="240" w:hRule="atLeast"/>
        </w:trPr>
        <w:tc>
          <w:tcPr>
            <w:tcW w:w="90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lang w:bidi="ar"/>
              </w:rPr>
            </w:pPr>
            <w:r>
              <w:rPr>
                <w:rFonts w:hint="eastAsia" w:ascii="宋体" w:cs="宋体"/>
                <w:color w:val="auto"/>
                <w:sz w:val="21"/>
                <w:szCs w:val="21"/>
                <w:lang w:bidi="ar"/>
              </w:rPr>
              <w:t>（</w:t>
            </w:r>
            <w:r>
              <w:rPr>
                <w:rFonts w:hint="eastAsia" w:ascii="宋体" w:cs="宋体"/>
                <w:color w:val="auto"/>
                <w:sz w:val="21"/>
                <w:szCs w:val="21"/>
                <w:lang w:val="en-US" w:eastAsia="zh-CN" w:bidi="ar"/>
              </w:rPr>
              <w:t>十一</w:t>
            </w:r>
            <w:r>
              <w:rPr>
                <w:rFonts w:hint="eastAsia" w:ascii="宋体" w:cs="宋体"/>
                <w:color w:val="auto"/>
                <w:sz w:val="21"/>
                <w:szCs w:val="21"/>
                <w:lang w:bidi="ar"/>
              </w:rPr>
              <w:t>）采集设备</w:t>
            </w:r>
          </w:p>
        </w:tc>
      </w:tr>
      <w:tr>
        <w:tblPrEx>
          <w:tblCellMar>
            <w:top w:w="0" w:type="dxa"/>
            <w:left w:w="0" w:type="dxa"/>
            <w:bottom w:w="0" w:type="dxa"/>
            <w:right w:w="0" w:type="dxa"/>
          </w:tblCellMar>
        </w:tblPrEx>
        <w:trPr>
          <w:trHeight w:val="240" w:hRule="atLeast"/>
        </w:trPr>
        <w:tc>
          <w:tcPr>
            <w:tcW w:w="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lang w:bidi="ar"/>
              </w:rPr>
            </w:pPr>
            <w:r>
              <w:rPr>
                <w:rFonts w:hint="eastAsia" w:ascii="宋体" w:cs="宋体"/>
                <w:color w:val="auto"/>
                <w:sz w:val="21"/>
                <w:szCs w:val="21"/>
                <w:lang w:bidi="ar"/>
              </w:rPr>
              <w:t>1</w:t>
            </w:r>
          </w:p>
        </w:tc>
        <w:tc>
          <w:tcPr>
            <w:tcW w:w="1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lang w:bidi="ar"/>
              </w:rPr>
            </w:pPr>
            <w:r>
              <w:rPr>
                <w:rFonts w:hint="eastAsia" w:ascii="宋体" w:cs="宋体"/>
                <w:b w:val="0"/>
                <w:bCs w:val="0"/>
                <w:color w:val="auto"/>
                <w:sz w:val="21"/>
                <w:szCs w:val="21"/>
                <w:lang w:bidi="ar"/>
              </w:rPr>
              <w:t>imsi智能终端采集设备</w:t>
            </w:r>
          </w:p>
        </w:tc>
        <w:tc>
          <w:tcPr>
            <w:tcW w:w="6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33"/>
              </w:numPr>
              <w:ind w:left="0" w:leftChars="0" w:firstLine="0" w:firstLineChars="0"/>
              <w:jc w:val="left"/>
              <w:rPr>
                <w:rFonts w:hint="eastAsia" w:ascii="宋体" w:cs="宋体"/>
                <w:b w:val="0"/>
                <w:bCs w:val="0"/>
                <w:color w:val="auto"/>
                <w:sz w:val="21"/>
                <w:szCs w:val="21"/>
              </w:rPr>
            </w:pPr>
            <w:r>
              <w:rPr>
                <w:rFonts w:hint="eastAsia" w:ascii="宋体" w:cs="宋体"/>
                <w:b w:val="0"/>
                <w:bCs w:val="0"/>
                <w:color w:val="auto"/>
                <w:sz w:val="21"/>
                <w:szCs w:val="21"/>
                <w:lang w:bidi="ar"/>
              </w:rPr>
              <w:t>功率：1W</w:t>
            </w:r>
            <w:r>
              <w:rPr>
                <w:rFonts w:hint="eastAsia" w:ascii="宋体" w:cs="宋体"/>
                <w:b w:val="0"/>
                <w:bCs w:val="0"/>
                <w:color w:val="auto"/>
                <w:sz w:val="21"/>
                <w:szCs w:val="21"/>
                <w:lang w:eastAsia="zh-CN" w:bidi="ar"/>
              </w:rPr>
              <w:t>。</w:t>
            </w:r>
          </w:p>
          <w:p>
            <w:pPr>
              <w:numPr>
                <w:ilvl w:val="0"/>
                <w:numId w:val="33"/>
              </w:numPr>
              <w:ind w:left="0" w:leftChars="0" w:firstLine="0" w:firstLineChars="0"/>
              <w:jc w:val="left"/>
              <w:rPr>
                <w:rFonts w:hint="eastAsia" w:ascii="宋体" w:cs="宋体"/>
                <w:b w:val="0"/>
                <w:bCs w:val="0"/>
                <w:color w:val="auto"/>
                <w:sz w:val="21"/>
                <w:szCs w:val="21"/>
              </w:rPr>
            </w:pPr>
            <w:r>
              <w:rPr>
                <w:rFonts w:hint="eastAsia" w:ascii="宋体" w:cs="宋体"/>
                <w:b w:val="0"/>
                <w:bCs w:val="0"/>
                <w:color w:val="auto"/>
                <w:sz w:val="21"/>
                <w:szCs w:val="21"/>
                <w:lang w:bidi="ar"/>
              </w:rPr>
              <w:t>制式：全制式，支持4</w:t>
            </w:r>
            <w:r>
              <w:rPr>
                <w:rFonts w:hint="eastAsia" w:ascii="宋体" w:cs="宋体"/>
                <w:b w:val="0"/>
                <w:bCs w:val="0"/>
                <w:color w:val="auto"/>
                <w:sz w:val="21"/>
                <w:szCs w:val="21"/>
                <w:lang w:val="en-US" w:eastAsia="zh-CN" w:bidi="ar"/>
              </w:rPr>
              <w:t>G。</w:t>
            </w:r>
          </w:p>
          <w:p>
            <w:pPr>
              <w:numPr>
                <w:ilvl w:val="0"/>
                <w:numId w:val="33"/>
              </w:numPr>
              <w:ind w:left="0" w:leftChars="0" w:firstLine="0" w:firstLineChars="0"/>
              <w:jc w:val="left"/>
              <w:rPr>
                <w:rFonts w:hint="eastAsia" w:ascii="宋体" w:cs="宋体"/>
                <w:b w:val="0"/>
                <w:bCs w:val="0"/>
                <w:color w:val="auto"/>
                <w:sz w:val="21"/>
                <w:szCs w:val="21"/>
              </w:rPr>
            </w:pPr>
            <w:r>
              <w:rPr>
                <w:rFonts w:hint="eastAsia" w:ascii="宋体" w:cs="宋体"/>
                <w:b w:val="0"/>
                <w:bCs w:val="0"/>
                <w:color w:val="auto"/>
                <w:sz w:val="21"/>
                <w:szCs w:val="21"/>
                <w:lang w:bidi="ar"/>
              </w:rPr>
              <w:t>组网模式：异频</w:t>
            </w:r>
            <w:r>
              <w:rPr>
                <w:rFonts w:hint="eastAsia" w:ascii="宋体" w:cs="宋体"/>
                <w:b w:val="0"/>
                <w:bCs w:val="0"/>
                <w:color w:val="auto"/>
                <w:sz w:val="21"/>
                <w:szCs w:val="21"/>
                <w:lang w:eastAsia="zh-CN" w:bidi="ar"/>
              </w:rPr>
              <w:t>。</w:t>
            </w:r>
          </w:p>
          <w:p>
            <w:pPr>
              <w:jc w:val="left"/>
              <w:rPr>
                <w:rFonts w:hint="eastAsia" w:ascii="宋体" w:cs="宋体"/>
                <w:b w:val="0"/>
                <w:bCs w:val="0"/>
                <w:color w:val="auto"/>
                <w:sz w:val="21"/>
                <w:szCs w:val="21"/>
                <w:lang w:bidi="ar"/>
              </w:rPr>
            </w:pPr>
            <w:r>
              <w:rPr>
                <w:rFonts w:hint="eastAsia" w:ascii="宋体" w:cs="宋体"/>
                <w:b w:val="0"/>
                <w:bCs w:val="0"/>
                <w:color w:val="auto"/>
                <w:sz w:val="21"/>
                <w:szCs w:val="21"/>
                <w:lang w:bidi="ar"/>
              </w:rPr>
              <w:t>传输方式：支持有线、3G，支持内部存储，可扩展，支持全方位</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支持MAC采集</w:t>
            </w:r>
            <w:r>
              <w:rPr>
                <w:rFonts w:hint="eastAsia" w:ascii="宋体" w:cs="宋体"/>
                <w:b w:val="0"/>
                <w:bCs w:val="0"/>
                <w:color w:val="auto"/>
                <w:sz w:val="21"/>
                <w:szCs w:val="21"/>
                <w:lang w:eastAsia="zh-CN" w:bidi="ar"/>
              </w:rPr>
              <w:t>。</w:t>
            </w:r>
          </w:p>
        </w:tc>
      </w:tr>
    </w:tbl>
    <w:p>
      <w:pPr>
        <w:autoSpaceDE w:val="0"/>
        <w:autoSpaceDN w:val="0"/>
        <w:adjustRightInd w:val="0"/>
        <w:spacing w:line="360" w:lineRule="auto"/>
        <w:ind w:firstLine="562" w:firstLineChars="200"/>
        <w:jc w:val="center"/>
        <w:outlineLvl w:val="0"/>
        <w:rPr>
          <w:rFonts w:hint="eastAsia" w:ascii="宋体"/>
          <w:b/>
          <w:color w:val="auto"/>
          <w:kern w:val="21"/>
          <w:sz w:val="28"/>
          <w:szCs w:val="28"/>
        </w:rPr>
        <w:sectPr>
          <w:pgSz w:w="11906" w:h="16838"/>
          <w:pgMar w:top="1440" w:right="1440" w:bottom="1440" w:left="1440" w:header="851" w:footer="992" w:gutter="0"/>
          <w:cols w:space="720" w:num="1"/>
          <w:docGrid w:linePitch="312" w:charSpace="0"/>
        </w:sectPr>
      </w:pPr>
    </w:p>
    <w:p>
      <w:pPr>
        <w:spacing w:line="340" w:lineRule="exact"/>
        <w:outlineLvl w:val="0"/>
        <w:rPr>
          <w:rFonts w:hint="eastAsia" w:ascii="宋体"/>
          <w:b/>
          <w:color w:val="auto"/>
          <w:kern w:val="21"/>
          <w:sz w:val="24"/>
          <w:szCs w:val="24"/>
        </w:rPr>
      </w:pPr>
      <w:r>
        <w:rPr>
          <w:rFonts w:hint="eastAsia" w:ascii="宋体"/>
          <w:b/>
          <w:color w:val="auto"/>
          <w:kern w:val="21"/>
          <w:sz w:val="24"/>
          <w:szCs w:val="24"/>
        </w:rPr>
        <w:t>附表二</w:t>
      </w:r>
      <w:r>
        <w:rPr>
          <w:rFonts w:hint="eastAsia" w:ascii="宋体"/>
          <w:b/>
          <w:color w:val="auto"/>
          <w:kern w:val="21"/>
          <w:sz w:val="24"/>
          <w:szCs w:val="24"/>
          <w:lang w:eastAsia="zh-CN"/>
        </w:rPr>
        <w:t>：</w:t>
      </w:r>
      <w:r>
        <w:rPr>
          <w:rFonts w:hint="eastAsia" w:ascii="宋体"/>
          <w:b/>
          <w:color w:val="auto"/>
          <w:kern w:val="21"/>
          <w:sz w:val="24"/>
          <w:szCs w:val="24"/>
        </w:rPr>
        <w:t>标项二点位统计表</w:t>
      </w:r>
    </w:p>
    <w:tbl>
      <w:tblPr>
        <w:tblStyle w:val="39"/>
        <w:tblW w:w="0" w:type="auto"/>
        <w:tblInd w:w="0" w:type="dxa"/>
        <w:tblLayout w:type="fixed"/>
        <w:tblCellMar>
          <w:top w:w="0" w:type="dxa"/>
          <w:left w:w="108" w:type="dxa"/>
          <w:bottom w:w="0" w:type="dxa"/>
          <w:right w:w="108" w:type="dxa"/>
        </w:tblCellMar>
      </w:tblPr>
      <w:tblGrid>
        <w:gridCol w:w="547"/>
        <w:gridCol w:w="1261"/>
        <w:gridCol w:w="2909"/>
        <w:gridCol w:w="652"/>
        <w:gridCol w:w="632"/>
        <w:gridCol w:w="595"/>
        <w:gridCol w:w="578"/>
        <w:gridCol w:w="536"/>
        <w:gridCol w:w="536"/>
        <w:gridCol w:w="541"/>
        <w:gridCol w:w="573"/>
        <w:gridCol w:w="428"/>
        <w:gridCol w:w="428"/>
        <w:gridCol w:w="428"/>
        <w:gridCol w:w="428"/>
        <w:gridCol w:w="485"/>
        <w:gridCol w:w="519"/>
        <w:gridCol w:w="2098"/>
      </w:tblGrid>
      <w:tr>
        <w:tblPrEx>
          <w:tblCellMar>
            <w:top w:w="0" w:type="dxa"/>
            <w:left w:w="108" w:type="dxa"/>
            <w:bottom w:w="0" w:type="dxa"/>
            <w:right w:w="108" w:type="dxa"/>
          </w:tblCellMar>
        </w:tblPrEx>
        <w:trPr>
          <w:trHeight w:val="1125" w:hRule="atLeast"/>
          <w:tblHeader/>
        </w:trPr>
        <w:tc>
          <w:tcPr>
            <w:tcW w:w="54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cs="宋体"/>
                <w:b/>
                <w:bCs/>
                <w:color w:val="auto"/>
                <w:sz w:val="21"/>
                <w:szCs w:val="21"/>
              </w:rPr>
            </w:pPr>
            <w:r>
              <w:rPr>
                <w:rFonts w:hint="eastAsia" w:ascii="宋体" w:cs="宋体"/>
                <w:b/>
                <w:bCs/>
                <w:color w:val="auto"/>
                <w:sz w:val="21"/>
                <w:szCs w:val="21"/>
              </w:rPr>
              <w:t>序号</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行政区域</w:t>
            </w:r>
          </w:p>
        </w:tc>
        <w:tc>
          <w:tcPr>
            <w:tcW w:w="29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道路监控点名称</w:t>
            </w:r>
          </w:p>
        </w:tc>
        <w:tc>
          <w:tcPr>
            <w:tcW w:w="245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摄像机类型</w:t>
            </w:r>
          </w:p>
        </w:tc>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爆闪灯</w:t>
            </w:r>
          </w:p>
        </w:tc>
        <w:tc>
          <w:tcPr>
            <w:tcW w:w="10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传输设备</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8口交换机</w:t>
            </w:r>
          </w:p>
        </w:tc>
        <w:tc>
          <w:tcPr>
            <w:tcW w:w="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监控箱类型</w:t>
            </w:r>
          </w:p>
        </w:tc>
        <w:tc>
          <w:tcPr>
            <w:tcW w:w="134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摄像机安装类型</w:t>
            </w:r>
          </w:p>
        </w:tc>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光缆租用</w:t>
            </w:r>
          </w:p>
        </w:tc>
        <w:tc>
          <w:tcPr>
            <w:tcW w:w="20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备注</w:t>
            </w:r>
          </w:p>
        </w:tc>
      </w:tr>
      <w:tr>
        <w:tblPrEx>
          <w:tblCellMar>
            <w:top w:w="0" w:type="dxa"/>
            <w:left w:w="108" w:type="dxa"/>
            <w:bottom w:w="0" w:type="dxa"/>
            <w:right w:w="108" w:type="dxa"/>
          </w:tblCellMar>
        </w:tblPrEx>
        <w:trPr>
          <w:trHeight w:val="2451" w:hRule="atLeast"/>
        </w:trPr>
        <w:tc>
          <w:tcPr>
            <w:tcW w:w="547" w:type="dxa"/>
            <w:vMerge w:val="continue"/>
            <w:tcBorders>
              <w:left w:val="single" w:color="auto" w:sz="4" w:space="0"/>
              <w:bottom w:val="single" w:color="auto" w:sz="4" w:space="0"/>
              <w:right w:val="single" w:color="auto" w:sz="4" w:space="0"/>
            </w:tcBorders>
            <w:noWrap w:val="0"/>
            <w:vAlign w:val="top"/>
          </w:tcPr>
          <w:p>
            <w:pPr>
              <w:widowControl/>
              <w:jc w:val="left"/>
              <w:rPr>
                <w:rFonts w:ascii="宋体" w:cs="宋体"/>
                <w:b/>
                <w:bCs/>
                <w:color w:val="auto"/>
                <w:sz w:val="21"/>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1"/>
                <w:szCs w:val="21"/>
              </w:rPr>
            </w:pPr>
          </w:p>
        </w:tc>
        <w:tc>
          <w:tcPr>
            <w:tcW w:w="29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1"/>
                <w:szCs w:val="21"/>
              </w:rPr>
            </w:pPr>
          </w:p>
        </w:tc>
        <w:tc>
          <w:tcPr>
            <w:tcW w:w="652"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400万智慧监控单元</w:t>
            </w:r>
          </w:p>
        </w:tc>
        <w:tc>
          <w:tcPr>
            <w:tcW w:w="632"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900万像素视频抓拍机</w:t>
            </w:r>
          </w:p>
        </w:tc>
        <w:tc>
          <w:tcPr>
            <w:tcW w:w="59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200万人脸半球</w:t>
            </w:r>
          </w:p>
        </w:tc>
        <w:tc>
          <w:tcPr>
            <w:tcW w:w="578"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高清全景球机</w:t>
            </w:r>
          </w:p>
        </w:tc>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1"/>
                <w:szCs w:val="21"/>
              </w:rPr>
            </w:pPr>
          </w:p>
        </w:tc>
        <w:tc>
          <w:tcPr>
            <w:tcW w:w="536"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1光8电</w:t>
            </w:r>
          </w:p>
        </w:tc>
        <w:tc>
          <w:tcPr>
            <w:tcW w:w="54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2光8电</w:t>
            </w:r>
          </w:p>
        </w:tc>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1"/>
                <w:szCs w:val="21"/>
              </w:rPr>
            </w:pPr>
          </w:p>
        </w:tc>
        <w:tc>
          <w:tcPr>
            <w:tcW w:w="428"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挂箱</w:t>
            </w:r>
          </w:p>
        </w:tc>
        <w:tc>
          <w:tcPr>
            <w:tcW w:w="428"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壁装</w:t>
            </w:r>
          </w:p>
        </w:tc>
        <w:tc>
          <w:tcPr>
            <w:tcW w:w="428"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壁装</w:t>
            </w:r>
          </w:p>
        </w:tc>
        <w:tc>
          <w:tcPr>
            <w:tcW w:w="428"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下吊</w:t>
            </w:r>
          </w:p>
        </w:tc>
        <w:tc>
          <w:tcPr>
            <w:tcW w:w="48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auto"/>
                <w:sz w:val="21"/>
                <w:szCs w:val="21"/>
              </w:rPr>
            </w:pPr>
            <w:r>
              <w:rPr>
                <w:rFonts w:hint="eastAsia" w:ascii="宋体" w:cs="宋体"/>
                <w:b/>
                <w:bCs/>
                <w:color w:val="auto"/>
                <w:sz w:val="21"/>
                <w:szCs w:val="21"/>
              </w:rPr>
              <w:t>借杆抱箍</w:t>
            </w:r>
          </w:p>
        </w:tc>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1"/>
                <w:szCs w:val="21"/>
              </w:rPr>
            </w:pPr>
          </w:p>
        </w:tc>
        <w:tc>
          <w:tcPr>
            <w:tcW w:w="20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台金高速下各出口外卡口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天网四期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铁山路北段卡口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白下线-下山头卡口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白下线-下垟村卡口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下羊线-下高村卡口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穿镇路-下各医院卡口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管铁线-东高线卡口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东高线-大战教堂卡口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温泉大道-下叶溪桥头卡口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双庙乡</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管铁线-双庙农贸市场卡口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管铁线-大园卡口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管铁线-朱溪镇政府卡口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管铁线-朱溪镇***卡口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管铁线-朱溪后山村卡口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管铁线-虎坦卡口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16</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管铁线-海源公司卡口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17</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管铁线-上王亭卡口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18</w:t>
            </w:r>
          </w:p>
        </w:tc>
        <w:tc>
          <w:tcPr>
            <w:tcW w:w="1261"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清口园桥头卡口</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19</w:t>
            </w:r>
          </w:p>
        </w:tc>
        <w:tc>
          <w:tcPr>
            <w:tcW w:w="1261"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S223省道-步路北卡口</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20</w:t>
            </w:r>
          </w:p>
        </w:tc>
        <w:tc>
          <w:tcPr>
            <w:tcW w:w="1261"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single" w:color="auto" w:sz="4" w:space="0"/>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S223省道-步东线路口卡口</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9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8</w:t>
            </w: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21</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上张乡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S223省道-田垟卡口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22</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上张乡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S223省道-大张卡口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23</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上张乡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S223省道-管铁线路口卡口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24</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上张乡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上张**室卡口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25</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上张乡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S223省道-央弄卡口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26</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上张乡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S223省道-方山卡口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27</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S218省道-荷岙卡口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28</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步东线-七里卡口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29</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临石路-管山头卡口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30</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临石路-新桥桥头卡口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8</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31</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临石路-官路卫生院卡口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32</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临石路-官路人民政府卡口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33</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临石路-萍溪村卡口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34</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临石路-萍溪村西卡口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35</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临石路-西陈村卡口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36</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S322省道-下渡卡口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37</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S218省道-公安检查站卡口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38</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S218省道-官路工业区卡口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39</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S322省道-长幸工艺厂卡口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40</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S322省道-寺石路卡口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41</w:t>
            </w:r>
          </w:p>
        </w:tc>
        <w:tc>
          <w:tcPr>
            <w:tcW w:w="1261" w:type="dxa"/>
            <w:tcBorders>
              <w:top w:val="nil"/>
              <w:left w:val="single" w:color="auto" w:sz="4" w:space="0"/>
              <w:bottom w:val="single" w:color="auto" w:sz="4" w:space="0"/>
              <w:right w:val="single" w:color="auto" w:sz="4" w:space="0"/>
            </w:tcBorders>
            <w:noWrap w:val="0"/>
            <w:vAlign w:val="bottom"/>
          </w:tcPr>
          <w:p>
            <w:pPr>
              <w:widowControl/>
              <w:jc w:val="center"/>
              <w:rPr>
                <w:rFonts w:ascii="宋体" w:cs="宋体"/>
                <w:color w:val="auto"/>
                <w:sz w:val="21"/>
                <w:szCs w:val="21"/>
              </w:rPr>
            </w:pPr>
            <w:r>
              <w:rPr>
                <w:rFonts w:hint="eastAsia" w:ascii="宋体" w:cs="宋体"/>
                <w:color w:val="auto"/>
                <w:sz w:val="21"/>
                <w:szCs w:val="21"/>
              </w:rPr>
              <w:t>官路镇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S322省道-看守所卡口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管铁线-法庭南移民区路口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管铁线-下各法庭门口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路南村停车场</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穿镇路157号对面</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穿镇路157号东墙</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下各第一幼儿园门口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穿镇路大畎公园</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49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下各镇政府楼顶高空</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穿镇路450号后门</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穿镇路522号边路灯杆</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穿镇路下各菜场</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管铁线石壁路口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塘头村西村口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管铁线塘头村路段</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社山村往双楼路口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吴家井变压器边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社山村村东45号边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59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社山村路下98号边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前洋吴公共厕所边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山下英村西村口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东塘村徐家庆三叉口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镇南路银丰超市</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管铁线金百汇超市入口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穿镇西路赛艇酒店</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管铁线穿镇西路路口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怀仁三角站停车点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管铁线-金百汇超市旁停车场</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69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管铁线-穿镇路南口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70</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eastAsia="宋体" w:cs="宋体"/>
                <w:color w:val="auto"/>
                <w:sz w:val="21"/>
                <w:szCs w:val="21"/>
                <w:lang w:val="en-US" w:eastAsia="zh-CN"/>
              </w:rPr>
            </w:pPr>
            <w:r>
              <w:rPr>
                <w:rFonts w:hint="eastAsia" w:ascii="宋体" w:cs="宋体"/>
                <w:color w:val="auto"/>
                <w:sz w:val="21"/>
                <w:szCs w:val="21"/>
              </w:rPr>
              <w:t>怀湖路-怀仁老街</w:t>
            </w:r>
            <w:r>
              <w:rPr>
                <w:rFonts w:hint="eastAsia" w:ascii="宋体" w:cs="宋体"/>
                <w:color w:val="auto"/>
                <w:sz w:val="21"/>
                <w:szCs w:val="21"/>
                <w:lang w:val="en-US" w:eastAsia="zh-CN"/>
              </w:rPr>
              <w:t>发</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怀仁老年活动中心前停车场</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舒果绿超市门内人脸</w:t>
            </w:r>
            <w:r>
              <w:rPr>
                <w:rFonts w:hint="eastAsia" w:ascii="宋体" w:cs="宋体"/>
                <w:color w:val="auto"/>
                <w:sz w:val="21"/>
                <w:szCs w:val="21"/>
                <w:lang w:eastAsia="zh-CN"/>
              </w:rPr>
              <w:t>带云台</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穿镇路下各四村洋三角路</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良丰路90号边路口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同心工艺厂</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四组皮鞋店路11号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下各三角站台州华联超市</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银丰超市下各店</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79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新建村上山村村口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新建村路头村口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七村石板街23号对面</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七村村委会边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镇东路石桥头1号边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下各九村桥头</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步团村里村桥头</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步团村外村村口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前潘村北新村村口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前潘村前大路路口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89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前潘下坎街南136号边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下洋村东北村口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下洋村篮球场边</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left"/>
              <w:rPr>
                <w:rFonts w:ascii="宋体" w:cs="宋体"/>
                <w:color w:val="auto"/>
                <w:sz w:val="21"/>
                <w:szCs w:val="21"/>
              </w:rPr>
            </w:pPr>
            <w:r>
              <w:rPr>
                <w:rFonts w:hint="eastAsia" w:ascii="宋体" w:cs="宋体"/>
                <w:color w:val="auto"/>
                <w:sz w:val="21"/>
                <w:szCs w:val="21"/>
              </w:rPr>
              <w:t>麻山村村口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后田坑村-蔡家田隧道进口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括苍河大桥</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西郊隧道进口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西郊隧道出口</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97</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里基岙村车塘隧道出口</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6</w:t>
            </w:r>
          </w:p>
        </w:tc>
        <w:tc>
          <w:tcPr>
            <w:tcW w:w="63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黄山寺车塘隧道进口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99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马垟村马村隧道出口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田山脚马村隧道出入口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田山脚隧道进口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桐园村朱溪特大桥</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车头村南庄岭隧道出口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李家兴村南庄岭隧道入口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赵岙隧道出口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南溪口赵岙隧道进出口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南溪口西炉隧道进出口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西炉白岩隧道进出口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109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七里白岩隧道进出口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七里隧道进口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步路乡</w:t>
            </w:r>
          </w:p>
        </w:tc>
        <w:tc>
          <w:tcPr>
            <w:tcW w:w="2909"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西井1号隧道进口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黄梁陈村街北462号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黄梁陈村别墅区变电房北路口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湖淇园村村委会路口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虎坦村南村口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虎坦村东村口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下张村村委会</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118</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下张村西街21号南侧</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119</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下张大桥西桥头</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大战乡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东高线大战广场前</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大战乡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大战乡桐园村村口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镇桥村被村口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林下村21号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林下村北村口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杏村西北村口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杏村大高103号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后垟田村10号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后垟田村西北村口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129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杨砩头后头片135号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杨砩头后头片东南村口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杨砩头后头片西南村口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杨砩头电子服务站前</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下华村东村口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下华村村中110号</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single" w:color="auto" w:sz="4" w:space="0"/>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管铁线里积路村东路村口</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张店村家宴服务中心</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上王亭村老人协会</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上王亭村37号后门</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139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下各镇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管铁线湖淇园村东路段</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140</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双庙乡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溪边绿道原双庙初中旁</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141</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双庙乡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公平村村委会入口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双庙乡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管铁线双庙加油站绿道入口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双庙乡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西吕村办公楼对面</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双庙乡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双庙农贸市场内</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双庙乡</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管铁线温泉大道入口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朱一村穿镇中路9-15号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西门路19号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岩前村西岸绿道</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149</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江上村绿道东桥头</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150</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绿道后岸电站路口</w:t>
            </w:r>
          </w:p>
        </w:tc>
        <w:tc>
          <w:tcPr>
            <w:tcW w:w="6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single" w:color="auto" w:sz="4" w:space="0"/>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溪坝南路老街路口</w:t>
            </w:r>
          </w:p>
        </w:tc>
        <w:tc>
          <w:tcPr>
            <w:tcW w:w="65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single" w:color="auto" w:sz="4" w:space="0"/>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152</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管铁线朱溪湖岸广场</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153</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管铁线大塘岸村村口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154</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朱一村后山路44号</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155</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朱溪小学西南侧</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2</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156</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朱二村15号老街路口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3</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157</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溪坝南路老镇府路口</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4</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ascii="宋体" w:cs="宋体"/>
                <w:color w:val="auto"/>
                <w:sz w:val="22"/>
                <w:szCs w:val="22"/>
              </w:rPr>
            </w:pPr>
            <w:r>
              <w:rPr>
                <w:rFonts w:hint="eastAsia"/>
                <w:color w:val="auto"/>
                <w:sz w:val="22"/>
                <w:szCs w:val="22"/>
              </w:rPr>
              <w:t>158</w:t>
            </w:r>
          </w:p>
        </w:tc>
        <w:tc>
          <w:tcPr>
            <w:tcW w:w="126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朱溪镇</w:t>
            </w:r>
          </w:p>
        </w:tc>
        <w:tc>
          <w:tcPr>
            <w:tcW w:w="2909" w:type="dxa"/>
            <w:tcBorders>
              <w:top w:val="nil"/>
              <w:left w:val="nil"/>
              <w:bottom w:val="single" w:color="auto" w:sz="4" w:space="0"/>
              <w:right w:val="single" w:color="auto" w:sz="4" w:space="0"/>
            </w:tcBorders>
            <w:noWrap w:val="0"/>
            <w:vAlign w:val="center"/>
          </w:tcPr>
          <w:p>
            <w:pPr>
              <w:widowControl/>
              <w:jc w:val="both"/>
              <w:rPr>
                <w:rFonts w:ascii="宋体" w:cs="宋体"/>
                <w:color w:val="auto"/>
                <w:sz w:val="21"/>
                <w:szCs w:val="21"/>
              </w:rPr>
            </w:pPr>
            <w:r>
              <w:rPr>
                <w:rFonts w:hint="eastAsia" w:ascii="宋体" w:cs="宋体"/>
                <w:color w:val="auto"/>
                <w:sz w:val="21"/>
                <w:szCs w:val="21"/>
              </w:rPr>
              <w:t>朱溪中心卫生院</w:t>
            </w:r>
          </w:p>
        </w:tc>
        <w:tc>
          <w:tcPr>
            <w:tcW w:w="65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632"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9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36"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541"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73"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428"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485"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p>
        </w:tc>
        <w:tc>
          <w:tcPr>
            <w:tcW w:w="519" w:type="dxa"/>
            <w:tcBorders>
              <w:top w:val="nil"/>
              <w:left w:val="nil"/>
              <w:bottom w:val="single" w:color="auto" w:sz="4" w:space="0"/>
              <w:right w:val="single" w:color="auto" w:sz="4" w:space="0"/>
            </w:tcBorders>
            <w:noWrap w:val="0"/>
            <w:vAlign w:val="center"/>
          </w:tcPr>
          <w:p>
            <w:pPr>
              <w:widowControl/>
              <w:jc w:val="center"/>
              <w:rPr>
                <w:rFonts w:ascii="宋体" w:cs="宋体"/>
                <w:color w:val="auto"/>
                <w:sz w:val="21"/>
                <w:szCs w:val="21"/>
              </w:rPr>
            </w:pPr>
            <w:r>
              <w:rPr>
                <w:rFonts w:hint="eastAsia" w:ascii="宋体" w:cs="宋体"/>
                <w:color w:val="auto"/>
                <w:sz w:val="21"/>
                <w:szCs w:val="21"/>
              </w:rPr>
              <w:t>1</w:t>
            </w:r>
          </w:p>
        </w:tc>
        <w:tc>
          <w:tcPr>
            <w:tcW w:w="2098" w:type="dxa"/>
            <w:tcBorders>
              <w:top w:val="nil"/>
              <w:left w:val="nil"/>
              <w:bottom w:val="single" w:color="auto" w:sz="4" w:space="0"/>
              <w:right w:val="single" w:color="auto" w:sz="4" w:space="0"/>
            </w:tcBorders>
            <w:noWrap w:val="0"/>
            <w:vAlign w:val="bottom"/>
          </w:tcPr>
          <w:p>
            <w:pPr>
              <w:widowControl/>
              <w:jc w:val="left"/>
              <w:rPr>
                <w:rFonts w:ascii="宋体" w:cs="宋体"/>
                <w:color w:val="auto"/>
                <w:sz w:val="21"/>
                <w:szCs w:val="21"/>
              </w:rPr>
            </w:pPr>
            <w:r>
              <w:rPr>
                <w:rFonts w:hint="eastAsia" w:ascii="宋体" w:cs="宋体"/>
                <w:color w:val="auto"/>
                <w:sz w:val="21"/>
                <w:szCs w:val="21"/>
              </w:rPr>
              <w:t>　</w:t>
            </w:r>
          </w:p>
        </w:tc>
      </w:tr>
    </w:tbl>
    <w:p>
      <w:pPr>
        <w:autoSpaceDE w:val="0"/>
        <w:autoSpaceDN w:val="0"/>
        <w:adjustRightInd w:val="0"/>
        <w:spacing w:line="360" w:lineRule="auto"/>
        <w:jc w:val="both"/>
        <w:outlineLvl w:val="0"/>
        <w:rPr>
          <w:rFonts w:hint="eastAsia" w:ascii="宋体"/>
          <w:b/>
          <w:color w:val="auto"/>
          <w:kern w:val="21"/>
          <w:sz w:val="28"/>
          <w:szCs w:val="28"/>
        </w:rPr>
        <w:sectPr>
          <w:pgSz w:w="16838" w:h="11906" w:orient="landscape"/>
          <w:pgMar w:top="1440" w:right="1440" w:bottom="1440" w:left="1440" w:header="851" w:footer="992" w:gutter="0"/>
          <w:cols w:space="720" w:num="1"/>
          <w:docGrid w:linePitch="312" w:charSpace="0"/>
        </w:sectPr>
      </w:pPr>
    </w:p>
    <w:p>
      <w:pPr>
        <w:autoSpaceDE w:val="0"/>
        <w:autoSpaceDN w:val="0"/>
        <w:adjustRightInd w:val="0"/>
        <w:spacing w:line="360" w:lineRule="auto"/>
        <w:jc w:val="center"/>
        <w:outlineLvl w:val="0"/>
        <w:rPr>
          <w:rFonts w:hint="eastAsia" w:ascii="宋体"/>
          <w:b/>
          <w:color w:val="auto"/>
          <w:kern w:val="21"/>
          <w:sz w:val="28"/>
          <w:szCs w:val="28"/>
        </w:rPr>
      </w:pPr>
      <w:r>
        <w:rPr>
          <w:rFonts w:hint="eastAsia" w:ascii="宋体"/>
          <w:b/>
          <w:color w:val="auto"/>
          <w:kern w:val="21"/>
          <w:sz w:val="28"/>
          <w:szCs w:val="28"/>
        </w:rPr>
        <w:t>标项三</w:t>
      </w:r>
    </w:p>
    <w:p>
      <w:pPr>
        <w:pStyle w:val="3"/>
        <w:spacing w:before="60" w:after="60"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val="0"/>
          <w:color w:val="auto"/>
          <w:kern w:val="2"/>
          <w:sz w:val="24"/>
          <w:szCs w:val="24"/>
          <w:lang w:val="en-US" w:eastAsia="zh-CN" w:bidi="ar-SA"/>
        </w:rPr>
        <w:t>（一）项目建设依据及技术规范</w:t>
      </w:r>
    </w:p>
    <w:p>
      <w:pPr>
        <w:snapToGrid w:val="0"/>
        <w:spacing w:line="360" w:lineRule="auto"/>
        <w:ind w:firstLine="480"/>
        <w:rPr>
          <w:rFonts w:hint="eastAsia" w:ascii="宋体"/>
          <w:color w:val="auto"/>
          <w:sz w:val="24"/>
        </w:rPr>
      </w:pPr>
      <w:r>
        <w:rPr>
          <w:rFonts w:hint="eastAsia" w:ascii="宋体"/>
          <w:color w:val="auto"/>
          <w:sz w:val="24"/>
        </w:rPr>
        <w:t>本项目建设根据《浙江省公共安全视频监控建设联网应用工作实施方案（2016-2020年）》、《浙江省公共安全视频监控建设联网应用协调工作制度》中央综治委全国“雪亮工程”推进会精神、仙居县2018-2020雪亮工程建设推进会精神、浙江省大数据管理局关于《浙江省公共安全视频图像信息共享总平台建设规范的通知》及台州市创建无盗抢城市全域智能防控的要求。</w:t>
      </w:r>
    </w:p>
    <w:p>
      <w:pPr>
        <w:snapToGrid w:val="0"/>
        <w:spacing w:line="360" w:lineRule="auto"/>
        <w:ind w:firstLine="480"/>
        <w:rPr>
          <w:rFonts w:hint="eastAsia" w:ascii="宋体"/>
          <w:color w:val="auto"/>
          <w:sz w:val="24"/>
        </w:rPr>
      </w:pPr>
      <w:r>
        <w:rPr>
          <w:rFonts w:hint="eastAsia" w:ascii="宋体"/>
          <w:color w:val="auto"/>
          <w:sz w:val="24"/>
        </w:rPr>
        <w:t>本项目建设技术规范参照执行</w:t>
      </w:r>
      <w:r>
        <w:rPr>
          <w:rFonts w:hint="eastAsia" w:ascii="宋体"/>
          <w:color w:val="auto"/>
          <w:sz w:val="24"/>
          <w:lang w:val="en-US" w:eastAsia="zh-CN"/>
        </w:rPr>
        <w:t>GB28181-2016公共安全视频监控联网系统信息传输、交换、控制技术要求，</w:t>
      </w:r>
      <w:r>
        <w:rPr>
          <w:rFonts w:hint="eastAsia" w:ascii="宋体"/>
          <w:color w:val="auto"/>
          <w:sz w:val="24"/>
        </w:rPr>
        <w:t>DB33/T502-2018《浙江省社会治安动态视频监控系统技术规范》、DB33/T629-2011标准-点位编码之接入类型码表、DB33/T 629.1-2011《跨区域视频监控联网共享技术规范》、DB33/768-2009《安全技术防范系统建设技术规范》、GA/T 751-2008视频图像文字标注规范及《浙江省公安机关人像比对应用系统技术规范》。中标供应商需遵照上述标准进行设备安装调试及按标准设置视频图像及卡口图片中的文字标识、位置格式等。</w:t>
      </w:r>
    </w:p>
    <w:p>
      <w:pPr>
        <w:spacing w:line="360" w:lineRule="auto"/>
        <w:ind w:firstLine="482" w:firstLineChars="200"/>
        <w:outlineLvl w:val="0"/>
        <w:rPr>
          <w:rFonts w:hint="eastAsia" w:ascii="宋体"/>
          <w:b/>
          <w:color w:val="auto"/>
          <w:kern w:val="21"/>
          <w:sz w:val="24"/>
          <w:szCs w:val="24"/>
        </w:rPr>
      </w:pPr>
      <w:r>
        <w:rPr>
          <w:rFonts w:hint="eastAsia" w:ascii="宋体"/>
          <w:b/>
          <w:color w:val="auto"/>
          <w:kern w:val="21"/>
          <w:sz w:val="24"/>
          <w:szCs w:val="24"/>
          <w:lang w:val="en-US" w:eastAsia="zh-CN"/>
        </w:rPr>
        <w:t>（二）</w:t>
      </w:r>
      <w:r>
        <w:rPr>
          <w:rFonts w:hint="eastAsia" w:ascii="宋体"/>
          <w:b/>
          <w:color w:val="auto"/>
          <w:kern w:val="21"/>
          <w:sz w:val="24"/>
          <w:szCs w:val="24"/>
        </w:rPr>
        <w:t>点位内容分布</w:t>
      </w:r>
    </w:p>
    <w:p>
      <w:pPr>
        <w:snapToGrid w:val="0"/>
        <w:spacing w:line="360" w:lineRule="auto"/>
        <w:ind w:firstLine="480"/>
        <w:rPr>
          <w:rFonts w:hint="eastAsia" w:ascii="宋体"/>
          <w:color w:val="auto"/>
          <w:sz w:val="24"/>
        </w:rPr>
      </w:pPr>
      <w:r>
        <w:rPr>
          <w:rFonts w:hint="eastAsia" w:ascii="宋体"/>
          <w:color w:val="auto"/>
          <w:sz w:val="24"/>
        </w:rPr>
        <w:t>本项目规划建设点位257个，新增摄像头752个，其中900W卡口抓拍机168个，</w:t>
      </w:r>
      <w:r>
        <w:rPr>
          <w:rFonts w:hint="eastAsia" w:ascii="宋体"/>
          <w:color w:val="auto"/>
          <w:sz w:val="24"/>
          <w:lang w:eastAsia="zh-CN"/>
        </w:rPr>
        <w:t>星光级多功能摄像机</w:t>
      </w:r>
      <w:r>
        <w:rPr>
          <w:rFonts w:hint="eastAsia" w:ascii="宋体"/>
          <w:color w:val="auto"/>
          <w:sz w:val="24"/>
        </w:rPr>
        <w:t>582个以及人脸抓拍半球2个。范围覆盖</w:t>
      </w:r>
      <w:r>
        <w:rPr>
          <w:rFonts w:hint="eastAsia" w:ascii="宋体"/>
          <w:color w:val="auto"/>
          <w:sz w:val="24"/>
          <w:szCs w:val="24"/>
        </w:rPr>
        <w:t>田市、白塔、淡竹、皤滩、埠头、横溪、湫山等乡镇</w:t>
      </w:r>
      <w:r>
        <w:rPr>
          <w:rFonts w:hint="eastAsia" w:ascii="宋体"/>
          <w:color w:val="auto"/>
          <w:sz w:val="24"/>
        </w:rPr>
        <w:t>。</w:t>
      </w:r>
    </w:p>
    <w:p>
      <w:pPr>
        <w:autoSpaceDE w:val="0"/>
        <w:autoSpaceDN w:val="0"/>
        <w:adjustRightInd w:val="0"/>
        <w:spacing w:line="360" w:lineRule="auto"/>
        <w:ind w:firstLine="482" w:firstLineChars="200"/>
        <w:jc w:val="both"/>
        <w:outlineLvl w:val="0"/>
        <w:rPr>
          <w:rFonts w:hint="eastAsia" w:ascii="宋体"/>
          <w:b/>
          <w:color w:val="auto"/>
          <w:sz w:val="24"/>
        </w:rPr>
      </w:pPr>
      <w:r>
        <w:rPr>
          <w:rFonts w:hint="eastAsia" w:ascii="宋体"/>
          <w:b/>
          <w:color w:val="auto"/>
          <w:sz w:val="24"/>
        </w:rPr>
        <w:t>具体分布表：详见附表三标项三点位统计表</w:t>
      </w:r>
    </w:p>
    <w:p>
      <w:pPr>
        <w:spacing w:line="360" w:lineRule="auto"/>
        <w:ind w:firstLine="482" w:firstLineChars="200"/>
        <w:outlineLvl w:val="0"/>
        <w:rPr>
          <w:rFonts w:hint="eastAsia" w:ascii="宋体"/>
          <w:b/>
          <w:color w:val="auto"/>
          <w:kern w:val="21"/>
          <w:sz w:val="24"/>
          <w:szCs w:val="24"/>
        </w:rPr>
      </w:pPr>
      <w:r>
        <w:rPr>
          <w:rFonts w:hint="eastAsia" w:ascii="宋体"/>
          <w:b/>
          <w:color w:val="auto"/>
          <w:kern w:val="21"/>
          <w:sz w:val="24"/>
          <w:szCs w:val="24"/>
          <w:lang w:eastAsia="zh-CN"/>
        </w:rPr>
        <w:t>（</w:t>
      </w:r>
      <w:r>
        <w:rPr>
          <w:rFonts w:hint="eastAsia" w:ascii="宋体"/>
          <w:b/>
          <w:color w:val="auto"/>
          <w:kern w:val="21"/>
          <w:sz w:val="24"/>
          <w:szCs w:val="24"/>
          <w:lang w:val="en-US" w:eastAsia="zh-CN"/>
        </w:rPr>
        <w:t>三</w:t>
      </w:r>
      <w:r>
        <w:rPr>
          <w:rFonts w:hint="eastAsia" w:ascii="宋体"/>
          <w:b/>
          <w:color w:val="auto"/>
          <w:kern w:val="21"/>
          <w:sz w:val="24"/>
          <w:szCs w:val="24"/>
          <w:lang w:eastAsia="zh-CN"/>
        </w:rPr>
        <w:t>）</w:t>
      </w:r>
      <w:r>
        <w:rPr>
          <w:rFonts w:hint="eastAsia" w:ascii="宋体"/>
          <w:b/>
          <w:color w:val="auto"/>
          <w:kern w:val="21"/>
          <w:sz w:val="24"/>
          <w:szCs w:val="24"/>
        </w:rPr>
        <w:t>系统功能组成及要求</w:t>
      </w:r>
    </w:p>
    <w:p>
      <w:pPr>
        <w:snapToGrid w:val="0"/>
        <w:spacing w:line="360" w:lineRule="auto"/>
        <w:ind w:firstLine="480"/>
        <w:rPr>
          <w:rFonts w:hint="eastAsia" w:ascii="宋体"/>
          <w:color w:val="auto"/>
          <w:sz w:val="24"/>
        </w:rPr>
      </w:pPr>
      <w:r>
        <w:rPr>
          <w:rFonts w:hint="eastAsia" w:ascii="宋体"/>
          <w:color w:val="auto"/>
          <w:sz w:val="24"/>
        </w:rPr>
        <w:t>1、前端监控的布点安装地点、监控目标不同，视频监控资源的重要性也不同。为了有效利用警力和设备资源，工程实施单位应对已勘察前端点位进行基础开挖前的复查与核实，按重要程度不同进行分类管理和配置。</w:t>
      </w:r>
    </w:p>
    <w:p>
      <w:pPr>
        <w:snapToGrid w:val="0"/>
        <w:spacing w:line="360" w:lineRule="auto"/>
        <w:ind w:firstLine="480"/>
        <w:rPr>
          <w:rFonts w:hint="eastAsia" w:ascii="宋体"/>
          <w:color w:val="auto"/>
          <w:sz w:val="24"/>
        </w:rPr>
      </w:pPr>
      <w:r>
        <w:rPr>
          <w:rFonts w:hint="eastAsia" w:ascii="宋体"/>
          <w:color w:val="auto"/>
          <w:sz w:val="24"/>
        </w:rPr>
        <w:t>2、为贯彻落实省厅“云上公安，智能防控”第一战略建设的工作部署，不断提升信息化实战水平，充分发挥人像识别技术在治安防控领域的应用效益，仙居县公安局积极挖掘自身潜力，根据以往经验、结合实战需求，部门发动、全警联动、集思广益，在全区统一搭建的人像动态识别平台的基础上，根据各警种的需求提炼形成人像综合应用模型，并可与台州市局人像系统做集群联动</w:t>
      </w:r>
      <w:r>
        <w:rPr>
          <w:rFonts w:ascii="宋体"/>
          <w:color w:val="auto"/>
          <w:sz w:val="24"/>
        </w:rPr>
        <w:t>。</w:t>
      </w:r>
      <w:r>
        <w:rPr>
          <w:rFonts w:hint="eastAsia" w:ascii="宋体"/>
          <w:color w:val="auto"/>
          <w:sz w:val="24"/>
        </w:rPr>
        <w:t>完全能无缝对接台州市公安局人脸比对平台系统的仙居县动态视频流人像识别比对系统数据服务6</w:t>
      </w:r>
      <w:r>
        <w:rPr>
          <w:rFonts w:hint="eastAsia" w:ascii="宋体"/>
          <w:color w:val="auto"/>
          <w:sz w:val="24"/>
          <w:lang w:val="en-US" w:eastAsia="zh-CN"/>
        </w:rPr>
        <w:t>4</w:t>
      </w:r>
      <w:r>
        <w:rPr>
          <w:rFonts w:hint="eastAsia" w:ascii="宋体"/>
          <w:color w:val="auto"/>
          <w:sz w:val="24"/>
        </w:rPr>
        <w:t>0路</w:t>
      </w:r>
      <w:r>
        <w:rPr>
          <w:rFonts w:hint="eastAsia" w:ascii="宋体"/>
          <w:color w:val="auto"/>
          <w:sz w:val="24"/>
          <w:lang w:eastAsia="zh-CN"/>
        </w:rPr>
        <w:t>。</w:t>
      </w:r>
    </w:p>
    <w:p>
      <w:pPr>
        <w:snapToGrid w:val="0"/>
        <w:spacing w:line="360" w:lineRule="auto"/>
        <w:ind w:firstLine="480"/>
        <w:rPr>
          <w:rFonts w:hint="eastAsia" w:ascii="宋体"/>
          <w:color w:val="auto"/>
          <w:sz w:val="24"/>
        </w:rPr>
      </w:pPr>
      <w:r>
        <w:rPr>
          <w:rFonts w:hint="eastAsia" w:ascii="宋体"/>
          <w:color w:val="auto"/>
          <w:sz w:val="24"/>
        </w:rPr>
        <w:t>3、前端视频图像采集设备到后端机房交换机之间的传输网络包括传输光缆、光转换设备、前端汇聚/分线设备、尾纤跳线等；允许投标人采用裸光纤方式或G-Pon方式组网。若采用裸光纤方式组网，则要求自行增加汇聚交换机相应数量的扩展板卡来实现接口数增加。若采用G-Pon方式组网，则要求自行增加汇聚/核心交换机上的万兆光模块，以实现ONU双万兆链路互联。为保障网络稳定运行，各光纤模块应采用原厂产品。网络性能指标（网络时延、时延抖动、丢包率、包误差率）应达到</w:t>
      </w:r>
      <w:r>
        <w:rPr>
          <w:rFonts w:ascii="宋体"/>
          <w:color w:val="auto"/>
          <w:sz w:val="24"/>
        </w:rPr>
        <w:t>YD/T 1171中规定的0级服务质量等级,网络时延上限值为150ms；时延抖动上限值为50ms；丢包率上限值为1x</w:t>
      </w:r>
      <w:r>
        <w:rPr>
          <w:rFonts w:ascii="宋体"/>
          <w:color w:val="auto"/>
          <w:sz w:val="24"/>
          <w:szCs w:val="24"/>
        </w:rPr>
        <w:t>10</w:t>
      </w:r>
      <w:r>
        <w:rPr>
          <w:rFonts w:ascii="宋体"/>
          <w:color w:val="auto"/>
          <w:sz w:val="24"/>
          <w:szCs w:val="24"/>
          <w:vertAlign w:val="superscript"/>
        </w:rPr>
        <w:t>-</w:t>
      </w:r>
      <w:r>
        <w:rPr>
          <w:rFonts w:hint="eastAsia" w:ascii="宋体"/>
          <w:color w:val="auto"/>
          <w:sz w:val="24"/>
          <w:szCs w:val="24"/>
          <w:vertAlign w:val="superscript"/>
        </w:rPr>
        <w:t>3</w:t>
      </w:r>
      <w:r>
        <w:rPr>
          <w:rFonts w:ascii="宋体"/>
          <w:color w:val="auto"/>
          <w:sz w:val="24"/>
        </w:rPr>
        <w:t>；包误差率上限值为1x</w:t>
      </w:r>
      <w:r>
        <w:rPr>
          <w:rFonts w:ascii="宋体"/>
          <w:color w:val="auto"/>
          <w:sz w:val="24"/>
          <w:szCs w:val="24"/>
        </w:rPr>
        <w:t>10</w:t>
      </w:r>
      <w:r>
        <w:rPr>
          <w:rFonts w:ascii="宋体"/>
          <w:color w:val="auto"/>
          <w:sz w:val="24"/>
          <w:szCs w:val="24"/>
          <w:vertAlign w:val="superscript"/>
        </w:rPr>
        <w:t>-4</w:t>
      </w:r>
      <w:r>
        <w:rPr>
          <w:rFonts w:hint="eastAsia" w:ascii="宋体"/>
          <w:color w:val="auto"/>
          <w:sz w:val="24"/>
        </w:rPr>
        <w:t>。</w:t>
      </w:r>
    </w:p>
    <w:p>
      <w:pPr>
        <w:snapToGrid w:val="0"/>
        <w:spacing w:line="360" w:lineRule="auto"/>
        <w:ind w:firstLine="480"/>
        <w:rPr>
          <w:rFonts w:hint="eastAsia" w:ascii="宋体"/>
          <w:color w:val="auto"/>
          <w:sz w:val="24"/>
        </w:rPr>
      </w:pPr>
      <w:r>
        <w:rPr>
          <w:rFonts w:hint="eastAsia" w:ascii="宋体"/>
          <w:color w:val="auto"/>
          <w:sz w:val="24"/>
        </w:rPr>
        <w:t>4、存储设备必须能无缝与原天网平台连接，录像保存时间不少于30天，图片保存时间不少于180天。</w:t>
      </w:r>
    </w:p>
    <w:p>
      <w:pPr>
        <w:snapToGrid w:val="0"/>
        <w:spacing w:line="360" w:lineRule="auto"/>
        <w:ind w:firstLine="480"/>
        <w:rPr>
          <w:rFonts w:hint="eastAsia" w:ascii="宋体"/>
          <w:color w:val="auto"/>
          <w:sz w:val="24"/>
        </w:rPr>
      </w:pPr>
      <w:r>
        <w:rPr>
          <w:rFonts w:hint="default" w:ascii="宋体"/>
          <w:color w:val="auto"/>
          <w:sz w:val="24"/>
          <w:lang w:val="en-US"/>
        </w:rPr>
        <w:t>5</w:t>
      </w:r>
      <w:r>
        <w:rPr>
          <w:rFonts w:hint="eastAsia" w:ascii="宋体"/>
          <w:color w:val="auto"/>
          <w:sz w:val="24"/>
          <w:lang w:val="en-US" w:eastAsia="zh-CN"/>
        </w:rPr>
        <w:t>、为保证视频监控系统运维质量，建议相关设备准备充足的备品备件；根据各自不同组网方式涉及的相关设备自行配置。</w:t>
      </w:r>
    </w:p>
    <w:p>
      <w:pPr>
        <w:spacing w:line="360" w:lineRule="auto"/>
        <w:ind w:firstLine="482" w:firstLineChars="200"/>
        <w:outlineLvl w:val="0"/>
        <w:rPr>
          <w:rFonts w:hint="eastAsia" w:ascii="宋体"/>
          <w:b/>
          <w:color w:val="auto"/>
          <w:kern w:val="21"/>
          <w:sz w:val="24"/>
          <w:szCs w:val="24"/>
        </w:rPr>
      </w:pPr>
      <w:r>
        <w:rPr>
          <w:rFonts w:hint="eastAsia" w:ascii="宋体"/>
          <w:b/>
          <w:color w:val="auto"/>
          <w:kern w:val="21"/>
          <w:sz w:val="24"/>
          <w:szCs w:val="24"/>
          <w:lang w:eastAsia="zh-CN"/>
        </w:rPr>
        <w:t>（</w:t>
      </w:r>
      <w:r>
        <w:rPr>
          <w:rFonts w:hint="eastAsia" w:ascii="宋体"/>
          <w:b/>
          <w:color w:val="auto"/>
          <w:kern w:val="21"/>
          <w:sz w:val="24"/>
          <w:szCs w:val="24"/>
          <w:lang w:val="en-US" w:eastAsia="zh-CN"/>
        </w:rPr>
        <w:t>四</w:t>
      </w:r>
      <w:r>
        <w:rPr>
          <w:rFonts w:hint="eastAsia" w:ascii="宋体"/>
          <w:b/>
          <w:color w:val="auto"/>
          <w:kern w:val="21"/>
          <w:sz w:val="24"/>
          <w:szCs w:val="24"/>
          <w:lang w:eastAsia="zh-CN"/>
        </w:rPr>
        <w:t>）</w:t>
      </w:r>
      <w:r>
        <w:rPr>
          <w:rFonts w:hint="eastAsia" w:ascii="宋体"/>
          <w:b/>
          <w:color w:val="auto"/>
          <w:kern w:val="21"/>
          <w:sz w:val="24"/>
          <w:szCs w:val="24"/>
        </w:rPr>
        <w:t>主要设备的技术参数及数量参考</w:t>
      </w:r>
    </w:p>
    <w:p>
      <w:pPr>
        <w:tabs>
          <w:tab w:val="left" w:pos="900"/>
        </w:tabs>
        <w:snapToGrid w:val="0"/>
        <w:spacing w:line="360" w:lineRule="auto"/>
        <w:ind w:firstLine="480"/>
        <w:jc w:val="left"/>
        <w:rPr>
          <w:rFonts w:hint="eastAsia" w:ascii="宋体"/>
          <w:color w:val="auto"/>
          <w:sz w:val="24"/>
          <w:lang w:eastAsia="zh-CN"/>
        </w:rPr>
      </w:pPr>
      <w:r>
        <w:rPr>
          <w:rFonts w:hint="eastAsia" w:ascii="宋体"/>
          <w:color w:val="auto"/>
          <w:sz w:val="24"/>
          <w:lang w:eastAsia="zh-CN"/>
        </w:rPr>
        <w:t>技术参数与数量的参考表是组成整体服务项目最基本的单元，</w:t>
      </w:r>
      <w:r>
        <w:rPr>
          <w:rFonts w:hint="eastAsia" w:ascii="宋体"/>
          <w:color w:val="auto"/>
          <w:sz w:val="24"/>
        </w:rPr>
        <w:t>投标人可</w:t>
      </w:r>
      <w:r>
        <w:rPr>
          <w:rFonts w:hint="eastAsia" w:ascii="宋体"/>
          <w:color w:val="auto"/>
          <w:sz w:val="24"/>
          <w:lang w:val="en-US" w:eastAsia="zh-CN"/>
        </w:rPr>
        <w:t>按</w:t>
      </w:r>
      <w:r>
        <w:rPr>
          <w:rFonts w:hint="eastAsia" w:ascii="宋体"/>
          <w:color w:val="auto"/>
          <w:sz w:val="24"/>
        </w:rPr>
        <w:t>实际情况调整，</w:t>
      </w:r>
      <w:r>
        <w:rPr>
          <w:rFonts w:hint="eastAsia" w:ascii="宋体"/>
          <w:color w:val="auto"/>
          <w:sz w:val="24"/>
          <w:lang w:val="en-US" w:eastAsia="zh-CN"/>
        </w:rPr>
        <w:t>但</w:t>
      </w:r>
      <w:r>
        <w:rPr>
          <w:rFonts w:hint="eastAsia" w:ascii="宋体"/>
          <w:color w:val="auto"/>
          <w:sz w:val="24"/>
        </w:rPr>
        <w:t>整</w:t>
      </w:r>
      <w:r>
        <w:rPr>
          <w:rFonts w:hint="eastAsia" w:ascii="宋体"/>
          <w:color w:val="auto"/>
          <w:sz w:val="24"/>
          <w:lang w:val="en-US" w:eastAsia="zh-CN"/>
        </w:rPr>
        <w:t>体必须</w:t>
      </w:r>
      <w:r>
        <w:rPr>
          <w:rFonts w:hint="eastAsia" w:ascii="宋体"/>
          <w:color w:val="auto"/>
          <w:sz w:val="24"/>
        </w:rPr>
        <w:t>实现</w:t>
      </w:r>
      <w:r>
        <w:rPr>
          <w:rFonts w:hint="eastAsia" w:ascii="宋体"/>
          <w:color w:val="auto"/>
          <w:sz w:val="24"/>
          <w:lang w:val="en-US" w:eastAsia="zh-CN"/>
        </w:rPr>
        <w:t>项目服务目标</w:t>
      </w:r>
      <w:r>
        <w:rPr>
          <w:rFonts w:hint="eastAsia" w:ascii="宋体"/>
          <w:color w:val="auto"/>
          <w:sz w:val="24"/>
        </w:rPr>
        <w:t>，</w:t>
      </w:r>
      <w:r>
        <w:rPr>
          <w:rFonts w:hint="eastAsia" w:ascii="宋体"/>
          <w:color w:val="auto"/>
          <w:sz w:val="24"/>
          <w:lang w:eastAsia="zh-CN"/>
        </w:rPr>
        <w:t>如因所选设备无法满足人脸抓拍场景宽度或其他服务需求的自行增加设备</w:t>
      </w:r>
      <w:r>
        <w:rPr>
          <w:rFonts w:hint="eastAsia" w:ascii="宋体"/>
          <w:color w:val="auto"/>
          <w:sz w:val="24"/>
        </w:rPr>
        <w:t>并与</w:t>
      </w:r>
      <w:r>
        <w:rPr>
          <w:rFonts w:hint="eastAsia" w:ascii="宋体"/>
          <w:color w:val="auto"/>
          <w:sz w:val="24"/>
          <w:lang w:eastAsia="zh-CN"/>
        </w:rPr>
        <w:t>相关服务</w:t>
      </w:r>
      <w:r>
        <w:rPr>
          <w:rFonts w:hint="eastAsia" w:ascii="宋体"/>
          <w:color w:val="auto"/>
          <w:sz w:val="24"/>
        </w:rPr>
        <w:t>平台实现无缝对接</w:t>
      </w:r>
      <w:r>
        <w:rPr>
          <w:rFonts w:hint="eastAsia" w:ascii="宋体"/>
          <w:color w:val="auto"/>
          <w:sz w:val="24"/>
          <w:lang w:eastAsia="zh-CN"/>
        </w:rPr>
        <w:t>，</w:t>
      </w:r>
      <w:r>
        <w:rPr>
          <w:rFonts w:hint="eastAsia" w:ascii="宋体"/>
          <w:color w:val="auto"/>
          <w:sz w:val="24"/>
        </w:rPr>
        <w:t>由中标人承担相关的一切费用</w:t>
      </w:r>
      <w:r>
        <w:rPr>
          <w:rFonts w:hint="eastAsia" w:ascii="宋体"/>
          <w:color w:val="auto"/>
          <w:sz w:val="24"/>
          <w:lang w:eastAsia="zh-CN"/>
        </w:rPr>
        <w:t>；鼓励使用更先进的技术及设备提供更好的服务（需在治安复杂及智安村居小区等区域根据业主指定制作悬挂“无盗抢视频监控区域”警示牌</w:t>
      </w:r>
      <w:r>
        <w:rPr>
          <w:rFonts w:hint="eastAsia" w:ascii="宋体"/>
          <w:color w:val="auto"/>
          <w:sz w:val="24"/>
          <w:lang w:val="en-US" w:eastAsia="zh-CN"/>
        </w:rPr>
        <w:t>50个</w:t>
      </w:r>
      <w:r>
        <w:rPr>
          <w:rFonts w:hint="eastAsia" w:ascii="宋体"/>
          <w:color w:val="auto"/>
          <w:sz w:val="24"/>
          <w:lang w:eastAsia="zh-CN"/>
        </w:rPr>
        <w:t>）。</w:t>
      </w:r>
    </w:p>
    <w:p>
      <w:pPr>
        <w:tabs>
          <w:tab w:val="left" w:pos="900"/>
        </w:tabs>
        <w:snapToGrid w:val="0"/>
        <w:spacing w:line="360" w:lineRule="auto"/>
        <w:ind w:firstLine="480"/>
        <w:jc w:val="center"/>
        <w:rPr>
          <w:rFonts w:hint="eastAsia" w:ascii="宋体" w:cs="宋体"/>
          <w:b/>
          <w:color w:val="auto"/>
          <w:sz w:val="21"/>
          <w:szCs w:val="21"/>
          <w:lang w:bidi="ar"/>
        </w:rPr>
      </w:pPr>
      <w:r>
        <w:rPr>
          <w:rFonts w:hint="eastAsia" w:ascii="宋体"/>
          <w:b/>
          <w:bCs/>
          <w:color w:val="auto"/>
          <w:sz w:val="24"/>
          <w:lang w:val="en-US" w:eastAsia="zh-CN"/>
        </w:rPr>
        <w:t>表</w:t>
      </w:r>
      <w:r>
        <w:rPr>
          <w:rFonts w:hint="eastAsia" w:ascii="宋体"/>
          <w:b/>
          <w:bCs/>
          <w:color w:val="auto"/>
          <w:sz w:val="24"/>
          <w:lang w:eastAsia="zh-CN"/>
        </w:rPr>
        <w:t>1.拟投入的</w:t>
      </w:r>
      <w:r>
        <w:rPr>
          <w:rFonts w:hint="eastAsia" w:ascii="宋体"/>
          <w:b/>
          <w:bCs/>
          <w:color w:val="auto"/>
          <w:sz w:val="24"/>
          <w:lang w:val="en-US" w:eastAsia="zh-CN"/>
        </w:rPr>
        <w:t>主要</w:t>
      </w:r>
      <w:r>
        <w:rPr>
          <w:rFonts w:hint="eastAsia" w:ascii="宋体"/>
          <w:b/>
          <w:bCs/>
          <w:color w:val="auto"/>
          <w:sz w:val="24"/>
          <w:lang w:eastAsia="zh-CN"/>
        </w:rPr>
        <w:t>软硬件设备</w:t>
      </w:r>
      <w:r>
        <w:rPr>
          <w:rFonts w:hint="eastAsia" w:ascii="宋体"/>
          <w:b/>
          <w:bCs/>
          <w:color w:val="auto"/>
          <w:sz w:val="24"/>
          <w:lang w:val="en-US" w:eastAsia="zh-CN"/>
        </w:rPr>
        <w:t>数量</w:t>
      </w:r>
    </w:p>
    <w:tbl>
      <w:tblPr>
        <w:tblStyle w:val="39"/>
        <w:tblW w:w="0" w:type="auto"/>
        <w:tblInd w:w="0" w:type="dxa"/>
        <w:tblLayout w:type="fixed"/>
        <w:tblCellMar>
          <w:top w:w="0" w:type="dxa"/>
          <w:left w:w="0" w:type="dxa"/>
          <w:bottom w:w="0" w:type="dxa"/>
          <w:right w:w="0" w:type="dxa"/>
        </w:tblCellMar>
      </w:tblPr>
      <w:tblGrid>
        <w:gridCol w:w="832"/>
        <w:gridCol w:w="3820"/>
        <w:gridCol w:w="2740"/>
        <w:gridCol w:w="831"/>
        <w:gridCol w:w="833"/>
      </w:tblGrid>
      <w:tr>
        <w:tblPrEx>
          <w:tblCellMar>
            <w:top w:w="0" w:type="dxa"/>
            <w:left w:w="0" w:type="dxa"/>
            <w:bottom w:w="0" w:type="dxa"/>
            <w:right w:w="0" w:type="dxa"/>
          </w:tblCellMar>
        </w:tblPrEx>
        <w:trPr>
          <w:trHeight w:val="240" w:hRule="atLeast"/>
          <w:tblHeader/>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序号</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color w:val="auto"/>
                <w:sz w:val="21"/>
                <w:szCs w:val="21"/>
              </w:rPr>
            </w:pPr>
            <w:r>
              <w:rPr>
                <w:rFonts w:hint="eastAsia" w:ascii="宋体" w:cs="宋体"/>
                <w:b/>
                <w:color w:val="auto"/>
                <w:sz w:val="21"/>
                <w:szCs w:val="21"/>
                <w:lang w:bidi="ar"/>
              </w:rPr>
              <w:t>设备名称</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color w:val="auto"/>
                <w:sz w:val="21"/>
                <w:szCs w:val="21"/>
              </w:rPr>
            </w:pPr>
            <w:r>
              <w:rPr>
                <w:rFonts w:hint="eastAsia" w:ascii="宋体" w:cs="宋体"/>
                <w:b/>
                <w:color w:val="auto"/>
                <w:sz w:val="21"/>
                <w:szCs w:val="21"/>
                <w:lang w:eastAsia="zh-CN" w:bidi="ar"/>
              </w:rPr>
              <w:t>参考</w:t>
            </w:r>
            <w:r>
              <w:rPr>
                <w:rFonts w:hint="eastAsia" w:ascii="宋体" w:cs="宋体"/>
                <w:b/>
                <w:color w:val="auto"/>
                <w:sz w:val="21"/>
                <w:szCs w:val="21"/>
                <w:lang w:bidi="ar"/>
              </w:rPr>
              <w:t>品牌</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单位</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color w:val="auto"/>
                <w:sz w:val="21"/>
                <w:szCs w:val="21"/>
              </w:rPr>
            </w:pPr>
            <w:r>
              <w:rPr>
                <w:rFonts w:hint="eastAsia" w:ascii="宋体" w:cs="宋体"/>
                <w:b/>
                <w:color w:val="auto"/>
                <w:sz w:val="21"/>
                <w:szCs w:val="21"/>
                <w:lang w:bidi="ar"/>
              </w:rPr>
              <w:t>数量</w:t>
            </w:r>
          </w:p>
        </w:tc>
      </w:tr>
      <w:tr>
        <w:tblPrEx>
          <w:tblCellMar>
            <w:top w:w="0" w:type="dxa"/>
            <w:left w:w="0" w:type="dxa"/>
            <w:bottom w:w="0" w:type="dxa"/>
            <w:right w:w="0" w:type="dxa"/>
          </w:tblCellMar>
        </w:tblPrEx>
        <w:trPr>
          <w:trHeight w:val="289"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（一）视频监控设备</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星光级</w:t>
            </w:r>
            <w:r>
              <w:rPr>
                <w:rFonts w:hint="eastAsia" w:ascii="宋体" w:cs="宋体"/>
                <w:color w:val="auto"/>
                <w:sz w:val="21"/>
                <w:szCs w:val="21"/>
                <w:lang w:eastAsia="zh-CN" w:bidi="ar"/>
              </w:rPr>
              <w:t>多功能摄像机</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582</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900万</w:t>
            </w:r>
            <w:r>
              <w:rPr>
                <w:rFonts w:hint="eastAsia" w:ascii="宋体" w:cs="宋体"/>
                <w:color w:val="auto"/>
                <w:sz w:val="21"/>
                <w:szCs w:val="21"/>
                <w:lang w:eastAsia="zh-CN" w:bidi="ar"/>
              </w:rPr>
              <w:t>卡口</w:t>
            </w:r>
            <w:r>
              <w:rPr>
                <w:rFonts w:hint="eastAsia" w:ascii="宋体" w:cs="宋体"/>
                <w:color w:val="auto"/>
                <w:sz w:val="21"/>
                <w:szCs w:val="21"/>
                <w:lang w:bidi="ar"/>
              </w:rPr>
              <w:t>视频抓拍机</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168</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人脸半球摄像机</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聚光闪光灯</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海康、大华、宇视</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331</w:t>
            </w:r>
          </w:p>
        </w:tc>
      </w:tr>
      <w:tr>
        <w:tblPrEx>
          <w:tblCellMar>
            <w:top w:w="0" w:type="dxa"/>
            <w:left w:w="0" w:type="dxa"/>
            <w:bottom w:w="0" w:type="dxa"/>
            <w:right w:w="0" w:type="dxa"/>
          </w:tblCellMar>
        </w:tblPrEx>
        <w:trPr>
          <w:trHeight w:val="289"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（二）杆件</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Y型监控杆，高6米,挑6米，挑6米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Y型监控杆，高6米,挑6米，挑3米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Y型监控杆，高6米,挑5米，挑3米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Y型监控杆，高6米,挑4米，挑4米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Y型监控杆，高6米,挑3米，挑3米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T型监控杆，高6米,挑3米，挑3米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L型监控杆，高6米,挑6米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7</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L型监控杆，高6米,挑4米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9"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L型监控杆，高6米,挑3米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10</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L型监控杆，高6米,挑1米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L型监控杆等径杆，高6米,挑3米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11</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L型监控杆等径杆，高6米,挑2米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壁装挑臂1M</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壁装挑臂2M</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15</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抱杆挑臂,挑臂3米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84</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抱杆挑臂,挑臂2米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12</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17</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抱杆挑臂,挑臂1米</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挑臂延伸杆-3M</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6</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预埋件(中)</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20</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预埋件(小)</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接地棒</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个</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33</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14</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镀锌扁铁</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24</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枪机壁装支架</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22</w:t>
            </w:r>
          </w:p>
        </w:tc>
      </w:tr>
      <w:tr>
        <w:tblPrEx>
          <w:tblCellMar>
            <w:top w:w="0" w:type="dxa"/>
            <w:left w:w="0" w:type="dxa"/>
            <w:bottom w:w="0" w:type="dxa"/>
            <w:right w:w="0" w:type="dxa"/>
          </w:tblCellMar>
        </w:tblPrEx>
        <w:trPr>
          <w:trHeight w:val="282"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25</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借杆抱箍</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（三）辅材</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杆件挂箱（大）</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只</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181</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杆件挂箱（小）</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定制</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只</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16</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辅材</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国产</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（四）传输设备</w:t>
            </w:r>
          </w:p>
        </w:tc>
      </w:tr>
      <w:tr>
        <w:tblPrEx>
          <w:tblCellMar>
            <w:top w:w="0" w:type="dxa"/>
            <w:left w:w="0" w:type="dxa"/>
            <w:bottom w:w="0" w:type="dxa"/>
            <w:right w:w="0" w:type="dxa"/>
          </w:tblCellMar>
        </w:tblPrEx>
        <w:trPr>
          <w:trHeight w:val="48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eastAsia="zh-CN" w:bidi="ar"/>
              </w:rPr>
              <w:t>一光八电</w:t>
            </w:r>
            <w:r>
              <w:rPr>
                <w:rFonts w:hint="eastAsia" w:ascii="宋体" w:cs="宋体"/>
                <w:color w:val="auto"/>
                <w:sz w:val="21"/>
                <w:szCs w:val="21"/>
                <w:lang w:bidi="ar"/>
              </w:rPr>
              <w:t>前端以太网接入设备</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197</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8口交换机</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华三、华为、中威</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8</w:t>
            </w:r>
          </w:p>
        </w:tc>
      </w:tr>
      <w:tr>
        <w:tblPrEx>
          <w:tblCellMar>
            <w:top w:w="0" w:type="dxa"/>
            <w:left w:w="0" w:type="dxa"/>
            <w:bottom w:w="0" w:type="dxa"/>
            <w:right w:w="0" w:type="dxa"/>
          </w:tblCellMar>
        </w:tblPrEx>
        <w:trPr>
          <w:trHeight w:val="48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eastAsia="宋体" w:cs="宋体"/>
                <w:color w:val="auto"/>
                <w:sz w:val="21"/>
                <w:szCs w:val="21"/>
                <w:lang w:eastAsia="zh-CN"/>
              </w:rPr>
            </w:pPr>
            <w:r>
              <w:rPr>
                <w:rFonts w:hint="eastAsia" w:ascii="宋体" w:cs="宋体"/>
                <w:color w:val="auto"/>
                <w:sz w:val="21"/>
                <w:szCs w:val="21"/>
                <w:lang w:bidi="ar"/>
              </w:rPr>
              <w:t>中心板卡4光1电（光口千兆电口千兆</w:t>
            </w:r>
            <w:r>
              <w:rPr>
                <w:rFonts w:hint="eastAsia" w:ascii="宋体" w:cs="宋体"/>
                <w:color w:val="auto"/>
                <w:sz w:val="21"/>
                <w:szCs w:val="21"/>
                <w:lang w:eastAsia="zh-CN" w:bidi="ar"/>
              </w:rPr>
              <w:t>）</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52</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光端机箱</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中威、微创、海康</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color w:val="auto"/>
                <w:sz w:val="21"/>
                <w:szCs w:val="21"/>
              </w:rPr>
            </w:pPr>
            <w:r>
              <w:rPr>
                <w:rFonts w:hint="eastAsia" w:ascii="宋体" w:cs="宋体"/>
                <w:color w:val="auto"/>
                <w:sz w:val="21"/>
                <w:szCs w:val="21"/>
                <w:lang w:bidi="ar"/>
              </w:rPr>
              <w:t>（五）网络设备</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24口全千兆三层交换机</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150W 资产管理交流电源模块</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24口全千兆二层交换机</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光模块</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华为、华三、中兴</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（六）存储设备</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机架式SSU存储机头</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立元、海康、华为</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9</w:t>
            </w:r>
          </w:p>
        </w:tc>
      </w:tr>
      <w:tr>
        <w:tblPrEx>
          <w:tblCellMar>
            <w:top w:w="0" w:type="dxa"/>
            <w:left w:w="0" w:type="dxa"/>
            <w:bottom w:w="0" w:type="dxa"/>
            <w:right w:w="0" w:type="dxa"/>
          </w:tblCellMar>
        </w:tblPrEx>
        <w:trPr>
          <w:trHeight w:val="48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企业级6T硬盘</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希捷、西部数据、东芝</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块</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216</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机柜</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图腾、华丰、博华</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r>
      <w:tr>
        <w:tblPrEx>
          <w:tblCellMar>
            <w:top w:w="0" w:type="dxa"/>
            <w:left w:w="0" w:type="dxa"/>
            <w:bottom w:w="0" w:type="dxa"/>
            <w:right w:w="0" w:type="dxa"/>
          </w:tblCellMar>
        </w:tblPrEx>
        <w:trPr>
          <w:trHeight w:val="240" w:hRule="atLeast"/>
        </w:trPr>
        <w:tc>
          <w:tcPr>
            <w:tcW w:w="90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（七）动态人像识别系统</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人像智能解析服务器</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依图、浪潮、华为</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4</w:t>
            </w:r>
          </w:p>
        </w:tc>
      </w:tr>
      <w:tr>
        <w:tblPrEx>
          <w:tblCellMar>
            <w:top w:w="0" w:type="dxa"/>
            <w:left w:w="0" w:type="dxa"/>
            <w:bottom w:w="0" w:type="dxa"/>
            <w:right w:w="0" w:type="dxa"/>
          </w:tblCellMar>
        </w:tblPrEx>
        <w:trPr>
          <w:trHeight w:val="24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2</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人像识别系统存储服务器</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依图、浪潮、华为</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r>
        <w:tblPrEx>
          <w:tblCellMar>
            <w:top w:w="0" w:type="dxa"/>
            <w:left w:w="0" w:type="dxa"/>
            <w:bottom w:w="0" w:type="dxa"/>
            <w:right w:w="0" w:type="dxa"/>
          </w:tblCellMar>
        </w:tblPrEx>
        <w:trPr>
          <w:trHeight w:val="480" w:hRule="atLeast"/>
        </w:trPr>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3</w:t>
            </w:r>
          </w:p>
        </w:tc>
        <w:tc>
          <w:tcPr>
            <w:tcW w:w="3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人像识别系统存储管理服务器</w:t>
            </w:r>
          </w:p>
        </w:tc>
        <w:tc>
          <w:tcPr>
            <w:tcW w:w="2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color w:val="auto"/>
                <w:sz w:val="21"/>
                <w:szCs w:val="21"/>
              </w:rPr>
            </w:pPr>
            <w:r>
              <w:rPr>
                <w:rFonts w:hint="eastAsia" w:ascii="宋体" w:cs="宋体"/>
                <w:color w:val="auto"/>
                <w:sz w:val="21"/>
                <w:szCs w:val="21"/>
                <w:lang w:bidi="ar"/>
              </w:rPr>
              <w:t>依图、浪潮、华为</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1"/>
                <w:szCs w:val="21"/>
              </w:rPr>
            </w:pPr>
            <w:r>
              <w:rPr>
                <w:rFonts w:hint="eastAsia" w:ascii="宋体" w:cs="宋体"/>
                <w:color w:val="auto"/>
                <w:sz w:val="21"/>
                <w:szCs w:val="21"/>
                <w:lang w:bidi="ar"/>
              </w:rPr>
              <w:t>1</w:t>
            </w:r>
          </w:p>
        </w:tc>
      </w:tr>
    </w:tbl>
    <w:p>
      <w:pPr>
        <w:tabs>
          <w:tab w:val="left" w:pos="900"/>
        </w:tabs>
        <w:snapToGrid w:val="0"/>
        <w:spacing w:line="360" w:lineRule="auto"/>
        <w:ind w:firstLine="480"/>
        <w:jc w:val="center"/>
        <w:rPr>
          <w:rFonts w:hint="eastAsia" w:ascii="宋体" w:eastAsia="宋体"/>
          <w:color w:val="auto"/>
          <w:sz w:val="21"/>
          <w:szCs w:val="21"/>
          <w:lang w:val="en-US" w:eastAsia="zh-CN"/>
        </w:rPr>
      </w:pPr>
      <w:r>
        <w:rPr>
          <w:rFonts w:hint="eastAsia" w:ascii="宋体" w:hAnsi="宋体" w:cs="宋体"/>
          <w:b/>
          <w:color w:val="auto"/>
          <w:sz w:val="24"/>
        </w:rPr>
        <w:br w:type="page"/>
      </w:r>
      <w:r>
        <w:rPr>
          <w:rFonts w:hint="eastAsia" w:ascii="宋体"/>
          <w:b/>
          <w:bCs/>
          <w:color w:val="auto"/>
          <w:sz w:val="24"/>
          <w:lang w:eastAsia="zh-CN"/>
        </w:rPr>
        <w:t>表2.拟投入的</w:t>
      </w:r>
      <w:r>
        <w:rPr>
          <w:rFonts w:hint="eastAsia" w:ascii="宋体"/>
          <w:b/>
          <w:bCs/>
          <w:color w:val="auto"/>
          <w:sz w:val="24"/>
          <w:lang w:val="en-US" w:eastAsia="zh-CN"/>
        </w:rPr>
        <w:t>主要</w:t>
      </w:r>
      <w:r>
        <w:rPr>
          <w:rFonts w:hint="eastAsia" w:ascii="宋体"/>
          <w:b/>
          <w:bCs/>
          <w:color w:val="auto"/>
          <w:sz w:val="24"/>
          <w:lang w:eastAsia="zh-CN"/>
        </w:rPr>
        <w:t>软硬件设备技术参数</w:t>
      </w:r>
      <w:r>
        <w:rPr>
          <w:rFonts w:hint="eastAsia" w:ascii="宋体"/>
          <w:b/>
          <w:bCs/>
          <w:color w:val="auto"/>
          <w:sz w:val="24"/>
          <w:lang w:val="en-US" w:eastAsia="zh-CN"/>
        </w:rPr>
        <w:t>要求</w:t>
      </w:r>
    </w:p>
    <w:tbl>
      <w:tblPr>
        <w:tblStyle w:val="39"/>
        <w:tblW w:w="0" w:type="auto"/>
        <w:tblInd w:w="-90" w:type="dxa"/>
        <w:tblLayout w:type="fixed"/>
        <w:tblCellMar>
          <w:top w:w="0" w:type="dxa"/>
          <w:left w:w="0" w:type="dxa"/>
          <w:bottom w:w="0" w:type="dxa"/>
          <w:right w:w="0" w:type="dxa"/>
        </w:tblCellMar>
      </w:tblPr>
      <w:tblGrid>
        <w:gridCol w:w="955"/>
        <w:gridCol w:w="1959"/>
        <w:gridCol w:w="6232"/>
      </w:tblGrid>
      <w:tr>
        <w:tblPrEx>
          <w:tblCellMar>
            <w:top w:w="0" w:type="dxa"/>
            <w:left w:w="0" w:type="dxa"/>
            <w:bottom w:w="0" w:type="dxa"/>
            <w:right w:w="0" w:type="dxa"/>
          </w:tblCellMar>
        </w:tblPrEx>
        <w:trPr>
          <w:trHeight w:val="270" w:hRule="atLeast"/>
          <w:tblHeader/>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序号</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cs="宋体"/>
                <w:b w:val="0"/>
                <w:bCs/>
                <w:color w:val="auto"/>
                <w:sz w:val="21"/>
                <w:szCs w:val="21"/>
              </w:rPr>
            </w:pPr>
            <w:r>
              <w:rPr>
                <w:rFonts w:hint="eastAsia" w:ascii="宋体" w:cs="宋体"/>
                <w:b w:val="0"/>
                <w:bCs/>
                <w:color w:val="auto"/>
                <w:sz w:val="21"/>
                <w:szCs w:val="21"/>
                <w:lang w:bidi="ar"/>
              </w:rPr>
              <w:t>设备名称</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主要技术参数</w:t>
            </w:r>
          </w:p>
        </w:tc>
      </w:tr>
      <w:tr>
        <w:tblPrEx>
          <w:tblCellMar>
            <w:top w:w="0" w:type="dxa"/>
            <w:left w:w="0" w:type="dxa"/>
            <w:bottom w:w="0" w:type="dxa"/>
            <w:right w:w="0" w:type="dxa"/>
          </w:tblCellMar>
        </w:tblPrEx>
        <w:trPr>
          <w:trHeight w:val="270" w:hRule="atLeast"/>
        </w:trPr>
        <w:tc>
          <w:tcPr>
            <w:tcW w:w="9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（一）视频监控设备</w:t>
            </w:r>
          </w:p>
        </w:tc>
      </w:tr>
      <w:tr>
        <w:tblPrEx>
          <w:tblCellMar>
            <w:top w:w="0" w:type="dxa"/>
            <w:left w:w="0" w:type="dxa"/>
            <w:bottom w:w="0" w:type="dxa"/>
            <w:right w:w="0" w:type="dxa"/>
          </w:tblCellMar>
        </w:tblPrEx>
        <w:trPr>
          <w:trHeight w:val="341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星光级</w:t>
            </w:r>
            <w:r>
              <w:rPr>
                <w:rFonts w:hint="eastAsia" w:ascii="宋体" w:cs="宋体"/>
                <w:b w:val="0"/>
                <w:bCs/>
                <w:color w:val="auto"/>
                <w:sz w:val="21"/>
                <w:szCs w:val="21"/>
                <w:lang w:eastAsia="zh-CN" w:bidi="ar"/>
              </w:rPr>
              <w:t>多功能摄像</w:t>
            </w:r>
            <w:r>
              <w:rPr>
                <w:rFonts w:hint="eastAsia" w:ascii="宋体" w:cs="宋体"/>
                <w:b w:val="0"/>
                <w:bCs/>
                <w:color w:val="auto"/>
                <w:sz w:val="21"/>
                <w:szCs w:val="21"/>
                <w:lang w:bidi="ar"/>
              </w:rPr>
              <w:t>机</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lang w:eastAsia="zh-CN"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采用GPU的硬件架构，深度学习算法</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支持智能资源切换：人脸抓拍、</w:t>
            </w:r>
            <w:r>
              <w:rPr>
                <w:rFonts w:hint="eastAsia" w:ascii="宋体" w:cs="宋体"/>
                <w:b w:val="0"/>
                <w:bCs/>
                <w:color w:val="auto"/>
                <w:sz w:val="21"/>
                <w:szCs w:val="21"/>
                <w:lang w:eastAsia="zh-CN" w:bidi="ar"/>
              </w:rPr>
              <w:t>道路监控、</w:t>
            </w:r>
            <w:r>
              <w:rPr>
                <w:rFonts w:hint="eastAsia" w:ascii="宋体" w:cs="宋体"/>
                <w:b w:val="0"/>
                <w:bCs/>
                <w:color w:val="auto"/>
                <w:sz w:val="21"/>
                <w:szCs w:val="21"/>
                <w:lang w:bidi="ar"/>
              </w:rPr>
              <w:t>混合目标检测</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lang w:eastAsia="zh-CN"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传感器类型：≥1/</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"CMOS,</w:t>
            </w:r>
            <w:r>
              <w:rPr>
                <w:rFonts w:hint="eastAsia" w:ascii="宋体" w:cs="宋体"/>
                <w:b w:val="0"/>
                <w:bCs/>
                <w:color w:val="auto"/>
                <w:sz w:val="21"/>
                <w:szCs w:val="21"/>
                <w:lang w:val="en-US" w:eastAsia="zh-CN" w:bidi="ar"/>
              </w:rPr>
              <w:t>300万以上像素，</w:t>
            </w:r>
            <w:r>
              <w:rPr>
                <w:rFonts w:hint="eastAsia" w:ascii="宋体" w:cs="宋体"/>
                <w:b w:val="0"/>
                <w:bCs/>
                <w:color w:val="auto"/>
                <w:sz w:val="21"/>
                <w:szCs w:val="21"/>
                <w:lang w:bidi="ar"/>
              </w:rPr>
              <w:t>最低照度彩色：0.001 lx，黑白:0.0001 lx</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3</w:t>
            </w:r>
            <w:r>
              <w:rPr>
                <w:rFonts w:hint="eastAsia" w:ascii="宋体" w:cs="宋体"/>
                <w:b w:val="0"/>
                <w:bCs/>
                <w:color w:val="auto"/>
                <w:sz w:val="21"/>
                <w:szCs w:val="21"/>
                <w:lang w:val="en-US" w:eastAsia="zh-CN" w:bidi="ar"/>
              </w:rPr>
              <w:t>、</w:t>
            </w:r>
            <w:r>
              <w:rPr>
                <w:rFonts w:hint="eastAsia" w:ascii="宋体" w:cs="宋体"/>
                <w:b w:val="0"/>
                <w:bCs/>
                <w:color w:val="auto"/>
                <w:sz w:val="21"/>
                <w:szCs w:val="21"/>
                <w:lang w:bidi="ar"/>
              </w:rPr>
              <w:t>一体化变焦镜头，</w:t>
            </w:r>
            <w:r>
              <w:rPr>
                <w:rFonts w:hint="eastAsia" w:ascii="宋体" w:cs="宋体"/>
                <w:b w:val="0"/>
                <w:bCs/>
                <w:color w:val="auto"/>
                <w:sz w:val="21"/>
                <w:szCs w:val="21"/>
                <w:lang w:eastAsia="zh-CN" w:bidi="ar"/>
              </w:rPr>
              <w:t>最大变焦</w:t>
            </w:r>
            <w:r>
              <w:rPr>
                <w:rFonts w:hint="eastAsia" w:ascii="宋体" w:cs="宋体"/>
                <w:b w:val="0"/>
                <w:bCs/>
                <w:color w:val="auto"/>
                <w:sz w:val="21"/>
                <w:szCs w:val="21"/>
                <w:lang w:bidi="ar"/>
              </w:rPr>
              <w:t>焦距≥5</w:t>
            </w:r>
            <w:r>
              <w:rPr>
                <w:rFonts w:hint="eastAsia" w:ascii="宋体" w:cs="宋体"/>
                <w:b w:val="0"/>
                <w:bCs/>
                <w:color w:val="auto"/>
                <w:sz w:val="21"/>
                <w:szCs w:val="21"/>
                <w:lang w:val="en-US" w:eastAsia="zh-CN" w:bidi="ar"/>
              </w:rPr>
              <w:t>0</w:t>
            </w:r>
            <w:r>
              <w:rPr>
                <w:rFonts w:hint="eastAsia" w:ascii="宋体" w:cs="宋体"/>
                <w:b w:val="0"/>
                <w:bCs/>
                <w:color w:val="auto"/>
                <w:sz w:val="21"/>
                <w:szCs w:val="21"/>
                <w:lang w:bidi="ar"/>
              </w:rPr>
              <w:t>mm, 具有自动聚焦功能</w:t>
            </w:r>
            <w:r>
              <w:rPr>
                <w:rFonts w:hint="eastAsia" w:ascii="宋体" w:cs="宋体"/>
                <w:b w:val="0"/>
                <w:bCs/>
                <w:color w:val="auto"/>
                <w:sz w:val="21"/>
                <w:szCs w:val="21"/>
                <w:lang w:eastAsia="zh-CN" w:bidi="ar"/>
              </w:rPr>
              <w:t>，支持平台后端控制</w:t>
            </w:r>
            <w:r>
              <w:rPr>
                <w:rFonts w:hint="eastAsia" w:ascii="宋体" w:cs="宋体"/>
                <w:b w:val="0"/>
                <w:bCs/>
                <w:color w:val="auto"/>
                <w:sz w:val="21"/>
                <w:szCs w:val="21"/>
                <w:lang w:bidi="ar"/>
              </w:rPr>
              <w:t>方便运维。</w:t>
            </w:r>
          </w:p>
          <w:p>
            <w:pPr>
              <w:widowControl/>
              <w:jc w:val="left"/>
              <w:textAlignment w:val="center"/>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4、安装在5.5至6米高度上</w:t>
            </w:r>
            <w:r>
              <w:rPr>
                <w:rFonts w:hint="eastAsia" w:ascii="宋体" w:cs="宋体"/>
                <w:b w:val="0"/>
                <w:bCs/>
                <w:color w:val="auto"/>
                <w:sz w:val="21"/>
                <w:szCs w:val="21"/>
                <w:lang w:eastAsia="zh-CN" w:bidi="ar"/>
              </w:rPr>
              <w:t>人脸抓拍图片</w:t>
            </w:r>
            <w:r>
              <w:rPr>
                <w:rFonts w:hint="eastAsia" w:ascii="宋体" w:cs="宋体"/>
                <w:b w:val="0"/>
                <w:bCs/>
                <w:color w:val="auto"/>
                <w:sz w:val="21"/>
                <w:szCs w:val="21"/>
                <w:lang w:val="en-US" w:eastAsia="zh-CN" w:bidi="ar"/>
              </w:rPr>
              <w:t>符合浙江省公安厅人像像素标准，车牌抓拍识别支持三车道及以上。</w:t>
            </w:r>
          </w:p>
          <w:p>
            <w:pPr>
              <w:widowControl/>
              <w:jc w:val="left"/>
              <w:textAlignment w:val="center"/>
              <w:rPr>
                <w:rFonts w:hint="eastAsia" w:ascii="宋体" w:cs="宋体"/>
                <w:b w:val="0"/>
                <w:bCs/>
                <w:color w:val="auto"/>
                <w:sz w:val="21"/>
                <w:szCs w:val="21"/>
                <w:lang w:bidi="ar"/>
              </w:rPr>
            </w:pPr>
            <w:r>
              <w:rPr>
                <w:rFonts w:hint="eastAsia" w:ascii="宋体" w:hAnsi="宋体" w:eastAsia="宋体" w:cs="宋体"/>
                <w:b w:val="0"/>
                <w:bCs/>
                <w:color w:val="auto"/>
                <w:sz w:val="21"/>
                <w:szCs w:val="21"/>
                <w:lang w:val="en-US" w:eastAsia="zh-CN" w:bidi="ar"/>
              </w:rPr>
              <w:t>5、</w:t>
            </w:r>
            <w:r>
              <w:rPr>
                <w:rFonts w:hint="eastAsia" w:ascii="宋体" w:cs="宋体"/>
                <w:b w:val="0"/>
                <w:bCs/>
                <w:color w:val="auto"/>
                <w:sz w:val="21"/>
                <w:szCs w:val="21"/>
                <w:lang w:bidi="ar"/>
              </w:rPr>
              <w:t>人脸抓拍支持同时检测≥30张，混合目标检测：支持人脸+人体抓拍，输出最优抓拍图</w:t>
            </w:r>
            <w:r>
              <w:rPr>
                <w:rFonts w:hint="eastAsia" w:ascii="宋体" w:cs="宋体"/>
                <w:b w:val="0"/>
                <w:bCs/>
                <w:color w:val="auto"/>
                <w:sz w:val="21"/>
                <w:szCs w:val="21"/>
                <w:lang w:eastAsia="zh-CN" w:bidi="ar"/>
              </w:rPr>
              <w:t>，支持道路监控行人、车辆抓拍及车牌识别；</w:t>
            </w:r>
          </w:p>
          <w:p>
            <w:pPr>
              <w:widowControl/>
              <w:jc w:val="left"/>
              <w:textAlignment w:val="center"/>
              <w:rPr>
                <w:rFonts w:hint="eastAsia" w:ascii="宋体" w:cs="宋体"/>
                <w:b w:val="0"/>
                <w:bCs/>
                <w:color w:val="auto"/>
                <w:sz w:val="21"/>
                <w:szCs w:val="21"/>
              </w:rPr>
            </w:pPr>
            <w:r>
              <w:rPr>
                <w:rFonts w:hint="eastAsia" w:ascii="宋体" w:hAnsi="宋体" w:eastAsia="宋体" w:cs="宋体"/>
                <w:b w:val="0"/>
                <w:bCs/>
                <w:color w:val="auto"/>
                <w:sz w:val="21"/>
                <w:szCs w:val="21"/>
                <w:lang w:val="en-US" w:eastAsia="zh-CN" w:bidi="ar"/>
              </w:rPr>
              <w:t>6、</w:t>
            </w:r>
            <w:r>
              <w:rPr>
                <w:rFonts w:hint="eastAsia" w:ascii="宋体" w:cs="宋体"/>
                <w:b w:val="0"/>
                <w:bCs/>
                <w:color w:val="auto"/>
                <w:sz w:val="21"/>
                <w:szCs w:val="21"/>
                <w:lang w:bidi="ar"/>
              </w:rPr>
              <w:t>视频压缩标准：H.265/H.264 / MJPEG</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设备内置高效</w:t>
            </w:r>
            <w:r>
              <w:rPr>
                <w:rFonts w:hint="eastAsia" w:ascii="宋体" w:cs="宋体"/>
                <w:b w:val="0"/>
                <w:bCs/>
                <w:color w:val="auto"/>
                <w:sz w:val="21"/>
                <w:szCs w:val="21"/>
                <w:lang w:eastAsia="zh-CN" w:bidi="ar"/>
              </w:rPr>
              <w:t>补光</w:t>
            </w:r>
            <w:r>
              <w:rPr>
                <w:rFonts w:hint="eastAsia" w:ascii="宋体" w:cs="宋体"/>
                <w:b w:val="0"/>
                <w:bCs/>
                <w:color w:val="auto"/>
                <w:sz w:val="21"/>
                <w:szCs w:val="21"/>
                <w:lang w:bidi="ar"/>
              </w:rPr>
              <w:t>阵列灯，低功耗，无光污染，夜间能正常进行人脸</w:t>
            </w:r>
            <w:r>
              <w:rPr>
                <w:rFonts w:hint="eastAsia" w:ascii="宋体" w:cs="宋体"/>
                <w:b w:val="0"/>
                <w:bCs/>
                <w:color w:val="auto"/>
                <w:sz w:val="21"/>
                <w:szCs w:val="21"/>
                <w:lang w:eastAsia="zh-CN" w:bidi="ar"/>
              </w:rPr>
              <w:t>及车辆</w:t>
            </w:r>
            <w:r>
              <w:rPr>
                <w:rFonts w:hint="eastAsia" w:ascii="宋体" w:cs="宋体"/>
                <w:b w:val="0"/>
                <w:bCs/>
                <w:color w:val="auto"/>
                <w:sz w:val="21"/>
                <w:szCs w:val="21"/>
                <w:lang w:bidi="ar"/>
              </w:rPr>
              <w:t>抓拍</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7、</w:t>
            </w:r>
            <w:r>
              <w:rPr>
                <w:rFonts w:hint="eastAsia" w:ascii="宋体" w:cs="宋体"/>
                <w:b w:val="0"/>
                <w:bCs/>
                <w:color w:val="auto"/>
                <w:sz w:val="21"/>
                <w:szCs w:val="21"/>
                <w:lang w:bidi="ar"/>
              </w:rPr>
              <w:t>宽动态≥100dB</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防护等级：IP67</w:t>
            </w:r>
            <w:r>
              <w:rPr>
                <w:rFonts w:hint="eastAsia" w:ascii="宋体" w:cs="宋体"/>
                <w:b w:val="0"/>
                <w:bCs/>
                <w:color w:val="auto"/>
                <w:sz w:val="21"/>
                <w:szCs w:val="21"/>
                <w:lang w:eastAsia="zh-CN" w:bidi="ar"/>
              </w:rPr>
              <w:t>，含</w:t>
            </w:r>
            <w:r>
              <w:rPr>
                <w:rFonts w:hint="eastAsia" w:ascii="宋体" w:cs="宋体"/>
                <w:b w:val="0"/>
                <w:bCs/>
                <w:color w:val="auto"/>
                <w:sz w:val="21"/>
                <w:szCs w:val="21"/>
                <w:lang w:bidi="ar"/>
              </w:rPr>
              <w:t>配套电源</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9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900万</w:t>
            </w:r>
            <w:r>
              <w:rPr>
                <w:rFonts w:hint="eastAsia" w:ascii="宋体" w:cs="宋体"/>
                <w:b w:val="0"/>
                <w:bCs/>
                <w:color w:val="auto"/>
                <w:sz w:val="21"/>
                <w:szCs w:val="21"/>
                <w:lang w:eastAsia="zh-CN" w:bidi="ar"/>
              </w:rPr>
              <w:t>卡口</w:t>
            </w:r>
            <w:r>
              <w:rPr>
                <w:rFonts w:hint="eastAsia" w:ascii="宋体" w:cs="宋体"/>
                <w:b w:val="0"/>
                <w:bCs/>
                <w:color w:val="auto"/>
                <w:sz w:val="21"/>
                <w:szCs w:val="21"/>
                <w:lang w:bidi="ar"/>
              </w:rPr>
              <w:t>视频抓拍机</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采用≥1" GMOS  ,900万像素</w:t>
            </w:r>
            <w:r>
              <w:rPr>
                <w:rFonts w:hint="eastAsia" w:ascii="宋体" w:cs="宋体"/>
                <w:b w:val="0"/>
                <w:bCs/>
                <w:color w:val="auto"/>
                <w:sz w:val="21"/>
                <w:szCs w:val="21"/>
                <w:lang w:eastAsia="zh-CN" w:bidi="ar"/>
              </w:rPr>
              <w:t>，最大</w:t>
            </w:r>
            <w:r>
              <w:rPr>
                <w:rFonts w:hint="eastAsia" w:ascii="宋体" w:cs="宋体"/>
                <w:b w:val="0"/>
                <w:bCs/>
                <w:color w:val="auto"/>
                <w:sz w:val="21"/>
                <w:szCs w:val="21"/>
                <w:lang w:bidi="ar"/>
              </w:rPr>
              <w:t>分辨率：4096(H)×2160(V)</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采用深度学习芯片架构，支持至少两车道车窗人脸抓拍，并自动人脸抠图</w:t>
            </w:r>
            <w:r>
              <w:rPr>
                <w:rFonts w:hint="eastAsia" w:ascii="宋体" w:cs="宋体"/>
                <w:b w:val="0"/>
                <w:bCs/>
                <w:color w:val="auto"/>
                <w:sz w:val="21"/>
                <w:szCs w:val="21"/>
                <w:lang w:eastAsia="zh-CN" w:bidi="ar"/>
              </w:rPr>
              <w:t>并叠加大图上或上传中心可选</w:t>
            </w:r>
            <w:r>
              <w:rPr>
                <w:rFonts w:hint="eastAsia" w:ascii="宋体" w:cs="宋体"/>
                <w:b w:val="0"/>
                <w:bCs/>
                <w:color w:val="auto"/>
                <w:sz w:val="21"/>
                <w:szCs w:val="21"/>
                <w:lang w:bidi="ar"/>
              </w:rPr>
              <w:t>。</w:t>
            </w:r>
          </w:p>
          <w:p>
            <w:pPr>
              <w:widowControl/>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w:t>
            </w:r>
            <w:r>
              <w:rPr>
                <w:rFonts w:hint="eastAsia" w:ascii="宋体" w:cs="宋体"/>
                <w:b w:val="0"/>
                <w:bCs/>
                <w:color w:val="auto"/>
                <w:sz w:val="21"/>
                <w:szCs w:val="21"/>
                <w:lang w:bidi="ar"/>
              </w:rPr>
              <w:t>摄像机带偏振镜、50MM高清镜头或16至50MM以上可变焦镜头、室外防护罩、内置补光灯、网络防雷器、电源适配器、安装万向节、防水软管、32G CLASS 10等，支持场景卡口图片向天网平台及人脸抠图向人脸比对平台双路同时推送。</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最低照度：彩色:0.005Lux；图片分辨率4096*2160、1600*1200、1280*720；视频压缩支持H.265、H.264、M-JPEG、MPEG4。</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支持车牌识别、视频触发、车身颜色识别、车型识别、车标识别和通行车辆信息捕获，支持闪光灯触发，图片支持前端存储，断电续传、保证链路故障时数据不丢失；支持对行人和非机动车的人脸检测功能</w:t>
            </w:r>
            <w:r>
              <w:rPr>
                <w:rFonts w:hint="eastAsia" w:ascii="宋体" w:cs="宋体"/>
                <w:b w:val="0"/>
                <w:bCs/>
                <w:color w:val="auto"/>
                <w:sz w:val="21"/>
                <w:szCs w:val="21"/>
                <w:lang w:eastAsia="zh-CN" w:bidi="ar"/>
              </w:rPr>
              <w:t>并抠</w:t>
            </w:r>
            <w:r>
              <w:rPr>
                <w:rFonts w:hint="eastAsia" w:ascii="宋体" w:cs="宋体"/>
                <w:b w:val="0"/>
                <w:bCs/>
                <w:color w:val="auto"/>
                <w:sz w:val="21"/>
                <w:szCs w:val="21"/>
                <w:lang w:bidi="ar"/>
              </w:rPr>
              <w:t>取人脸图片</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181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人脸半球摄像机</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1、</w:t>
            </w:r>
            <w:r>
              <w:rPr>
                <w:rFonts w:hint="eastAsia" w:ascii="宋体" w:cs="宋体"/>
                <w:b w:val="0"/>
                <w:bCs w:val="0"/>
                <w:color w:val="auto"/>
                <w:sz w:val="21"/>
                <w:szCs w:val="21"/>
                <w:lang w:bidi="ar"/>
              </w:rPr>
              <w:t>人脸抓拍：支持同时检测≥30张，输出最优的人脸抓图</w:t>
            </w:r>
            <w:r>
              <w:rPr>
                <w:rFonts w:hint="eastAsia" w:ascii="宋体" w:cs="宋体"/>
                <w:b w:val="0"/>
                <w:bCs w:val="0"/>
                <w:color w:val="auto"/>
                <w:sz w:val="21"/>
                <w:szCs w:val="21"/>
                <w:lang w:eastAsia="zh-CN" w:bidi="ar"/>
              </w:rPr>
              <w:t>。</w:t>
            </w:r>
          </w:p>
          <w:p>
            <w:pPr>
              <w:widowControl/>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2、</w:t>
            </w:r>
            <w:r>
              <w:rPr>
                <w:rFonts w:hint="eastAsia" w:ascii="宋体" w:cs="宋体"/>
                <w:b w:val="0"/>
                <w:bCs w:val="0"/>
                <w:color w:val="auto"/>
                <w:sz w:val="21"/>
                <w:szCs w:val="21"/>
                <w:lang w:bidi="ar"/>
              </w:rPr>
              <w:t>电动云台和一体化变焦镜头</w:t>
            </w:r>
            <w:r>
              <w:rPr>
                <w:rFonts w:hint="eastAsia" w:ascii="宋体" w:cs="宋体"/>
                <w:b w:val="0"/>
                <w:bCs w:val="0"/>
                <w:color w:val="auto"/>
                <w:sz w:val="21"/>
                <w:szCs w:val="21"/>
                <w:lang w:eastAsia="zh-CN" w:bidi="ar"/>
              </w:rPr>
              <w:t>或手动定向变焦镜头</w:t>
            </w:r>
            <w:r>
              <w:rPr>
                <w:rFonts w:hint="eastAsia" w:ascii="宋体" w:cs="宋体"/>
                <w:b w:val="0"/>
                <w:bCs w:val="0"/>
                <w:color w:val="auto"/>
                <w:sz w:val="21"/>
                <w:szCs w:val="21"/>
                <w:lang w:bidi="ar"/>
              </w:rPr>
              <w:t>，</w:t>
            </w:r>
            <w:r>
              <w:rPr>
                <w:rFonts w:hint="eastAsia" w:ascii="宋体" w:cs="宋体"/>
                <w:b w:val="0"/>
                <w:bCs w:val="0"/>
                <w:color w:val="auto"/>
                <w:sz w:val="21"/>
                <w:szCs w:val="21"/>
                <w:lang w:eastAsia="zh-CN" w:bidi="ar"/>
              </w:rPr>
              <w:t>支持天网平台后端控制</w:t>
            </w:r>
            <w:r>
              <w:rPr>
                <w:rFonts w:hint="eastAsia" w:ascii="宋体" w:cs="宋体"/>
                <w:b w:val="0"/>
                <w:bCs w:val="0"/>
                <w:color w:val="auto"/>
                <w:sz w:val="21"/>
                <w:szCs w:val="21"/>
                <w:lang w:bidi="ar"/>
              </w:rPr>
              <w:t>方便运维</w:t>
            </w:r>
            <w:r>
              <w:rPr>
                <w:rFonts w:hint="eastAsia" w:ascii="宋体" w:cs="宋体"/>
                <w:b w:val="0"/>
                <w:bCs w:val="0"/>
                <w:color w:val="auto"/>
                <w:sz w:val="21"/>
                <w:szCs w:val="21"/>
                <w:lang w:eastAsia="zh-CN" w:bidi="ar"/>
              </w:rPr>
              <w:t>，最大变焦</w:t>
            </w:r>
            <w:r>
              <w:rPr>
                <w:rFonts w:hint="eastAsia" w:ascii="宋体" w:cs="宋体"/>
                <w:b w:val="0"/>
                <w:bCs w:val="0"/>
                <w:color w:val="auto"/>
                <w:sz w:val="21"/>
                <w:szCs w:val="21"/>
                <w:lang w:bidi="ar"/>
              </w:rPr>
              <w:t>焦距≥12mm</w:t>
            </w:r>
            <w:r>
              <w:rPr>
                <w:rFonts w:hint="eastAsia" w:ascii="宋体" w:cs="宋体"/>
                <w:b w:val="0"/>
                <w:bCs w:val="0"/>
                <w:color w:val="auto"/>
                <w:sz w:val="21"/>
                <w:szCs w:val="21"/>
                <w:lang w:eastAsia="zh-CN" w:bidi="ar"/>
              </w:rPr>
              <w:t>。</w:t>
            </w:r>
          </w:p>
          <w:p>
            <w:pPr>
              <w:widowControl/>
              <w:numPr>
                <w:ilvl w:val="0"/>
                <w:numId w:val="0"/>
              </w:numPr>
              <w:jc w:val="left"/>
              <w:textAlignment w:val="center"/>
              <w:rPr>
                <w:rFonts w:hint="eastAsia" w:ascii="宋体" w:cs="宋体"/>
                <w:b w:val="0"/>
                <w:bCs w:val="0"/>
                <w:color w:val="auto"/>
                <w:sz w:val="21"/>
                <w:szCs w:val="21"/>
                <w:lang w:eastAsia="zh-CN" w:bidi="ar"/>
              </w:rPr>
            </w:pP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传感元器件：≥1/</w:t>
            </w:r>
            <w:r>
              <w:rPr>
                <w:rFonts w:hint="eastAsia" w:ascii="宋体" w:cs="宋体"/>
                <w:b w:val="0"/>
                <w:bCs w:val="0"/>
                <w:color w:val="auto"/>
                <w:sz w:val="21"/>
                <w:szCs w:val="21"/>
                <w:lang w:val="en-US" w:eastAsia="zh-CN" w:bidi="ar"/>
              </w:rPr>
              <w:t>3</w:t>
            </w:r>
            <w:r>
              <w:rPr>
                <w:rFonts w:hint="eastAsia" w:ascii="宋体" w:cs="宋体"/>
                <w:b w:val="0"/>
                <w:bCs w:val="0"/>
                <w:color w:val="auto"/>
                <w:sz w:val="21"/>
                <w:szCs w:val="21"/>
                <w:lang w:bidi="ar"/>
              </w:rPr>
              <w:t>" CMOS</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val="en-US" w:eastAsia="zh-CN" w:bidi="ar"/>
              </w:rPr>
              <w:t>200万以上像素；</w:t>
            </w:r>
            <w:r>
              <w:rPr>
                <w:rFonts w:hint="eastAsia" w:ascii="宋体" w:cs="宋体"/>
                <w:b w:val="0"/>
                <w:bCs w:val="0"/>
                <w:color w:val="auto"/>
                <w:sz w:val="21"/>
                <w:szCs w:val="21"/>
                <w:lang w:bidi="ar"/>
              </w:rPr>
              <w:t>最低照度彩色不</w:t>
            </w:r>
            <w:r>
              <w:rPr>
                <w:rFonts w:hint="eastAsia" w:ascii="宋体" w:cs="宋体"/>
                <w:b w:val="0"/>
                <w:bCs w:val="0"/>
                <w:color w:val="auto"/>
                <w:sz w:val="21"/>
                <w:szCs w:val="21"/>
                <w:lang w:eastAsia="zh-CN" w:bidi="ar"/>
              </w:rPr>
              <w:t>大</w:t>
            </w:r>
            <w:r>
              <w:rPr>
                <w:rFonts w:hint="eastAsia" w:ascii="宋体" w:cs="宋体"/>
                <w:b w:val="0"/>
                <w:bCs w:val="0"/>
                <w:color w:val="auto"/>
                <w:sz w:val="21"/>
                <w:szCs w:val="21"/>
                <w:lang w:bidi="ar"/>
              </w:rPr>
              <w:t>于0.007 lx，黑白不</w:t>
            </w:r>
            <w:r>
              <w:rPr>
                <w:rFonts w:hint="eastAsia" w:ascii="宋体" w:cs="宋体"/>
                <w:b w:val="0"/>
                <w:bCs w:val="0"/>
                <w:color w:val="auto"/>
                <w:sz w:val="21"/>
                <w:szCs w:val="21"/>
                <w:lang w:eastAsia="zh-CN" w:bidi="ar"/>
              </w:rPr>
              <w:t>大</w:t>
            </w:r>
            <w:r>
              <w:rPr>
                <w:rFonts w:hint="eastAsia" w:ascii="宋体" w:cs="宋体"/>
                <w:b w:val="0"/>
                <w:bCs w:val="0"/>
                <w:color w:val="auto"/>
                <w:sz w:val="21"/>
                <w:szCs w:val="21"/>
                <w:lang w:bidi="ar"/>
              </w:rPr>
              <w:t>于0.0005 lx</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≥1</w:t>
            </w:r>
            <w:r>
              <w:rPr>
                <w:rFonts w:hint="eastAsia" w:ascii="宋体" w:cs="宋体"/>
                <w:b w:val="0"/>
                <w:bCs w:val="0"/>
                <w:color w:val="auto"/>
                <w:sz w:val="21"/>
                <w:szCs w:val="21"/>
                <w:lang w:val="en-US" w:eastAsia="zh-CN" w:bidi="ar"/>
              </w:rPr>
              <w:t>0</w:t>
            </w:r>
            <w:r>
              <w:rPr>
                <w:rFonts w:hint="eastAsia" w:ascii="宋体" w:cs="宋体"/>
                <w:b w:val="0"/>
                <w:bCs w:val="0"/>
                <w:color w:val="auto"/>
                <w:sz w:val="21"/>
                <w:szCs w:val="21"/>
                <w:lang w:bidi="ar"/>
              </w:rPr>
              <w:t>0dB超宽动态、强光抑制、电子防抖</w:t>
            </w:r>
            <w:r>
              <w:rPr>
                <w:rFonts w:hint="eastAsia" w:ascii="宋体" w:cs="宋体"/>
                <w:b w:val="0"/>
                <w:bCs w:val="0"/>
                <w:color w:val="auto"/>
                <w:sz w:val="21"/>
                <w:szCs w:val="21"/>
                <w:lang w:eastAsia="zh-CN" w:bidi="ar"/>
              </w:rPr>
              <w:t>；</w:t>
            </w:r>
          </w:p>
          <w:p>
            <w:pPr>
              <w:widowControl/>
              <w:numPr>
                <w:ilvl w:val="0"/>
                <w:numId w:val="0"/>
              </w:numPr>
              <w:ind w:left="0" w:leftChars="0" w:firstLine="0" w:firstLineChars="0"/>
              <w:jc w:val="left"/>
              <w:textAlignment w:val="center"/>
              <w:rPr>
                <w:rFonts w:hint="eastAsia" w:ascii="宋体" w:cs="宋体"/>
                <w:b w:val="0"/>
                <w:bCs/>
                <w:color w:val="auto"/>
                <w:sz w:val="21"/>
                <w:szCs w:val="21"/>
              </w:rPr>
            </w:pPr>
            <w:r>
              <w:rPr>
                <w:rFonts w:hint="eastAsia" w:ascii="宋体" w:cs="宋体"/>
                <w:b w:val="0"/>
                <w:bCs w:val="0"/>
                <w:color w:val="auto"/>
                <w:sz w:val="21"/>
                <w:szCs w:val="21"/>
                <w:lang w:val="en-US" w:eastAsia="zh-CN" w:bidi="ar"/>
              </w:rPr>
              <w:t>4、</w:t>
            </w:r>
            <w:r>
              <w:rPr>
                <w:rFonts w:hint="eastAsia" w:ascii="宋体" w:cs="宋体"/>
                <w:b w:val="0"/>
                <w:bCs w:val="0"/>
                <w:color w:val="auto"/>
                <w:sz w:val="21"/>
                <w:szCs w:val="21"/>
                <w:lang w:bidi="ar"/>
              </w:rPr>
              <w:t>防护等级:IP6</w:t>
            </w:r>
            <w:r>
              <w:rPr>
                <w:rFonts w:hint="eastAsia" w:ascii="宋体" w:cs="宋体"/>
                <w:b w:val="0"/>
                <w:bCs w:val="0"/>
                <w:color w:val="auto"/>
                <w:sz w:val="21"/>
                <w:szCs w:val="21"/>
                <w:lang w:val="en-US" w:eastAsia="zh-CN" w:bidi="ar"/>
              </w:rPr>
              <w:t>7</w:t>
            </w:r>
            <w:r>
              <w:rPr>
                <w:rFonts w:hint="eastAsia" w:ascii="宋体" w:cs="宋体"/>
                <w:b w:val="0"/>
                <w:bCs w:val="0"/>
                <w:color w:val="auto"/>
                <w:sz w:val="21"/>
                <w:szCs w:val="21"/>
                <w:lang w:bidi="ar"/>
              </w:rPr>
              <w:t>，支持IK10防暴等级</w:t>
            </w:r>
            <w:r>
              <w:rPr>
                <w:rFonts w:hint="eastAsia" w:ascii="宋体" w:cs="宋体"/>
                <w:b w:val="0"/>
                <w:bCs w:val="0"/>
                <w:color w:val="auto"/>
                <w:sz w:val="21"/>
                <w:szCs w:val="21"/>
                <w:lang w:eastAsia="zh-CN" w:bidi="ar"/>
              </w:rPr>
              <w:t>，</w:t>
            </w:r>
            <w:r>
              <w:rPr>
                <w:rFonts w:hint="eastAsia" w:ascii="宋体" w:cs="宋体"/>
                <w:b w:val="0"/>
                <w:bCs w:val="0"/>
                <w:color w:val="auto"/>
                <w:sz w:val="21"/>
                <w:szCs w:val="21"/>
                <w:lang w:bidi="ar"/>
              </w:rPr>
              <w:t>含配套电源</w:t>
            </w:r>
            <w:r>
              <w:rPr>
                <w:rFonts w:hint="eastAsia" w:ascii="宋体" w:cs="宋体"/>
                <w:b w:val="0"/>
                <w:bCs w:val="0"/>
                <w:color w:val="auto"/>
                <w:sz w:val="21"/>
                <w:szCs w:val="21"/>
                <w:lang w:eastAsia="zh-CN" w:bidi="ar"/>
              </w:rPr>
              <w:t>。</w:t>
            </w:r>
          </w:p>
        </w:tc>
      </w:tr>
      <w:tr>
        <w:tblPrEx>
          <w:tblCellMar>
            <w:top w:w="0" w:type="dxa"/>
            <w:left w:w="0" w:type="dxa"/>
            <w:bottom w:w="0" w:type="dxa"/>
            <w:right w:w="0" w:type="dxa"/>
          </w:tblCellMar>
        </w:tblPrEx>
        <w:trPr>
          <w:trHeight w:val="144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4</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聚光闪光灯</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配合抓拍机,补光距离大于25米。</w:t>
            </w:r>
          </w:p>
          <w:p>
            <w:pPr>
              <w:widowControl/>
              <w:numPr>
                <w:ilvl w:val="0"/>
                <w:numId w:val="0"/>
              </w:numPr>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技术参数：采用透镜光栅聚光，闪光能量：250J；色温：≥5500K；回电时间：＜300ms；峰值闪光持续时间：1/30ms；工作寿命：≥300万次；触发方式：电平，+5VDC；覆盖范围：大于7.5m @25m处；电压：165VAC～265VAC；频率：48Hz～52Hz；功耗：平均＜100W（@1闪/s），瞬间最大＜300W</w:t>
            </w:r>
            <w:r>
              <w:rPr>
                <w:rFonts w:hint="eastAsia" w:ascii="宋体" w:cs="宋体"/>
                <w:b w:val="0"/>
                <w:bCs/>
                <w:color w:val="auto"/>
                <w:sz w:val="21"/>
                <w:szCs w:val="21"/>
                <w:lang w:eastAsia="zh-CN" w:bidi="ar"/>
              </w:rPr>
              <w:t>。</w:t>
            </w:r>
          </w:p>
          <w:p>
            <w:pPr>
              <w:widowControl/>
              <w:numPr>
                <w:ilvl w:val="0"/>
                <w:numId w:val="0"/>
              </w:numPr>
              <w:ind w:left="0" w:leftChars="0" w:firstLine="0" w:firstLine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工作环境温度：-20℃～+60℃；工作环境湿度：5%~95%@40℃，无凝结；防护等级：IP66</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270" w:hRule="atLeast"/>
        </w:trPr>
        <w:tc>
          <w:tcPr>
            <w:tcW w:w="9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（二）杆件</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Y型监控杆，高6米,挑6米，挑6米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镀锌，八角形，主杆上口φ280mm(对角),下口φ340mm, 厚度8mm; 副杆1上口φ100mm(对角),下口φ230mm,厚度5mm；副杆2上口φ90mm(对角),下口φ190mm,厚度5mm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Y型监控杆，高6米,挑6米，挑3米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镀锌，八角形，主杆上口φ220mm(对角),下口φ280mm, 厚度6mm; 副杆1、2上口φ90mm(对角),下口φ190mm,厚度5mm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Y型监控杆，高6米,挑5米，挑3米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镀锌，八角形，主杆上口φ220mm(对角),下口φ280mm, 厚度6mm; 副杆1上口φ90mm(对角),下口φ190mm,厚度5mm；副杆2镀锌φ114mm等径, 厚度5mm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4</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Y型监控杆，高6米,挑4米，挑4米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镀锌，八角形，主杆上口φ150mm,下口φ230mm, 厚度6mm;副杆1、2镀锌φ114mm等径, 厚度5mm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5</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Y型监控杆，高6米,挑3米，挑3米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镀锌，八角形，主杆上口φ150mm,下口φ230mm, 厚度6mm;副杆1、2镀锌φ114mm等径, 厚度5mm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6</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T型监控杆，高6米,挑3米，挑3米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镀锌，八角形，主杆上口φ150mm,下口φ230mm, 厚度6mm;副杆1、2镀锌φ114mm等径, 厚度5mm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7</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L型监控杆，高6米,挑6米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镀锌，八角形，主杆上口φ220mm(对角),下口φ280mm, 厚度6mm; 副杆1上口φ90mm(对角),下口φ190mm,厚度5mm ,副杆带有导轨。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8</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L型监控杆，高6米,挑4米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镀锌，八角形，主杆上口φ150mm,下口φ230mm, 厚度6mm;副杆1镀锌φ114mm等径, 厚度5mm ,副杆带有导轨。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9</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L型监控杆，高6米,挑3米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镀锌，八角形，主杆上口φ150mm,下口φ230mm, 厚度6mm;副杆1镀锌φ114mm等径, 厚度5mm ,副杆带有导轨。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10</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L型监控杆，高6米,挑1米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镀锌，八角形，主杆上口φ150mm,下口φ230mm, 厚度6mm;副杆1镀锌φ89mm等径, 厚度5mm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L型监控杆等径杆，高6米,挑3米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L型监控杆等径杆，高6米,挑2米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镀锌，主杆镀锌φ114mm等径，厚度5mm; 副杆镀锌φ89mm等径,厚度4mm ,副杆带有导轨。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壁装挑臂1M</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镀锌，水平管径76mm，臂厚4mm；支撑杆管径48mm，臂厚4mm,带有导轨。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14</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壁装挑臂2M</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镀锌，水平管径76mm，臂厚4mm；支撑杆管径48mm，臂厚4mm,带有导轨。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15</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抱杆挑臂,挑臂3米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镀锌，水平管径76mm，臂厚4mm；支撑杆管径48mm，臂厚4mm ,带有导轨。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16</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抱杆挑臂,挑臂2米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镀锌，水平管径76mm，臂厚4mm；支撑杆管径48mm，臂厚4mm ,带有导轨。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17</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抱杆挑臂,挑臂1米</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镀锌，水平管径76mm，臂厚4mm,，带有导轨。</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18</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挑臂延伸杆-3M</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镀锌，水平管径50mm，臂厚3mm。</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19</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预埋件(中)</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M24*6*1200（中）</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20</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预埋件(小)</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M20*4*1000（小）</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接地棒</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50*50*5镀锌角铁，长度1.5m</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镀锌扁铁</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长1.7m</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镀锌扁铁</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长1.5m</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24</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枪机壁装支架</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cs="宋体"/>
                <w:b w:val="0"/>
                <w:bCs/>
                <w:color w:val="auto"/>
                <w:sz w:val="21"/>
                <w:szCs w:val="21"/>
              </w:rPr>
            </w:pP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25</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借杆抱箍</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cs="宋体"/>
                <w:b w:val="0"/>
                <w:bCs/>
                <w:color w:val="auto"/>
                <w:sz w:val="21"/>
                <w:szCs w:val="21"/>
              </w:rPr>
            </w:pPr>
          </w:p>
        </w:tc>
      </w:tr>
      <w:tr>
        <w:tblPrEx>
          <w:tblCellMar>
            <w:top w:w="0" w:type="dxa"/>
            <w:left w:w="0" w:type="dxa"/>
            <w:bottom w:w="0" w:type="dxa"/>
            <w:right w:w="0" w:type="dxa"/>
          </w:tblCellMar>
        </w:tblPrEx>
        <w:trPr>
          <w:trHeight w:val="270" w:hRule="atLeast"/>
        </w:trPr>
        <w:tc>
          <w:tcPr>
            <w:tcW w:w="9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（三）辅材</w:t>
            </w:r>
          </w:p>
        </w:tc>
      </w:tr>
      <w:tr>
        <w:tblPrEx>
          <w:tblCellMar>
            <w:top w:w="0" w:type="dxa"/>
            <w:left w:w="0" w:type="dxa"/>
            <w:bottom w:w="0" w:type="dxa"/>
            <w:right w:w="0" w:type="dxa"/>
          </w:tblCellMar>
        </w:tblPrEx>
        <w:trPr>
          <w:trHeight w:val="264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杆件挂箱（大）</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abs>
                <w:tab w:val="left" w:pos="0"/>
              </w:tabs>
              <w:ind w:leftChars="0"/>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箱体外观及结构要求:采用悬挂式安装或墙装方式。</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尺寸：(宽)560×(深)275×(高)580mm</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厚度：箱体≥1.0mm;箱门≥1.2mm。</w:t>
            </w:r>
          </w:p>
          <w:p>
            <w:pPr>
              <w:widowControl/>
              <w:numPr>
                <w:ilvl w:val="0"/>
                <w:numId w:val="0"/>
              </w:numPr>
              <w:tabs>
                <w:tab w:val="left" w:pos="0"/>
              </w:tabs>
              <w:ind w:leftChars="0"/>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箱体材料：采用不锈钢304或201。表面防锈处理、瓦楞纸箱包装。结构为露天防雨箱，门采用防水结构，锁采用防水全封闭式，采用遮阳顶棚，在机箱侧面下部设计了换气百叶窗，箱体顶部设置换气轴流风扇，通过温控开关实现高温时的通风换气</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喷涂“公安”“</w:t>
            </w:r>
            <w:r>
              <w:rPr>
                <w:rFonts w:hint="eastAsia" w:ascii="宋体" w:cs="宋体"/>
                <w:b w:val="0"/>
                <w:bCs/>
                <w:color w:val="auto"/>
                <w:sz w:val="21"/>
                <w:szCs w:val="21"/>
                <w:lang w:eastAsia="zh-CN" w:bidi="ar"/>
              </w:rPr>
              <w:t>雪亮</w:t>
            </w:r>
            <w:r>
              <w:rPr>
                <w:rFonts w:hint="eastAsia" w:ascii="宋体" w:cs="宋体"/>
                <w:b w:val="0"/>
                <w:bCs/>
                <w:color w:val="auto"/>
                <w:sz w:val="21"/>
                <w:szCs w:val="21"/>
                <w:lang w:bidi="ar"/>
              </w:rPr>
              <w:t>工程</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箱体内强电系统:包括1个单相三插插座、1个C63/2P空开、1个C32/2P空开、3个C16/2P空开、电源避雷器、光纤盒、光纤固定脚、接地排。</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配电设备安装底板采用5mm绝缘板制作或镀锌喷塑板， 底板应留有各种设备的安装孔位，需安装的设备有光端机及电源、球机电源、枪机电源、防雷模块等。</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6、</w:t>
            </w:r>
            <w:r>
              <w:rPr>
                <w:rFonts w:hint="eastAsia" w:ascii="宋体" w:cs="宋体"/>
                <w:b w:val="0"/>
                <w:bCs/>
                <w:color w:val="auto"/>
                <w:sz w:val="21"/>
                <w:szCs w:val="21"/>
                <w:lang w:bidi="ar"/>
              </w:rPr>
              <w:t>箱体内进出线开关（或小型断路器）和电源避雷器等强电部分和工程弱电控制部分元器件原则上要求分开排列；并要求排列整齐、美观和便于安装及维护。</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7、</w:t>
            </w:r>
            <w:r>
              <w:rPr>
                <w:rFonts w:hint="eastAsia" w:ascii="宋体" w:cs="宋体"/>
                <w:b w:val="0"/>
                <w:bCs/>
                <w:color w:val="auto"/>
                <w:sz w:val="21"/>
                <w:szCs w:val="21"/>
                <w:lang w:bidi="ar"/>
              </w:rPr>
              <w:t>配套防雷器:标称工作电压：AC220V;最大持续工作电压Uc：220/275V AC;标称放电电流In：20kA;最大放电电流Imax：40kA</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其他要求:箱体内应装有进出线电线电缆线夹及接地</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箱体外面应有公安部门专用标识和有电危险警</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导线（或导电排）要求按照国家相关标准配置挂杆机箱应配备相应抱箍。紧固件表面电镀处理。</w:t>
            </w:r>
          </w:p>
        </w:tc>
      </w:tr>
      <w:tr>
        <w:tblPrEx>
          <w:tblCellMar>
            <w:top w:w="0" w:type="dxa"/>
            <w:left w:w="0" w:type="dxa"/>
            <w:bottom w:w="0" w:type="dxa"/>
            <w:right w:w="0" w:type="dxa"/>
          </w:tblCellMar>
        </w:tblPrEx>
        <w:trPr>
          <w:trHeight w:val="264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杆件挂箱（小）</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abs>
                <w:tab w:val="left" w:pos="0"/>
              </w:tabs>
              <w:ind w:leftChars="0"/>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箱体外观及结构要求:采用悬挂式安装或墙装方式。</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尺寸：(宽)320×(深)250×(高)400mm。厚度：箱体≥1.0mm;箱门≥1.2mm。</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箱体材料：采用不锈钢304或201。表面防锈处理、瓦楞纸箱包装。结构为露天防雨箱，门采用防水结构，锁采用防水全封闭式，采用遮阳顶棚，在机箱侧面下部设计了换气百叶窗，箱体顶部设置换气轴流风扇，通过温控开关实现高温时的通风换气。喷涂“公安”“</w:t>
            </w:r>
            <w:r>
              <w:rPr>
                <w:rFonts w:hint="eastAsia" w:ascii="宋体" w:cs="宋体"/>
                <w:b w:val="0"/>
                <w:bCs/>
                <w:color w:val="auto"/>
                <w:sz w:val="21"/>
                <w:szCs w:val="21"/>
                <w:lang w:eastAsia="zh-CN" w:bidi="ar"/>
              </w:rPr>
              <w:t>雪亮</w:t>
            </w:r>
            <w:r>
              <w:rPr>
                <w:rFonts w:hint="eastAsia" w:ascii="宋体" w:cs="宋体"/>
                <w:b w:val="0"/>
                <w:bCs/>
                <w:color w:val="auto"/>
                <w:sz w:val="21"/>
                <w:szCs w:val="21"/>
                <w:lang w:bidi="ar"/>
              </w:rPr>
              <w:t>工程</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箱体内强电系统:包括1个单相三插插座、1个C63/2P空开、1个C32/2P空开、3个C16/2P空开、电源避雷器、光纤盒、光纤固定脚、接地排。</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配电设备安装底板采用5mm绝缘板制作或镀锌喷塑板， 底板应留有各种设备的安装孔位，需安装的设备有光端机及电源、球机电源、枪机电源、防雷模块等。</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6、</w:t>
            </w:r>
            <w:r>
              <w:rPr>
                <w:rFonts w:hint="eastAsia" w:ascii="宋体" w:cs="宋体"/>
                <w:b w:val="0"/>
                <w:bCs/>
                <w:color w:val="auto"/>
                <w:sz w:val="21"/>
                <w:szCs w:val="21"/>
                <w:lang w:bidi="ar"/>
              </w:rPr>
              <w:t>箱体内进出线开关（或小型断路器）和电源避雷器等强电部分和工程弱电控制部分元器件原则上要求分开排列；并要求排列整齐、美观和便于安装及维护。</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7、</w:t>
            </w:r>
            <w:r>
              <w:rPr>
                <w:rFonts w:hint="eastAsia" w:ascii="宋体" w:cs="宋体"/>
                <w:b w:val="0"/>
                <w:bCs/>
                <w:color w:val="auto"/>
                <w:sz w:val="21"/>
                <w:szCs w:val="21"/>
                <w:lang w:bidi="ar"/>
              </w:rPr>
              <w:t>配套防雷器:标称工作电压：AC220V;最大持续工作电压Uc：220/275V AC;标称放电电流In：20kA;最大放电电流Imax：40kA</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其他要求:箱体内应装有进出线电线电缆线夹及接地排</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箱体外面应有公安部门专用标识和有电危险警示</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导线（或导电排）要求按照国家相关标准配置挂杆机箱应配备相应抱箍</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紧固件表面电镀处理。</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辅材</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PVC管、室外超五类网线、国标RVV3*1.0电源线、水晶头及六类网线等施工必备所有辅材。</w:t>
            </w:r>
          </w:p>
        </w:tc>
      </w:tr>
      <w:tr>
        <w:tblPrEx>
          <w:tblCellMar>
            <w:top w:w="0" w:type="dxa"/>
            <w:left w:w="0" w:type="dxa"/>
            <w:bottom w:w="0" w:type="dxa"/>
            <w:right w:w="0" w:type="dxa"/>
          </w:tblCellMar>
        </w:tblPrEx>
        <w:trPr>
          <w:trHeight w:val="270" w:hRule="atLeast"/>
        </w:trPr>
        <w:tc>
          <w:tcPr>
            <w:tcW w:w="9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b w:val="0"/>
                <w:bCs/>
                <w:color w:val="auto"/>
                <w:sz w:val="21"/>
                <w:szCs w:val="21"/>
              </w:rPr>
            </w:pPr>
            <w:r>
              <w:rPr>
                <w:rFonts w:hint="eastAsia" w:ascii="宋体" w:cs="宋体"/>
                <w:b w:val="0"/>
                <w:bCs/>
                <w:color w:val="auto"/>
                <w:sz w:val="21"/>
                <w:szCs w:val="21"/>
                <w:lang w:bidi="ar"/>
              </w:rPr>
              <w:t>（四）传输设备</w:t>
            </w:r>
          </w:p>
        </w:tc>
      </w:tr>
      <w:tr>
        <w:tblPrEx>
          <w:tblCellMar>
            <w:top w:w="0" w:type="dxa"/>
            <w:left w:w="0" w:type="dxa"/>
            <w:bottom w:w="0" w:type="dxa"/>
            <w:right w:w="0" w:type="dxa"/>
          </w:tblCellMar>
        </w:tblPrEx>
        <w:trPr>
          <w:trHeight w:val="96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eastAsia="zh-CN" w:bidi="ar"/>
              </w:rPr>
              <w:t>一光八电</w:t>
            </w:r>
            <w:r>
              <w:rPr>
                <w:rFonts w:hint="eastAsia" w:ascii="宋体" w:cs="宋体"/>
                <w:b w:val="0"/>
                <w:bCs/>
                <w:color w:val="auto"/>
                <w:sz w:val="21"/>
                <w:szCs w:val="21"/>
                <w:lang w:bidi="ar"/>
              </w:rPr>
              <w:t xml:space="preserve">前端以太网接入设备                      </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abs>
                <w:tab w:val="left" w:pos="0"/>
              </w:tabs>
              <w:ind w:leftChars="0"/>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独立式1个千兆光口8个千兆电口。</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光模块支持热插拔，采用全SFP模块设计，可灵活选择不同公里数设计配置；光接收灵敏度：≤-28dBm，传输距离20KM/40KM，光口带宽1.25Gbps,单纤单模传输；</w:t>
            </w:r>
          </w:p>
          <w:p>
            <w:pPr>
              <w:widowControl/>
              <w:numPr>
                <w:ilvl w:val="0"/>
                <w:numId w:val="0"/>
              </w:numPr>
              <w:tabs>
                <w:tab w:val="left" w:pos="0"/>
              </w:tabs>
              <w:ind w:left="0" w:leftChars="0" w:firstLine="0" w:firstLine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无风扇可在75℃以上恶劣工作环境温度下可靠工作；电源3级EMC保护，端口防雷设计，电口能通过接触±7KV、间隙±9KV静电测试，±4KV浪涌测试；无故障时间大于100000h。</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8口交换机</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8口全千兆交换机。</w:t>
            </w:r>
          </w:p>
        </w:tc>
      </w:tr>
      <w:tr>
        <w:tblPrEx>
          <w:tblCellMar>
            <w:top w:w="0" w:type="dxa"/>
            <w:left w:w="0" w:type="dxa"/>
            <w:bottom w:w="0" w:type="dxa"/>
            <w:right w:w="0" w:type="dxa"/>
          </w:tblCellMar>
        </w:tblPrEx>
        <w:trPr>
          <w:trHeight w:val="96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中心板卡4光1电（光口千兆电口千兆</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abs>
                <w:tab w:val="left" w:pos="0"/>
              </w:tabs>
              <w:ind w:leftChars="0"/>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中心机房为标准的19英寸子框架沟，配置双电源，光口带宽1.25Gbps，SFP插拔式光模块，单模单纤传输；</w:t>
            </w:r>
          </w:p>
          <w:p>
            <w:pPr>
              <w:widowControl/>
              <w:numPr>
                <w:ilvl w:val="0"/>
                <w:numId w:val="0"/>
              </w:numPr>
              <w:tabs>
                <w:tab w:val="left" w:pos="0"/>
              </w:tabs>
              <w:ind w:leftChars="0"/>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无故障时间大于100000h;传输距离可选择20km,40km，80km型号。</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每块板汇聚4个100/1000M自适应光口-1个10/100/1000M自适应电口。</w:t>
            </w:r>
          </w:p>
        </w:tc>
      </w:tr>
      <w:tr>
        <w:tblPrEx>
          <w:tblCellMar>
            <w:top w:w="0" w:type="dxa"/>
            <w:left w:w="0" w:type="dxa"/>
            <w:bottom w:w="0" w:type="dxa"/>
            <w:right w:w="0" w:type="dxa"/>
          </w:tblCellMar>
        </w:tblPrEx>
        <w:trPr>
          <w:trHeight w:val="48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4</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光端机箱</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需可上19英寸标准机架(各投标供应商根据技术自行配置)，可插15张以上板卡。使用直流48V电源或220V交流电输入；双电源供电模式；铝金结构；可利用光纤接入数&gt;=60个。</w:t>
            </w:r>
          </w:p>
        </w:tc>
      </w:tr>
      <w:tr>
        <w:tblPrEx>
          <w:tblCellMar>
            <w:top w:w="0" w:type="dxa"/>
            <w:left w:w="0" w:type="dxa"/>
            <w:bottom w:w="0" w:type="dxa"/>
            <w:right w:w="0" w:type="dxa"/>
          </w:tblCellMar>
        </w:tblPrEx>
        <w:trPr>
          <w:trHeight w:val="270" w:hRule="atLeast"/>
        </w:trPr>
        <w:tc>
          <w:tcPr>
            <w:tcW w:w="9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cs="宋体"/>
                <w:b w:val="0"/>
                <w:bCs/>
                <w:color w:val="auto"/>
                <w:sz w:val="21"/>
                <w:szCs w:val="21"/>
              </w:rPr>
            </w:pPr>
            <w:r>
              <w:rPr>
                <w:rFonts w:hint="eastAsia" w:ascii="宋体" w:cs="宋体"/>
                <w:b w:val="0"/>
                <w:bCs/>
                <w:color w:val="auto"/>
                <w:sz w:val="21"/>
                <w:szCs w:val="21"/>
                <w:lang w:bidi="ar"/>
              </w:rPr>
              <w:t>（五）网络设备</w:t>
            </w:r>
          </w:p>
        </w:tc>
      </w:tr>
      <w:tr>
        <w:tblPrEx>
          <w:tblCellMar>
            <w:top w:w="0" w:type="dxa"/>
            <w:left w:w="0" w:type="dxa"/>
            <w:bottom w:w="0" w:type="dxa"/>
            <w:right w:w="0" w:type="dxa"/>
          </w:tblCellMar>
        </w:tblPrEx>
        <w:trPr>
          <w:trHeight w:val="96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24口全千兆三层交换机</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bidi="ar"/>
              </w:rPr>
              <w:t>▲</w:t>
            </w:r>
            <w:r>
              <w:rPr>
                <w:rFonts w:hint="eastAsia" w:ascii="宋体" w:cs="Arial"/>
                <w:color w:val="auto"/>
                <w:sz w:val="21"/>
                <w:szCs w:val="21"/>
                <w:lang w:val="en-US" w:eastAsia="zh-CN" w:bidi="ar"/>
              </w:rPr>
              <w:t>1、</w:t>
            </w:r>
            <w:r>
              <w:rPr>
                <w:rFonts w:hint="eastAsia" w:ascii="宋体" w:cs="Arial"/>
                <w:color w:val="auto"/>
                <w:sz w:val="21"/>
                <w:szCs w:val="21"/>
                <w:lang w:bidi="ar"/>
              </w:rPr>
              <w:t>设备性能：交换容量≥5.9</w:t>
            </w:r>
            <w:r>
              <w:rPr>
                <w:rFonts w:ascii="宋体" w:cs="Arial"/>
                <w:color w:val="auto"/>
                <w:sz w:val="21"/>
                <w:szCs w:val="21"/>
                <w:lang w:bidi="ar"/>
              </w:rPr>
              <w:t>0</w:t>
            </w:r>
            <w:r>
              <w:rPr>
                <w:rFonts w:hint="eastAsia" w:ascii="宋体" w:cs="Arial"/>
                <w:color w:val="auto"/>
                <w:sz w:val="21"/>
                <w:szCs w:val="21"/>
                <w:lang w:bidi="ar"/>
              </w:rPr>
              <w:t>Tbps，转发性能≥22</w:t>
            </w:r>
            <w:r>
              <w:rPr>
                <w:rFonts w:ascii="宋体" w:cs="Arial"/>
                <w:color w:val="auto"/>
                <w:sz w:val="21"/>
                <w:szCs w:val="21"/>
                <w:lang w:bidi="ar"/>
              </w:rPr>
              <w:t>0</w:t>
            </w:r>
            <w:r>
              <w:rPr>
                <w:rFonts w:hint="eastAsia" w:ascii="宋体" w:cs="Arial"/>
                <w:color w:val="auto"/>
                <w:sz w:val="21"/>
                <w:szCs w:val="21"/>
                <w:lang w:bidi="ar"/>
              </w:rPr>
              <w:t>Mpps</w:t>
            </w:r>
            <w:r>
              <w:rPr>
                <w:rFonts w:hint="eastAsia" w:ascii="宋体" w:cs="Arial"/>
                <w:color w:val="auto"/>
                <w:sz w:val="21"/>
                <w:szCs w:val="21"/>
                <w:lang w:eastAsia="zh-CN" w:bidi="ar"/>
              </w:rPr>
              <w:t>，</w:t>
            </w:r>
            <w:r>
              <w:rPr>
                <w:rFonts w:hint="eastAsia" w:ascii="宋体" w:cs="Arial"/>
                <w:color w:val="auto"/>
                <w:sz w:val="21"/>
                <w:szCs w:val="21"/>
                <w:lang w:bidi="ar"/>
              </w:rPr>
              <w:t>模块化双电源</w:t>
            </w:r>
            <w:r>
              <w:rPr>
                <w:rFonts w:hint="eastAsia" w:ascii="宋体" w:cs="Arial"/>
                <w:color w:val="auto"/>
                <w:sz w:val="21"/>
                <w:szCs w:val="21"/>
                <w:lang w:eastAsia="zh-CN" w:bidi="ar"/>
              </w:rPr>
              <w:t>，</w:t>
            </w:r>
            <w:r>
              <w:rPr>
                <w:rFonts w:hint="eastAsia" w:ascii="宋体" w:cs="Arial"/>
                <w:color w:val="auto"/>
                <w:sz w:val="21"/>
                <w:szCs w:val="21"/>
                <w:lang w:bidi="ar"/>
              </w:rPr>
              <w:t>模块化双风扇，前/后通风，</w:t>
            </w:r>
            <w:r>
              <w:rPr>
                <w:rFonts w:hint="eastAsia" w:ascii="宋体" w:cs="Arial"/>
                <w:color w:val="auto"/>
                <w:sz w:val="21"/>
                <w:szCs w:val="21"/>
                <w:lang w:val="en-US" w:eastAsia="zh-CN" w:bidi="ar"/>
              </w:rPr>
              <w:t>24个</w:t>
            </w:r>
            <w:r>
              <w:rPr>
                <w:rFonts w:ascii="宋体" w:cs="Arial"/>
                <w:color w:val="auto"/>
                <w:sz w:val="21"/>
                <w:szCs w:val="21"/>
                <w:lang w:bidi="ar"/>
              </w:rPr>
              <w:t>10/100/1000Base-T自适应以太网端口（</w:t>
            </w:r>
            <w:r>
              <w:rPr>
                <w:rFonts w:hint="eastAsia" w:ascii="宋体" w:cs="Arial"/>
                <w:color w:val="auto"/>
                <w:sz w:val="21"/>
                <w:szCs w:val="21"/>
                <w:lang w:val="en-US" w:eastAsia="zh-CN" w:bidi="ar"/>
              </w:rPr>
              <w:t>4个以上</w:t>
            </w:r>
            <w:r>
              <w:rPr>
                <w:rFonts w:ascii="宋体" w:cs="Arial"/>
                <w:color w:val="auto"/>
                <w:sz w:val="21"/>
                <w:szCs w:val="21"/>
                <w:lang w:bidi="ar"/>
              </w:rPr>
              <w:t>combo口），4个万兆SFP+口</w:t>
            </w:r>
            <w:r>
              <w:rPr>
                <w:rFonts w:hint="eastAsia" w:ascii="宋体" w:cs="Arial"/>
                <w:color w:val="auto"/>
                <w:sz w:val="21"/>
                <w:szCs w:val="21"/>
                <w:lang w:bidi="ar"/>
              </w:rPr>
              <w:t>，1个扩展插槽</w:t>
            </w:r>
            <w:r>
              <w:rPr>
                <w:rFonts w:hint="eastAsia" w:ascii="宋体" w:cs="Arial"/>
                <w:color w:val="auto"/>
                <w:sz w:val="21"/>
                <w:szCs w:val="21"/>
                <w:lang w:eastAsia="zh-CN" w:bidi="ar"/>
              </w:rPr>
              <w:t>。</w:t>
            </w:r>
          </w:p>
          <w:p>
            <w:pPr>
              <w:numPr>
                <w:ilvl w:val="0"/>
                <w:numId w:val="0"/>
              </w:numPr>
              <w:spacing w:line="360" w:lineRule="atLeast"/>
              <w:jc w:val="left"/>
              <w:textAlignment w:val="baseline"/>
              <w:rPr>
                <w:rFonts w:hint="eastAsia" w:ascii="宋体" w:cs="Arial"/>
                <w:color w:val="auto"/>
                <w:sz w:val="21"/>
                <w:szCs w:val="21"/>
                <w:lang w:eastAsia="zh-CN" w:bidi="ar"/>
              </w:rPr>
            </w:pPr>
            <w:r>
              <w:rPr>
                <w:rFonts w:hint="eastAsia" w:ascii="宋体" w:cs="Arial"/>
                <w:color w:val="auto"/>
                <w:sz w:val="21"/>
                <w:szCs w:val="21"/>
                <w:lang w:val="en-US" w:eastAsia="zh-CN" w:bidi="ar"/>
              </w:rPr>
              <w:t>2、</w:t>
            </w:r>
            <w:r>
              <w:rPr>
                <w:rFonts w:hint="eastAsia" w:ascii="宋体" w:cs="Arial"/>
                <w:color w:val="auto"/>
                <w:sz w:val="21"/>
                <w:szCs w:val="21"/>
                <w:lang w:bidi="ar"/>
              </w:rPr>
              <w:t>性能指标：</w:t>
            </w:r>
            <w:r>
              <w:rPr>
                <w:rFonts w:hint="eastAsia" w:ascii="宋体" w:cs="Arial"/>
                <w:color w:val="auto"/>
                <w:sz w:val="21"/>
                <w:szCs w:val="21"/>
                <w:lang w:eastAsia="zh-CN" w:bidi="ar"/>
              </w:rPr>
              <w:t>支持三层交换技术。</w:t>
            </w:r>
          </w:p>
          <w:p>
            <w:pPr>
              <w:numPr>
                <w:ilvl w:val="0"/>
                <w:numId w:val="0"/>
              </w:numPr>
              <w:spacing w:line="360" w:lineRule="atLeast"/>
              <w:jc w:val="left"/>
              <w:textAlignment w:val="baseline"/>
              <w:rPr>
                <w:rFonts w:ascii="宋体" w:cs="Arial"/>
                <w:color w:val="auto"/>
                <w:sz w:val="21"/>
                <w:szCs w:val="21"/>
                <w:lang w:bidi="ar"/>
              </w:rPr>
            </w:pPr>
            <w:r>
              <w:rPr>
                <w:rFonts w:hint="eastAsia" w:ascii="宋体" w:cs="Arial"/>
                <w:color w:val="auto"/>
                <w:sz w:val="21"/>
                <w:szCs w:val="21"/>
                <w:lang w:val="en-US" w:eastAsia="zh-CN" w:bidi="ar"/>
              </w:rPr>
              <w:t>3、</w:t>
            </w:r>
            <w:r>
              <w:rPr>
                <w:rFonts w:hint="eastAsia" w:ascii="宋体" w:cs="Arial"/>
                <w:color w:val="auto"/>
                <w:sz w:val="21"/>
                <w:szCs w:val="21"/>
                <w:lang w:bidi="ar"/>
              </w:rPr>
              <w:t>路由协议：支持IPv4静态路由、RIP V1/V2、OSPF、BGP；</w:t>
            </w:r>
          </w:p>
          <w:p>
            <w:pPr>
              <w:rPr>
                <w:rFonts w:ascii="宋体" w:cs="Arial"/>
                <w:color w:val="auto"/>
                <w:sz w:val="21"/>
                <w:szCs w:val="21"/>
                <w:lang w:bidi="ar"/>
              </w:rPr>
            </w:pPr>
            <w:r>
              <w:rPr>
                <w:rFonts w:hint="eastAsia" w:ascii="宋体" w:cs="Arial"/>
                <w:color w:val="auto"/>
                <w:sz w:val="21"/>
                <w:szCs w:val="21"/>
                <w:lang w:bidi="ar"/>
              </w:rPr>
              <w:t>支持IPv6静态路由、RIPng、OSPFv3、BGP4</w:t>
            </w:r>
            <w:r>
              <w:rPr>
                <w:rFonts w:hint="eastAsia" w:ascii="宋体" w:cs="Arial"/>
                <w:color w:val="auto"/>
                <w:sz w:val="21"/>
                <w:szCs w:val="21"/>
                <w:lang w:eastAsia="zh-CN" w:bidi="ar"/>
              </w:rPr>
              <w:t>。</w:t>
            </w:r>
          </w:p>
          <w:p>
            <w:pPr>
              <w:rPr>
                <w:rFonts w:ascii="宋体" w:cs="Arial"/>
                <w:color w:val="auto"/>
                <w:sz w:val="21"/>
                <w:szCs w:val="21"/>
                <w:lang w:bidi="ar"/>
              </w:rPr>
            </w:pPr>
            <w:r>
              <w:rPr>
                <w:rFonts w:hint="eastAsia" w:ascii="宋体" w:cs="Arial"/>
                <w:color w:val="auto"/>
                <w:sz w:val="21"/>
                <w:szCs w:val="21"/>
                <w:lang w:val="en-US" w:eastAsia="zh-CN" w:bidi="ar"/>
              </w:rPr>
              <w:t>4、</w:t>
            </w:r>
            <w:r>
              <w:rPr>
                <w:rFonts w:hint="eastAsia" w:ascii="宋体" w:cs="Arial"/>
                <w:color w:val="auto"/>
                <w:sz w:val="21"/>
                <w:szCs w:val="21"/>
                <w:lang w:bidi="ar"/>
              </w:rPr>
              <w:t>VLAN特性：支持基于端口的VLAN，支持基于协议的VLAN；</w:t>
            </w:r>
          </w:p>
          <w:p>
            <w:pPr>
              <w:widowControl/>
              <w:jc w:val="left"/>
              <w:textAlignment w:val="center"/>
              <w:rPr>
                <w:rFonts w:hint="eastAsia" w:ascii="宋体" w:cs="宋体"/>
                <w:b w:val="0"/>
                <w:bCs/>
                <w:color w:val="auto"/>
                <w:sz w:val="21"/>
                <w:szCs w:val="21"/>
              </w:rPr>
            </w:pPr>
            <w:r>
              <w:rPr>
                <w:rFonts w:hint="eastAsia" w:ascii="宋体" w:cs="Arial"/>
                <w:color w:val="auto"/>
                <w:sz w:val="21"/>
                <w:szCs w:val="21"/>
                <w:lang w:bidi="ar"/>
              </w:rPr>
              <w:t>支持基于MAC的VLAN；最大VLAN数(不是VLAN ID)&gt;=4094</w:t>
            </w:r>
            <w:r>
              <w:rPr>
                <w:rFonts w:hint="eastAsia" w:ascii="宋体" w:cs="Arial"/>
                <w:color w:val="auto"/>
                <w:sz w:val="21"/>
                <w:szCs w:val="21"/>
                <w:lang w:eastAsia="zh-CN" w:bidi="ar"/>
              </w:rPr>
              <w:t>。</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150W 资产管理交流电源模块</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Arial"/>
                <w:b w:val="0"/>
                <w:bCs/>
                <w:color w:val="auto"/>
                <w:sz w:val="21"/>
                <w:szCs w:val="21"/>
              </w:rPr>
            </w:pPr>
            <w:r>
              <w:rPr>
                <w:rFonts w:ascii="宋体" w:cs="Arial"/>
                <w:b w:val="0"/>
                <w:bCs/>
                <w:color w:val="auto"/>
                <w:sz w:val="21"/>
                <w:szCs w:val="21"/>
                <w:lang w:bidi="ar"/>
              </w:rPr>
              <w:t xml:space="preserve">150W </w:t>
            </w:r>
            <w:r>
              <w:rPr>
                <w:rStyle w:val="83"/>
                <w:rFonts w:ascii="宋体"/>
                <w:b w:val="0"/>
                <w:bCs/>
                <w:color w:val="auto"/>
                <w:sz w:val="21"/>
                <w:szCs w:val="21"/>
                <w:lang w:bidi="ar"/>
              </w:rPr>
              <w:t>资产管理交流电源模块</w:t>
            </w:r>
            <w:r>
              <w:rPr>
                <w:rStyle w:val="83"/>
                <w:rFonts w:hint="eastAsia" w:ascii="宋体"/>
                <w:b w:val="0"/>
                <w:bCs/>
                <w:color w:val="auto"/>
                <w:sz w:val="21"/>
                <w:szCs w:val="21"/>
                <w:lang w:eastAsia="zh-CN" w:bidi="ar"/>
              </w:rPr>
              <w:t>与交换机配套。</w:t>
            </w:r>
          </w:p>
        </w:tc>
      </w:tr>
      <w:tr>
        <w:tblPrEx>
          <w:tblCellMar>
            <w:top w:w="0" w:type="dxa"/>
            <w:left w:w="0" w:type="dxa"/>
            <w:bottom w:w="0" w:type="dxa"/>
            <w:right w:w="0" w:type="dxa"/>
          </w:tblCellMar>
        </w:tblPrEx>
        <w:trPr>
          <w:trHeight w:val="72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24口全千兆二层交换机</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cs="Arial"/>
                <w:b w:val="0"/>
                <w:bCs/>
                <w:color w:val="auto"/>
                <w:sz w:val="21"/>
                <w:szCs w:val="21"/>
              </w:rPr>
            </w:pPr>
            <w:r>
              <w:rPr>
                <w:rFonts w:hint="eastAsia" w:ascii="宋体" w:cs="Arial"/>
                <w:b w:val="0"/>
                <w:bCs/>
                <w:color w:val="auto"/>
                <w:sz w:val="21"/>
                <w:szCs w:val="21"/>
              </w:rPr>
              <w:t>▲</w:t>
            </w:r>
            <w:r>
              <w:rPr>
                <w:rFonts w:hint="eastAsia" w:ascii="宋体" w:cs="Arial"/>
                <w:b w:val="0"/>
                <w:bCs/>
                <w:color w:val="auto"/>
                <w:sz w:val="21"/>
                <w:szCs w:val="21"/>
                <w:lang w:val="en-US" w:eastAsia="zh-CN"/>
              </w:rPr>
              <w:t>1、</w:t>
            </w:r>
            <w:r>
              <w:rPr>
                <w:rFonts w:hint="eastAsia" w:ascii="宋体" w:cs="Arial"/>
                <w:b w:val="0"/>
                <w:bCs/>
                <w:color w:val="auto"/>
                <w:sz w:val="21"/>
                <w:szCs w:val="21"/>
              </w:rPr>
              <w:t>设备性能：交换容量≥336Gbps，转发性能≥</w:t>
            </w:r>
            <w:r>
              <w:rPr>
                <w:rFonts w:ascii="宋体" w:cs="Arial"/>
                <w:b w:val="0"/>
                <w:bCs/>
                <w:color w:val="auto"/>
                <w:sz w:val="21"/>
                <w:szCs w:val="21"/>
              </w:rPr>
              <w:t>95</w:t>
            </w:r>
            <w:r>
              <w:rPr>
                <w:rFonts w:hint="eastAsia" w:ascii="宋体" w:cs="Arial"/>
                <w:b w:val="0"/>
                <w:bCs/>
                <w:color w:val="auto"/>
                <w:sz w:val="21"/>
                <w:szCs w:val="21"/>
              </w:rPr>
              <w:t>Mpps，≥</w:t>
            </w:r>
            <w:r>
              <w:rPr>
                <w:rFonts w:ascii="宋体" w:cs="Arial"/>
                <w:b w:val="0"/>
                <w:bCs/>
                <w:color w:val="auto"/>
                <w:sz w:val="21"/>
                <w:szCs w:val="21"/>
              </w:rPr>
              <w:t>24</w:t>
            </w:r>
            <w:r>
              <w:rPr>
                <w:rFonts w:hint="eastAsia" w:ascii="宋体" w:cs="Arial"/>
                <w:b w:val="0"/>
                <w:bCs/>
                <w:color w:val="auto"/>
                <w:sz w:val="21"/>
                <w:szCs w:val="21"/>
              </w:rPr>
              <w:t>个GE端口，≥4个千兆SFP口</w:t>
            </w:r>
            <w:r>
              <w:rPr>
                <w:rFonts w:hint="eastAsia" w:ascii="宋体" w:cs="Arial"/>
                <w:b w:val="0"/>
                <w:bCs/>
                <w:color w:val="auto"/>
                <w:sz w:val="21"/>
                <w:szCs w:val="21"/>
                <w:lang w:eastAsia="zh-CN"/>
              </w:rPr>
              <w:t>。</w:t>
            </w:r>
          </w:p>
          <w:p>
            <w:pPr>
              <w:rPr>
                <w:rFonts w:ascii="宋体" w:cs="Arial"/>
                <w:b w:val="0"/>
                <w:bCs/>
                <w:color w:val="auto"/>
                <w:sz w:val="21"/>
                <w:szCs w:val="21"/>
              </w:rPr>
            </w:pPr>
            <w:r>
              <w:rPr>
                <w:rFonts w:hint="eastAsia" w:ascii="宋体" w:cs="Arial"/>
                <w:b w:val="0"/>
                <w:bCs/>
                <w:color w:val="auto"/>
                <w:sz w:val="21"/>
                <w:szCs w:val="21"/>
                <w:lang w:val="en-US" w:eastAsia="zh-CN"/>
              </w:rPr>
              <w:t>2、</w:t>
            </w:r>
            <w:r>
              <w:rPr>
                <w:rFonts w:hint="eastAsia" w:ascii="宋体" w:cs="Arial"/>
                <w:b w:val="0"/>
                <w:bCs/>
                <w:color w:val="auto"/>
                <w:sz w:val="21"/>
                <w:szCs w:val="21"/>
              </w:rPr>
              <w:t>VLAN特性：最大VLAN数(不是VLAN ID)&gt;=4094</w:t>
            </w:r>
            <w:r>
              <w:rPr>
                <w:rFonts w:hint="eastAsia" w:ascii="宋体" w:cs="Arial"/>
                <w:b w:val="0"/>
                <w:bCs/>
                <w:color w:val="auto"/>
                <w:sz w:val="21"/>
                <w:szCs w:val="21"/>
                <w:lang w:eastAsia="zh-CN"/>
              </w:rPr>
              <w:t>。</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rPr>
              <w:t>3、</w:t>
            </w:r>
            <w:r>
              <w:rPr>
                <w:rFonts w:hint="eastAsia" w:ascii="宋体" w:cs="宋体"/>
                <w:b w:val="0"/>
                <w:bCs/>
                <w:color w:val="auto"/>
                <w:sz w:val="21"/>
                <w:szCs w:val="21"/>
              </w:rPr>
              <w:t>路由协议：支持IPv4静态路由、RIP V1/V2、OSPF，支持IPv6静态路由、RIPng</w:t>
            </w:r>
            <w:r>
              <w:rPr>
                <w:rFonts w:hint="eastAsia" w:ascii="宋体" w:cs="宋体"/>
                <w:b w:val="0"/>
                <w:bCs/>
                <w:color w:val="auto"/>
                <w:sz w:val="21"/>
                <w:szCs w:val="21"/>
                <w:lang w:eastAsia="zh-CN"/>
              </w:rPr>
              <w:t>。</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4</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光模块</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SFP+ 万兆模块(1550nm,40km,LC)，</w:t>
            </w:r>
            <w:r>
              <w:rPr>
                <w:rFonts w:hint="eastAsia" w:ascii="宋体" w:cs="宋体"/>
                <w:b w:val="0"/>
                <w:bCs/>
                <w:color w:val="auto"/>
                <w:sz w:val="21"/>
                <w:szCs w:val="21"/>
              </w:rPr>
              <w:t>品牌要求：和交换机同一品牌</w:t>
            </w:r>
            <w:r>
              <w:rPr>
                <w:rFonts w:hint="eastAsia" w:ascii="宋体" w:cs="宋体"/>
                <w:b w:val="0"/>
                <w:bCs/>
                <w:color w:val="auto"/>
                <w:sz w:val="21"/>
                <w:szCs w:val="21"/>
                <w:lang w:eastAsia="zh-CN"/>
              </w:rPr>
              <w:t>。</w:t>
            </w:r>
          </w:p>
        </w:tc>
      </w:tr>
      <w:tr>
        <w:tblPrEx>
          <w:tblCellMar>
            <w:top w:w="0" w:type="dxa"/>
            <w:left w:w="0" w:type="dxa"/>
            <w:bottom w:w="0" w:type="dxa"/>
            <w:right w:w="0" w:type="dxa"/>
          </w:tblCellMar>
        </w:tblPrEx>
        <w:trPr>
          <w:trHeight w:val="270" w:hRule="atLeast"/>
        </w:trPr>
        <w:tc>
          <w:tcPr>
            <w:tcW w:w="9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（六）存储设备</w:t>
            </w:r>
          </w:p>
        </w:tc>
      </w:tr>
      <w:tr>
        <w:tblPrEx>
          <w:tblCellMar>
            <w:top w:w="0" w:type="dxa"/>
            <w:left w:w="0" w:type="dxa"/>
            <w:bottom w:w="0" w:type="dxa"/>
            <w:right w:w="0" w:type="dxa"/>
          </w:tblCellMar>
        </w:tblPrEx>
        <w:trPr>
          <w:trHeight w:val="205"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机架式SSU存储机头</w:t>
            </w:r>
          </w:p>
          <w:p>
            <w:pPr>
              <w:widowControl/>
              <w:jc w:val="left"/>
              <w:textAlignment w:val="center"/>
              <w:rPr>
                <w:rFonts w:hint="eastAsia" w:ascii="宋体" w:cs="宋体"/>
                <w:b w:val="0"/>
                <w:bCs/>
                <w:color w:val="auto"/>
                <w:sz w:val="21"/>
                <w:szCs w:val="21"/>
              </w:rPr>
            </w:pP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4"/>
              </w:numPr>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机架式4U 24盘位，支持SAS/SATA硬盘</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服务器构架,支持RAID 0，1，10，5，6；支持CIFS、NFS、iSCSI；</w:t>
            </w:r>
          </w:p>
          <w:p>
            <w:pPr>
              <w:widowControl/>
              <w:numPr>
                <w:ilvl w:val="0"/>
                <w:numId w:val="34"/>
              </w:numPr>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冗余电源，冗余风扇，监控专属安全存储单元，流式存储，无文件系统，无磁盘碎片；</w:t>
            </w:r>
          </w:p>
          <w:p>
            <w:pPr>
              <w:widowControl/>
              <w:numPr>
                <w:ilvl w:val="0"/>
                <w:numId w:val="34"/>
              </w:numPr>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支持中心平台统一调度，支持统一网管，支持N+3冗余热备，支持系统断线继续存储；支持设备直连存储，支持中心转发存储，支持客户直接访问和跨网访问；支持秒级定位和秒级时移回放和下载；支持1/16~16倍率的回放（例如：1/16x、1/8x、1/4x、1/2x、1 x、2x、4x、8x、16x……），支持视频回退播放；支持视频在线剪辑，支持录像按时间下载，支持录像文件高速下载。</w:t>
            </w:r>
          </w:p>
          <w:p>
            <w:pPr>
              <w:widowControl/>
              <w:numPr>
                <w:ilvl w:val="0"/>
                <w:numId w:val="34"/>
              </w:numPr>
              <w:jc w:val="left"/>
              <w:textAlignment w:val="center"/>
              <w:rPr>
                <w:rFonts w:hint="eastAsia" w:ascii="宋体" w:cs="宋体"/>
                <w:b w:val="0"/>
                <w:bCs/>
                <w:color w:val="auto"/>
                <w:sz w:val="21"/>
                <w:szCs w:val="21"/>
                <w:lang w:bidi="ar"/>
              </w:rPr>
            </w:pPr>
            <w:r>
              <w:rPr>
                <w:rFonts w:hint="eastAsia" w:ascii="宋体" w:cs="宋体"/>
                <w:b w:val="0"/>
                <w:bCs/>
                <w:color w:val="auto"/>
                <w:sz w:val="21"/>
                <w:szCs w:val="21"/>
                <w:lang w:bidi="ar"/>
              </w:rPr>
              <w:t>带防断电模块</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 xml:space="preserve">AC220V电源。                                      </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w:t>
            </w: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需无缝接入台州公安天网视频作战侦查平台，出具</w:t>
            </w:r>
            <w:r>
              <w:rPr>
                <w:rFonts w:hint="eastAsia" w:ascii="宋体" w:cs="宋体"/>
                <w:b w:val="0"/>
                <w:bCs/>
                <w:color w:val="auto"/>
                <w:sz w:val="21"/>
                <w:szCs w:val="21"/>
                <w:lang w:eastAsia="zh-CN" w:bidi="ar"/>
              </w:rPr>
              <w:t>天网</w:t>
            </w:r>
            <w:r>
              <w:rPr>
                <w:rFonts w:hint="eastAsia" w:ascii="宋体" w:cs="宋体"/>
                <w:b w:val="0"/>
                <w:bCs/>
                <w:color w:val="auto"/>
                <w:sz w:val="21"/>
                <w:szCs w:val="21"/>
                <w:lang w:bidi="ar"/>
              </w:rPr>
              <w:t>平台</w:t>
            </w:r>
            <w:r>
              <w:rPr>
                <w:rFonts w:hint="eastAsia" w:ascii="宋体" w:cs="宋体"/>
                <w:b w:val="0"/>
                <w:bCs/>
                <w:color w:val="auto"/>
                <w:sz w:val="21"/>
                <w:szCs w:val="21"/>
                <w:lang w:eastAsia="zh-CN" w:bidi="ar"/>
              </w:rPr>
              <w:t>服务</w:t>
            </w:r>
            <w:r>
              <w:rPr>
                <w:rFonts w:hint="eastAsia" w:ascii="宋体" w:cs="宋体"/>
                <w:b w:val="0"/>
                <w:bCs/>
                <w:color w:val="auto"/>
                <w:sz w:val="21"/>
                <w:szCs w:val="21"/>
                <w:lang w:bidi="ar"/>
              </w:rPr>
              <w:t>厂家无缝接入证明</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保修五年</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企业级6T硬盘</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6TB企业级存储专用硬盘，缓存≥128MB；能与SSU存储（机架式SSU存储机头）配套，无缝兼容</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27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机柜</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b w:val="0"/>
                <w:bCs/>
                <w:color w:val="auto"/>
                <w:sz w:val="21"/>
                <w:szCs w:val="21"/>
              </w:rPr>
            </w:pPr>
            <w:r>
              <w:rPr>
                <w:rFonts w:hint="eastAsia" w:ascii="宋体" w:cs="宋体"/>
                <w:b w:val="0"/>
                <w:bCs/>
                <w:color w:val="auto"/>
                <w:sz w:val="21"/>
                <w:szCs w:val="21"/>
                <w:lang w:bidi="ar"/>
              </w:rPr>
              <w:t>42U标准机柜，600mm*1000mm*2055mm（宽度*深度*高度）</w:t>
            </w:r>
            <w:r>
              <w:rPr>
                <w:rFonts w:hint="eastAsia" w:ascii="宋体" w:cs="宋体"/>
                <w:b w:val="0"/>
                <w:bCs/>
                <w:color w:val="auto"/>
                <w:sz w:val="21"/>
                <w:szCs w:val="21"/>
              </w:rPr>
              <w:t>，含配4个挡板、PDU和接地设备, 前门单开网孔门，后面双开网孔门；机柜颜色为黑色。</w:t>
            </w:r>
          </w:p>
        </w:tc>
      </w:tr>
      <w:tr>
        <w:tblPrEx>
          <w:tblCellMar>
            <w:top w:w="0" w:type="dxa"/>
            <w:left w:w="0" w:type="dxa"/>
            <w:bottom w:w="0" w:type="dxa"/>
            <w:right w:w="0" w:type="dxa"/>
          </w:tblCellMar>
        </w:tblPrEx>
        <w:trPr>
          <w:trHeight w:val="270" w:hRule="atLeast"/>
        </w:trPr>
        <w:tc>
          <w:tcPr>
            <w:tcW w:w="9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（七）动态人像识别系统</w:t>
            </w:r>
          </w:p>
        </w:tc>
      </w:tr>
      <w:tr>
        <w:tblPrEx>
          <w:tblCellMar>
            <w:top w:w="0" w:type="dxa"/>
            <w:left w:w="0" w:type="dxa"/>
            <w:bottom w:w="0" w:type="dxa"/>
            <w:right w:w="0" w:type="dxa"/>
          </w:tblCellMar>
        </w:tblPrEx>
        <w:trPr>
          <w:trHeight w:val="264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1</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人像智能解析服务器</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lang w:eastAsia="zh-CN" w:bidi="ar"/>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1U机架式服务器</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芯片：“求索 QuestCoreTM”*4（或其他国内自主产权深度学习云端定制芯片）</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功耗：MAX 200w</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网络：千兆网口</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电源：冗余电源</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支持以下功能：（1）人脸建库：支持对布控人员建库，可根据人员属性进行逻辑分库与比对策略设置；（2）人脸识别：根据比对策略将采集到的人脸与布控名单进行实时比对并预警；（3）实时人脸监控：提供实时监控画面，显示并保存所有报警结果；（4）人脸图像检索：可实现路人库人像图片的1比n搜索；（5）其他功能：设备管理、人像库库管理、报警设置、多级用户权限管理等</w:t>
            </w:r>
            <w:r>
              <w:rPr>
                <w:rFonts w:hint="eastAsia" w:ascii="宋体" w:cs="宋体"/>
                <w:b w:val="0"/>
                <w:bCs/>
                <w:color w:val="auto"/>
                <w:sz w:val="21"/>
                <w:szCs w:val="21"/>
                <w:lang w:eastAsia="zh-CN" w:bidi="ar"/>
              </w:rPr>
              <w:t>。</w:t>
            </w:r>
          </w:p>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▲6</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完全能无缝对接台州市公安局溯影人像平台的仙居县人像识别系统数据服务6</w:t>
            </w: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0路，并提供相关证明。</w:t>
            </w:r>
          </w:p>
        </w:tc>
      </w:tr>
      <w:tr>
        <w:tblPrEx>
          <w:tblCellMar>
            <w:top w:w="0" w:type="dxa"/>
            <w:left w:w="0" w:type="dxa"/>
            <w:bottom w:w="0" w:type="dxa"/>
            <w:right w:w="0" w:type="dxa"/>
          </w:tblCellMar>
        </w:tblPrEx>
        <w:trPr>
          <w:trHeight w:val="192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2</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人像识别系统存储服务器</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CPU：E5-2630v4*2</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内存：128G DDR4</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Raid卡：3108 SAS IR卡</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硬盘：300G SAS * 2 (Raid 1)（系统盘）</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8TB SATA（企业级）* 34 + 3.8T SSD * 2</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网络：万兆光纤</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6、</w:t>
            </w:r>
            <w:r>
              <w:rPr>
                <w:rFonts w:hint="eastAsia" w:ascii="宋体" w:cs="宋体"/>
                <w:b w:val="0"/>
                <w:bCs/>
                <w:color w:val="auto"/>
                <w:sz w:val="21"/>
                <w:szCs w:val="21"/>
                <w:lang w:bidi="ar"/>
              </w:rPr>
              <w:t>电源：冗余电源</w:t>
            </w:r>
            <w:r>
              <w:rPr>
                <w:rFonts w:hint="eastAsia" w:ascii="宋体" w:cs="宋体"/>
                <w:b w:val="0"/>
                <w:bCs/>
                <w:color w:val="auto"/>
                <w:sz w:val="21"/>
                <w:szCs w:val="21"/>
                <w:lang w:eastAsia="zh-CN" w:bidi="ar"/>
              </w:rPr>
              <w:t>。</w:t>
            </w:r>
          </w:p>
        </w:tc>
      </w:tr>
      <w:tr>
        <w:tblPrEx>
          <w:tblCellMar>
            <w:top w:w="0" w:type="dxa"/>
            <w:left w:w="0" w:type="dxa"/>
            <w:bottom w:w="0" w:type="dxa"/>
            <w:right w:w="0" w:type="dxa"/>
          </w:tblCellMar>
        </w:tblPrEx>
        <w:trPr>
          <w:trHeight w:val="1920" w:hRule="atLeast"/>
        </w:trPr>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b w:val="0"/>
                <w:bCs/>
                <w:color w:val="auto"/>
                <w:sz w:val="21"/>
                <w:szCs w:val="21"/>
              </w:rPr>
            </w:pPr>
            <w:r>
              <w:rPr>
                <w:rFonts w:hint="eastAsia" w:ascii="宋体" w:cs="宋体"/>
                <w:b w:val="0"/>
                <w:bCs/>
                <w:color w:val="auto"/>
                <w:sz w:val="21"/>
                <w:szCs w:val="21"/>
                <w:lang w:bidi="ar"/>
              </w:rPr>
              <w:t>3</w:t>
            </w:r>
          </w:p>
        </w:tc>
        <w:tc>
          <w:tcPr>
            <w:tcW w:w="1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bidi="ar"/>
              </w:rPr>
              <w:t>人像识别系统存储管理服务器</w:t>
            </w:r>
          </w:p>
        </w:tc>
        <w:tc>
          <w:tcPr>
            <w:tcW w:w="6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cs="宋体"/>
                <w:b w:val="0"/>
                <w:bCs/>
                <w:color w:val="auto"/>
                <w:sz w:val="21"/>
                <w:szCs w:val="21"/>
              </w:rPr>
            </w:pPr>
            <w:r>
              <w:rPr>
                <w:rFonts w:hint="eastAsia" w:ascii="宋体" w:cs="宋体"/>
                <w:b w:val="0"/>
                <w:bCs/>
                <w:color w:val="auto"/>
                <w:sz w:val="21"/>
                <w:szCs w:val="21"/>
                <w:lang w:val="en-US" w:eastAsia="zh-CN" w:bidi="ar"/>
              </w:rPr>
              <w:t>1、</w:t>
            </w:r>
            <w:r>
              <w:rPr>
                <w:rFonts w:hint="eastAsia" w:ascii="宋体" w:cs="宋体"/>
                <w:b w:val="0"/>
                <w:bCs/>
                <w:color w:val="auto"/>
                <w:sz w:val="21"/>
                <w:szCs w:val="21"/>
                <w:lang w:bidi="ar"/>
              </w:rPr>
              <w:t>CPU：E5-2630v4*2</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2、</w:t>
            </w:r>
            <w:r>
              <w:rPr>
                <w:rFonts w:hint="eastAsia" w:ascii="宋体" w:cs="宋体"/>
                <w:b w:val="0"/>
                <w:bCs/>
                <w:color w:val="auto"/>
                <w:sz w:val="21"/>
                <w:szCs w:val="21"/>
                <w:lang w:bidi="ar"/>
              </w:rPr>
              <w:t>内存：128G DDR4</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3、</w:t>
            </w:r>
            <w:r>
              <w:rPr>
                <w:rFonts w:hint="eastAsia" w:ascii="宋体" w:cs="宋体"/>
                <w:b w:val="0"/>
                <w:bCs/>
                <w:color w:val="auto"/>
                <w:sz w:val="21"/>
                <w:szCs w:val="21"/>
                <w:lang w:bidi="ar"/>
              </w:rPr>
              <w:t>Raid卡：3108 SAS IR卡</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4、</w:t>
            </w:r>
            <w:r>
              <w:rPr>
                <w:rFonts w:hint="eastAsia" w:ascii="宋体" w:cs="宋体"/>
                <w:b w:val="0"/>
                <w:bCs/>
                <w:color w:val="auto"/>
                <w:sz w:val="21"/>
                <w:szCs w:val="21"/>
                <w:lang w:bidi="ar"/>
              </w:rPr>
              <w:t>硬盘：300G SAS * 2 (Raid 1)（系统盘）</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t>4TB SATA（企业级）* 5</w:t>
            </w:r>
            <w:r>
              <w:rPr>
                <w:rFonts w:hint="eastAsia" w:ascii="宋体" w:cs="宋体"/>
                <w:b w:val="0"/>
                <w:bCs/>
                <w:color w:val="auto"/>
                <w:sz w:val="21"/>
                <w:szCs w:val="21"/>
                <w:lang w:eastAsia="zh-CN" w:bidi="ar"/>
              </w:rPr>
              <w:t>。</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5、</w:t>
            </w:r>
            <w:r>
              <w:rPr>
                <w:rFonts w:hint="eastAsia" w:ascii="宋体" w:cs="宋体"/>
                <w:b w:val="0"/>
                <w:bCs/>
                <w:color w:val="auto"/>
                <w:sz w:val="21"/>
                <w:szCs w:val="21"/>
                <w:lang w:bidi="ar"/>
              </w:rPr>
              <w:t>网络：万兆光纤</w:t>
            </w:r>
            <w:r>
              <w:rPr>
                <w:rFonts w:hint="eastAsia" w:ascii="宋体" w:cs="宋体"/>
                <w:b w:val="0"/>
                <w:bCs/>
                <w:color w:val="auto"/>
                <w:sz w:val="21"/>
                <w:szCs w:val="21"/>
                <w:lang w:bidi="ar"/>
              </w:rPr>
              <w:br w:type="textWrapping"/>
            </w:r>
            <w:r>
              <w:rPr>
                <w:rFonts w:hint="eastAsia" w:ascii="宋体" w:cs="宋体"/>
                <w:b w:val="0"/>
                <w:bCs/>
                <w:color w:val="auto"/>
                <w:sz w:val="21"/>
                <w:szCs w:val="21"/>
                <w:lang w:val="en-US" w:eastAsia="zh-CN" w:bidi="ar"/>
              </w:rPr>
              <w:t>6、</w:t>
            </w:r>
            <w:r>
              <w:rPr>
                <w:rFonts w:hint="eastAsia" w:ascii="宋体" w:cs="宋体"/>
                <w:b w:val="0"/>
                <w:bCs/>
                <w:color w:val="auto"/>
                <w:sz w:val="21"/>
                <w:szCs w:val="21"/>
                <w:lang w:bidi="ar"/>
              </w:rPr>
              <w:t>电源：冗余电源</w:t>
            </w:r>
          </w:p>
        </w:tc>
      </w:tr>
    </w:tbl>
    <w:p>
      <w:pPr>
        <w:spacing w:line="360" w:lineRule="auto"/>
        <w:rPr>
          <w:rFonts w:hint="eastAsia" w:ascii="宋体" w:hAnsi="宋体" w:cs="宋体"/>
          <w:b/>
          <w:color w:val="auto"/>
          <w:sz w:val="24"/>
        </w:rPr>
        <w:sectPr>
          <w:pgSz w:w="11906" w:h="16838"/>
          <w:pgMar w:top="1440" w:right="1440" w:bottom="1440" w:left="1440" w:header="851" w:footer="992" w:gutter="0"/>
          <w:cols w:space="720" w:num="1"/>
          <w:docGrid w:linePitch="312" w:charSpace="0"/>
        </w:sectPr>
      </w:pPr>
    </w:p>
    <w:p>
      <w:pPr>
        <w:pBdr>
          <w:top w:val="none" w:color="auto" w:sz="0" w:space="0"/>
          <w:left w:val="none" w:color="auto" w:sz="0" w:space="0"/>
          <w:bottom w:val="none" w:color="auto" w:sz="0" w:space="0"/>
          <w:right w:val="none" w:color="auto" w:sz="0" w:space="0"/>
          <w:between w:val="none" w:color="auto" w:sz="0" w:space="0"/>
        </w:pBdr>
        <w:spacing w:line="340" w:lineRule="exact"/>
        <w:outlineLvl w:val="0"/>
        <w:rPr>
          <w:rFonts w:hint="eastAsia" w:ascii="宋体"/>
          <w:b/>
          <w:color w:val="auto"/>
          <w:kern w:val="21"/>
          <w:sz w:val="24"/>
          <w:szCs w:val="24"/>
        </w:rPr>
      </w:pPr>
      <w:r>
        <w:rPr>
          <w:rFonts w:hint="eastAsia" w:ascii="宋体"/>
          <w:b/>
          <w:color w:val="auto"/>
          <w:kern w:val="21"/>
          <w:sz w:val="24"/>
          <w:szCs w:val="24"/>
        </w:rPr>
        <w:t>附表三</w:t>
      </w:r>
      <w:r>
        <w:rPr>
          <w:rFonts w:hint="eastAsia" w:ascii="宋体"/>
          <w:b/>
          <w:color w:val="auto"/>
          <w:kern w:val="21"/>
          <w:sz w:val="24"/>
          <w:szCs w:val="24"/>
          <w:lang w:eastAsia="zh-CN"/>
        </w:rPr>
        <w:t>：</w:t>
      </w:r>
      <w:r>
        <w:rPr>
          <w:rFonts w:hint="eastAsia" w:ascii="宋体"/>
          <w:b/>
          <w:color w:val="auto"/>
          <w:kern w:val="21"/>
          <w:sz w:val="24"/>
          <w:szCs w:val="24"/>
        </w:rPr>
        <w:t>标项三点位统计表</w:t>
      </w:r>
    </w:p>
    <w:tbl>
      <w:tblPr>
        <w:tblStyle w:val="39"/>
        <w:tblW w:w="0" w:type="auto"/>
        <w:tblInd w:w="96" w:type="dxa"/>
        <w:tblLayout w:type="fixed"/>
        <w:tblCellMar>
          <w:top w:w="0" w:type="dxa"/>
          <w:left w:w="108" w:type="dxa"/>
          <w:bottom w:w="0" w:type="dxa"/>
          <w:right w:w="108" w:type="dxa"/>
        </w:tblCellMar>
      </w:tblPr>
      <w:tblGrid>
        <w:gridCol w:w="547"/>
        <w:gridCol w:w="1062"/>
        <w:gridCol w:w="2900"/>
        <w:gridCol w:w="694"/>
        <w:gridCol w:w="675"/>
        <w:gridCol w:w="637"/>
        <w:gridCol w:w="615"/>
        <w:gridCol w:w="576"/>
        <w:gridCol w:w="576"/>
        <w:gridCol w:w="576"/>
        <w:gridCol w:w="615"/>
        <w:gridCol w:w="440"/>
        <w:gridCol w:w="440"/>
        <w:gridCol w:w="440"/>
        <w:gridCol w:w="440"/>
        <w:gridCol w:w="518"/>
        <w:gridCol w:w="557"/>
        <w:gridCol w:w="2212"/>
      </w:tblGrid>
      <w:tr>
        <w:trPr>
          <w:trHeight w:val="720" w:hRule="atLeast"/>
        </w:trPr>
        <w:tc>
          <w:tcPr>
            <w:tcW w:w="5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序号</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行政区域</w:t>
            </w:r>
          </w:p>
        </w:tc>
        <w:tc>
          <w:tcPr>
            <w:tcW w:w="2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道路监控点名称</w:t>
            </w:r>
          </w:p>
        </w:tc>
        <w:tc>
          <w:tcPr>
            <w:tcW w:w="2621" w:type="dxa"/>
            <w:gridSpan w:val="4"/>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摄像机类型</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爆闪灯</w:t>
            </w:r>
          </w:p>
        </w:tc>
        <w:tc>
          <w:tcPr>
            <w:tcW w:w="1152" w:type="dxa"/>
            <w:gridSpan w:val="2"/>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传输设备</w:t>
            </w:r>
          </w:p>
        </w:tc>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8口交换机</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监控箱类型</w:t>
            </w:r>
          </w:p>
        </w:tc>
        <w:tc>
          <w:tcPr>
            <w:tcW w:w="1398" w:type="dxa"/>
            <w:gridSpan w:val="3"/>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摄像机安装类型</w:t>
            </w:r>
          </w:p>
        </w:tc>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光缆租用</w:t>
            </w:r>
          </w:p>
        </w:tc>
        <w:tc>
          <w:tcPr>
            <w:tcW w:w="22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备注</w:t>
            </w:r>
          </w:p>
        </w:tc>
      </w:tr>
      <w:tr>
        <w:tblPrEx>
          <w:tblCellMar>
            <w:top w:w="0" w:type="dxa"/>
            <w:left w:w="108" w:type="dxa"/>
            <w:bottom w:w="0" w:type="dxa"/>
            <w:right w:w="108" w:type="dxa"/>
          </w:tblCellMar>
        </w:tblPrEx>
        <w:trPr>
          <w:trHeight w:val="480" w:hRule="atLeast"/>
        </w:trPr>
        <w:tc>
          <w:tcPr>
            <w:tcW w:w="5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694"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400万智慧监控单元</w:t>
            </w:r>
          </w:p>
        </w:tc>
        <w:tc>
          <w:tcPr>
            <w:tcW w:w="675"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900万像素视频抓拍机</w:t>
            </w:r>
          </w:p>
        </w:tc>
        <w:tc>
          <w:tcPr>
            <w:tcW w:w="637"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200万人脸半球</w:t>
            </w:r>
          </w:p>
        </w:tc>
        <w:tc>
          <w:tcPr>
            <w:tcW w:w="615"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高清全景球机</w:t>
            </w: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576"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1光8电</w:t>
            </w:r>
          </w:p>
        </w:tc>
        <w:tc>
          <w:tcPr>
            <w:tcW w:w="576"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2光8电</w:t>
            </w: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440"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挂箱</w:t>
            </w:r>
          </w:p>
        </w:tc>
        <w:tc>
          <w:tcPr>
            <w:tcW w:w="440"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壁装</w:t>
            </w:r>
          </w:p>
        </w:tc>
        <w:tc>
          <w:tcPr>
            <w:tcW w:w="440"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壁装</w:t>
            </w:r>
          </w:p>
        </w:tc>
        <w:tc>
          <w:tcPr>
            <w:tcW w:w="440"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下吊</w:t>
            </w:r>
          </w:p>
        </w:tc>
        <w:tc>
          <w:tcPr>
            <w:tcW w:w="518" w:type="dxa"/>
            <w:vMerge w:val="restart"/>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b/>
                <w:bCs/>
                <w:color w:val="auto"/>
                <w:sz w:val="21"/>
                <w:szCs w:val="21"/>
              </w:rPr>
            </w:pPr>
            <w:r>
              <w:rPr>
                <w:rFonts w:hint="eastAsia" w:ascii="宋体" w:cs="宋体"/>
                <w:b/>
                <w:bCs/>
                <w:color w:val="auto"/>
                <w:sz w:val="21"/>
                <w:szCs w:val="21"/>
              </w:rPr>
              <w:t>借杆抱箍</w:t>
            </w:r>
          </w:p>
        </w:tc>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2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r>
      <w:tr>
        <w:tblPrEx>
          <w:tblCellMar>
            <w:top w:w="0" w:type="dxa"/>
            <w:left w:w="108" w:type="dxa"/>
            <w:bottom w:w="0" w:type="dxa"/>
            <w:right w:w="108" w:type="dxa"/>
          </w:tblCellMar>
        </w:tblPrEx>
        <w:trPr>
          <w:trHeight w:val="480" w:hRule="atLeast"/>
        </w:trPr>
        <w:tc>
          <w:tcPr>
            <w:tcW w:w="5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2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694"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675"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637"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615"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576"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576"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518" w:type="dxa"/>
            <w:vMerge w:val="continue"/>
            <w:tcBorders>
              <w:top w:val="nil"/>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c>
          <w:tcPr>
            <w:tcW w:w="2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b/>
                <w:bCs/>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步东线-洋岙卡口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绿道公园桥头卡口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S322省道-步东线南卡口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S322省道-田市下桥卡口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田柯线-田市***卡口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水各村西南边卡口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田柯线-水各教堂卡口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田柯线-蔡坎头卡口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田柯线-九思小学卡口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公盂岩高速口外卡口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天网四期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下街线-东村卡口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下街线-抱上村卡口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下街线-关后卡口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白西线-王户村卡口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白西线-呈桥村卡口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下街线-上叶村卡口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下街线-高迁上屋卡口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下街线-高迁三角路口卡口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前洋村-高迁卡口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万善寺北侧卡口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吴田线-田头项西卡口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路小线-工业园区卡口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白塔工业园区-汇正汽车卡口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白塔工业园区-永安桥头卡口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w:t>
            </w:r>
          </w:p>
        </w:tc>
        <w:tc>
          <w:tcPr>
            <w:tcW w:w="1062"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茶溪村卡口</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茶溪村西卡口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景星大道-西大街卡口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白龙线-南大街卡口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29</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白龙线-白塔街卡口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30</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景星大道-振兴路卡口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31</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振兴路-南大街卡口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32</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白中路-白塔中学卡口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33</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S322省道-白塔中学卡口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34</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S322省道-圳口桥头东卡口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35</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白龙线-圳口桥头西卡口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淡竹乡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白龙线-下叶村卡口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淡竹乡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白龙线-下齐村卡口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淡竹乡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神仙居关坑卡口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39</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淡竹乡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白龙线-义案卡口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40</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旅游大道-关后桥头卡口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41</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皤滩乡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皤滩新老S322省道交叉口卡口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42</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皤滩乡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皤滩老桥头卡口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43</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皤滩乡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大桥路-永安路卡口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44</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皤滩乡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永安路-皤滩乡政府卡口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45</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皤滩乡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皤滩古镇停车场卡口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S322省道往枫树桥卡口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下街线-下催中宅卡口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S322省道-下街线卡口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49</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S322省道-光学路卡口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50</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S322省道-前垟卡口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51</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埠头镇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S322省道-埠头加油站卡口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52</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埠头镇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育才路-埠头镇政府卡口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53</w:t>
            </w:r>
          </w:p>
        </w:tc>
        <w:tc>
          <w:tcPr>
            <w:tcW w:w="1062"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埠头镇</w:t>
            </w:r>
          </w:p>
        </w:tc>
        <w:tc>
          <w:tcPr>
            <w:tcW w:w="2900"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S322省道-埠水线卡口</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54</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埠头镇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诸永高速埠头出口卡口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55</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埠头镇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仁大线-大陈卡口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埠头镇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诸永高速引线-永新村卡口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埠头镇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S322省道-宝相寺卡口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S322省道-下沈卡口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59</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S322省道-横溪高速口卡口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60</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育才路-S322省道卡口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61</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S322省道-桃源卡口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62</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五苍线-S322省道卡口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63</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S322省道-垟山岙村卡口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64</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湫山乡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S322省道-抱龙村卡口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65</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湫山乡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溪下线-下岸卡口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湫山乡</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S322省道-樟树桥村卡口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交警校园网</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S322省道-西一路卡口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西一路-东西大街卡口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天网三期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69</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西一路-健康路卡口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70</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镇府路-横溪后街卡口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71</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东西大街-镇府路卡口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8</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72</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镇府路-S322省道卡口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交警</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73</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S322省道-同心路卡口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74</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永安路-S322省道卡口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75</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东西大街-永安路卡口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8</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天网五期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76</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永安路-横溪后街卡口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77</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横溪高速引线-蓄能村卡口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78</w:t>
            </w:r>
          </w:p>
        </w:tc>
        <w:tc>
          <w:tcPr>
            <w:tcW w:w="106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东西大街-溪头村卡口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天网六期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79</w:t>
            </w:r>
          </w:p>
        </w:tc>
        <w:tc>
          <w:tcPr>
            <w:tcW w:w="106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横溪镇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横溪高速口外卡口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天网四期</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80</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时来大道北路口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81</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厚仁下街村2号</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82</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老35省道厚仁中街东一路12号</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83</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时来大道厚仁中街东一路86号北路口</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厚仁中街三角店路口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厚仁中街东二路75号西路口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厚仁中街小塘岸</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厚仁上街喜羊羊艺术幼儿园</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厚仁上街西里村7号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89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厚仁上街办公楼前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厚仁上街办公楼北路</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厚仁上街上马石路口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厚仁上街新安乐鞋撑厂</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厚仁上街临石路22号对面</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厚仁下街村办公楼西南角</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厚仁下街村253号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厚仁下街村321号北面路口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厚仁下街火烤坦路口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金店村变压器边路口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99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金店村下金店300号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金店村下金店399号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S32省道金店村村口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下崔中宅村中心晒场</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下崔中宅与上宅交界路口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下崔中宅四区76号边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下崔中宅四区74号路口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下街线白沙路130号对面</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下崔中宅四区33号北面路口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108</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下崔中宅一区公厕边</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109</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下崔下宅一区2号</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110</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台创园主路烧酒坊边</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111</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台创园主路与绿道交叉口</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台创园富垟村北村口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下街线下下塘新村19号后门</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下街线下塘下新村19号前门</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前塘村东村口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前塘村樟树坦路口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上项村西村口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山背村村口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119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前塘往抱上村桥头</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抱上村田坦路口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抱上村下新屋50号前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上邵村往服务区路口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周岙村1号边村口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寺前中街下6号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寺前村老街中横街</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寺前上街头73号路口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寺前村北村口猪舍边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寺前村新办公楼前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129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下街线寺前桥头</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下街线水莲寺前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溪田村南村口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溪田村往服务区路口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下珠村往溪田桥头</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下珠村路南52号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下珠村上街83号北边路口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下珠村下街公厕边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137</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山角公厕边</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138</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白西线关金村口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139</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白西线登云国际路口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140</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白西线王户村新桥头</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141</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呈桥村山景民宿边</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下街线华邸庄园前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下街线留仙里南路西路口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仙逸居小区北大门</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白西线留仙里路口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仙居生物多样性科教中心</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白塔下横街村家宴服务中心前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上横街往高迁路口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149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下街线上屋村八区36号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高迁村高速桥下东村口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高迁三角站东边中段</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东潘村人工湖边南路口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东潘村人工湖边中路口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东潘村家宴服务中心前路口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白西线东潘村往东鲍村路口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东潘村前洋1号前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东潘村下王村口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东鲍村东北转角</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159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东鲍村村委会</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东鲍村电信机房边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5</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东鲍村景观塘路口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东鲍村八米横路路口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西暨表门佛殿路口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参军第西路口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西暨村暨氏宗祠路口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西暨断桥头31号边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167</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前王村东村口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168</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前王自来水间上60号</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169</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前王村往鱼山村路口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170</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前邵养老中心前</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前邵村北村口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白龙线吕桥头村听雨轩民宿前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吕桥头村基督教前路口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吕桥头村北路口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白龙线吕桥头56号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圳口村殿后停车场</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圳口村坎下55号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6</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圳口村坎下52号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179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圳口村坎下公厕边路口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圳口村村委会南侧</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坎下77号后门边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圳口村坎上门楼路口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圳口村绿道东1锯板厂</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圳口村绿道东2篮球场</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圳口村绿道西1</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圳口村绿道西2</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工业园北特医疗前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工业园往西井村发展路北口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189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工业园发展路德忆装饰前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路小线王山上村路口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路小线谷岩村上宅路口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路小线垃圾处理站路口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路小线后塘村凉亭边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路小线后坑村55号边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后坑村中心街西路口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196</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后坑村环村北路路口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　</w:t>
            </w: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197</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后坑村环村北路猪舍边</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198</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东安村白塔货运火车站</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288"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199</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nil"/>
              <w:bottom w:val="single" w:color="auto" w:sz="4" w:space="0"/>
              <w:right w:val="single" w:color="auto" w:sz="4" w:space="0"/>
            </w:tcBorders>
            <w:noWrap w:val="0"/>
            <w:vAlign w:val="bottom"/>
          </w:tcPr>
          <w:p>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color w:val="auto"/>
                <w:sz w:val="21"/>
                <w:szCs w:val="21"/>
              </w:rPr>
            </w:pPr>
            <w:r>
              <w:rPr>
                <w:rFonts w:hint="eastAsia" w:ascii="宋体" w:cs="宋体"/>
                <w:color w:val="auto"/>
                <w:sz w:val="21"/>
                <w:szCs w:val="21"/>
              </w:rPr>
              <w:t>西井2号田市货运火车站</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井头垟商店前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井头垟变压器边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井头垟路西147号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永安村办公楼前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永安村78号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永安村后坦路口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焕雨烟酒店</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下山村变压器边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岛岩寺路口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209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茶溪村高速桥下路口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楼下村东山头村卫生院边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东山头柯桥头路口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东山头村下弯变压器边路口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铁庄公园</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大路岸村办公楼前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5</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215</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大路岸村外村口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216</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东安村隔溪40号边桥头路口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217</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东安村95号</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218</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东山头村西路中段</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219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马坎头村变电房边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马坎头村委会边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马坎头村东北村口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马坎头村北公园路口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上屋村二区22号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文明街南大街卢氏手机店</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文明街南大街东口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天网七期</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南大街世纪星幼儿园</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南大街189号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南大街176号居逸土菜馆后门</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229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南大街136号三全包前</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白塔镇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新大街291号中国黄金珠宝</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绿道上溪大桥西口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田市镇政府门口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233</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范宅东路与商业街交叉口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234</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上潘路与商业街交叉口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235</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吴田线后项村村口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236</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吴桥下村127号边路口</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吴桥下村91号边路口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下加庄村路西22号路口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239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吴桥上村村委会</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下街临石线179号北</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241</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水各村变电房旁</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242</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水各村大操场</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243</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水各村八大碗农家乐</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244</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水各村绿道牡丹园边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水各村绿道公厕边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新屋村西87号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岩塔头村北米面厂</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248</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岩塔头村75号路口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4</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249</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景东移民村西村口</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250</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东山溪村40号</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10</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251</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田柯线岩湖南村37号</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2</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252</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下罗村公厕边路口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253</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后汪村志伟超市门口</w:t>
            </w:r>
          </w:p>
        </w:tc>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254</w:t>
            </w:r>
          </w:p>
        </w:tc>
        <w:tc>
          <w:tcPr>
            <w:tcW w:w="106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潘岩坦村委会东侧三叉路口</w:t>
            </w:r>
          </w:p>
        </w:tc>
        <w:tc>
          <w:tcPr>
            <w:tcW w:w="694"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single" w:color="auto" w:sz="4" w:space="0"/>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255</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陈坦头村村委会</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借电力杆</w:t>
            </w: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256</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古岙村河边凉亭边</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r>
        <w:tblPrEx>
          <w:tblCellMar>
            <w:top w:w="0" w:type="dxa"/>
            <w:left w:w="108" w:type="dxa"/>
            <w:bottom w:w="0" w:type="dxa"/>
            <w:right w:w="108" w:type="dxa"/>
          </w:tblCellMar>
        </w:tblPrEx>
        <w:trPr>
          <w:trHeight w:val="480" w:hRule="atLeast"/>
        </w:trPr>
        <w:tc>
          <w:tcPr>
            <w:tcW w:w="547" w:type="dxa"/>
            <w:tcBorders>
              <w:top w:val="nil"/>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olor w:val="auto"/>
                <w:sz w:val="21"/>
                <w:szCs w:val="21"/>
              </w:rPr>
              <w:t>257</w:t>
            </w:r>
          </w:p>
        </w:tc>
        <w:tc>
          <w:tcPr>
            <w:tcW w:w="106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田市镇</w:t>
            </w:r>
          </w:p>
        </w:tc>
        <w:tc>
          <w:tcPr>
            <w:tcW w:w="290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both"/>
              <w:rPr>
                <w:rFonts w:ascii="宋体" w:cs="宋体"/>
                <w:color w:val="auto"/>
                <w:sz w:val="21"/>
                <w:szCs w:val="21"/>
              </w:rPr>
            </w:pPr>
            <w:r>
              <w:rPr>
                <w:rFonts w:hint="eastAsia" w:ascii="宋体" w:cs="宋体"/>
                <w:color w:val="auto"/>
                <w:sz w:val="21"/>
                <w:szCs w:val="21"/>
              </w:rPr>
              <w:t>田柯线东岸溪桥头</w:t>
            </w:r>
          </w:p>
        </w:tc>
        <w:tc>
          <w:tcPr>
            <w:tcW w:w="694"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3</w:t>
            </w:r>
          </w:p>
        </w:tc>
        <w:tc>
          <w:tcPr>
            <w:tcW w:w="67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3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576"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615"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440"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18"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c>
          <w:tcPr>
            <w:tcW w:w="557"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r>
              <w:rPr>
                <w:rFonts w:hint="eastAsia" w:ascii="宋体" w:cs="宋体"/>
                <w:color w:val="auto"/>
                <w:sz w:val="21"/>
                <w:szCs w:val="21"/>
              </w:rPr>
              <w:t>1</w:t>
            </w:r>
          </w:p>
        </w:tc>
        <w:tc>
          <w:tcPr>
            <w:tcW w:w="2212" w:type="dxa"/>
            <w:tcBorders>
              <w:top w:val="nil"/>
              <w:left w:val="nil"/>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宋体" w:cs="宋体"/>
                <w:color w:val="auto"/>
                <w:sz w:val="21"/>
                <w:szCs w:val="21"/>
              </w:rPr>
            </w:pPr>
          </w:p>
        </w:tc>
      </w:tr>
    </w:tbl>
    <w:p>
      <w:pPr>
        <w:spacing w:line="360" w:lineRule="auto"/>
        <w:rPr>
          <w:rFonts w:hint="eastAsia" w:ascii="宋体" w:hAnsi="宋体" w:cs="宋体"/>
          <w:b/>
          <w:color w:val="auto"/>
          <w:sz w:val="24"/>
        </w:rPr>
        <w:sectPr>
          <w:pgSz w:w="16838" w:h="11906" w:orient="landscape"/>
          <w:pgMar w:top="1440" w:right="1440" w:bottom="1440" w:left="1440" w:header="851" w:footer="992" w:gutter="0"/>
          <w:cols w:space="720" w:num="1"/>
          <w:docGrid w:linePitch="312" w:charSpace="0"/>
        </w:sectPr>
      </w:pPr>
    </w:p>
    <w:p>
      <w:pPr>
        <w:spacing w:line="360" w:lineRule="auto"/>
        <w:rPr>
          <w:rFonts w:hint="eastAsia" w:ascii="宋体" w:hAnsi="宋体" w:eastAsia="宋体" w:cs="宋体"/>
          <w:b/>
          <w:color w:val="auto"/>
          <w:sz w:val="24"/>
          <w:lang w:val="en-US" w:eastAsia="zh-CN"/>
        </w:rPr>
      </w:pPr>
      <w:r>
        <w:rPr>
          <w:rFonts w:hint="eastAsia" w:ascii="宋体" w:hAnsi="宋体" w:cs="宋体"/>
          <w:b/>
          <w:color w:val="auto"/>
          <w:sz w:val="24"/>
        </w:rPr>
        <w:t>三、</w:t>
      </w:r>
      <w:r>
        <w:rPr>
          <w:rFonts w:hint="eastAsia" w:ascii="宋体" w:hAnsi="宋体" w:cs="宋体"/>
          <w:b/>
          <w:color w:val="auto"/>
          <w:sz w:val="24"/>
          <w:lang w:val="en-US" w:eastAsia="zh-CN"/>
        </w:rPr>
        <w:t>标项一、二、三其他相关要求</w:t>
      </w:r>
    </w:p>
    <w:p>
      <w:pPr>
        <w:tabs>
          <w:tab w:val="left" w:pos="900"/>
        </w:tabs>
        <w:snapToGrid w:val="0"/>
        <w:spacing w:line="360" w:lineRule="auto"/>
        <w:ind w:firstLine="480"/>
        <w:rPr>
          <w:rFonts w:hint="eastAsia" w:ascii="宋体" w:eastAsia="宋体"/>
          <w:b/>
          <w:color w:val="auto"/>
          <w:kern w:val="21"/>
          <w:sz w:val="24"/>
          <w:szCs w:val="24"/>
          <w:lang w:eastAsia="zh-CN"/>
        </w:rPr>
      </w:pPr>
      <w:r>
        <w:rPr>
          <w:rFonts w:hint="eastAsia" w:ascii="宋体" w:hAnsi="宋体" w:cs="宋体"/>
          <w:b/>
          <w:color w:val="auto"/>
          <w:sz w:val="24"/>
          <w:lang w:val="en-US" w:eastAsia="zh-CN"/>
        </w:rPr>
        <w:t>1</w:t>
      </w:r>
      <w:r>
        <w:rPr>
          <w:rFonts w:hint="eastAsia" w:ascii="宋体" w:hAnsi="宋体" w:cs="宋体"/>
          <w:b/>
          <w:color w:val="auto"/>
          <w:sz w:val="24"/>
        </w:rPr>
        <w:t>、</w:t>
      </w:r>
      <w:r>
        <w:rPr>
          <w:rFonts w:ascii="宋体"/>
          <w:b/>
          <w:color w:val="auto"/>
          <w:kern w:val="21"/>
          <w:sz w:val="24"/>
          <w:szCs w:val="24"/>
        </w:rPr>
        <w:t>运维服务</w:t>
      </w:r>
      <w:r>
        <w:rPr>
          <w:rFonts w:hint="eastAsia" w:ascii="宋体"/>
          <w:b/>
          <w:color w:val="auto"/>
          <w:kern w:val="21"/>
          <w:sz w:val="24"/>
          <w:szCs w:val="24"/>
        </w:rPr>
        <w:t>及违约责任</w:t>
      </w:r>
      <w:r>
        <w:rPr>
          <w:rFonts w:hint="eastAsia" w:ascii="宋体"/>
          <w:b/>
          <w:color w:val="auto"/>
          <w:kern w:val="21"/>
          <w:sz w:val="24"/>
          <w:szCs w:val="24"/>
          <w:lang w:eastAsia="zh-CN"/>
        </w:rPr>
        <w:t>：</w:t>
      </w:r>
    </w:p>
    <w:p>
      <w:pPr>
        <w:tabs>
          <w:tab w:val="left" w:pos="900"/>
        </w:tabs>
        <w:snapToGrid w:val="0"/>
        <w:spacing w:line="360" w:lineRule="auto"/>
        <w:ind w:firstLine="480"/>
        <w:rPr>
          <w:rFonts w:ascii="宋体"/>
          <w:color w:val="auto"/>
          <w:sz w:val="24"/>
        </w:rPr>
      </w:pPr>
      <w:r>
        <w:rPr>
          <w:rFonts w:hint="eastAsia" w:ascii="宋体"/>
          <w:color w:val="auto"/>
          <w:sz w:val="24"/>
        </w:rPr>
        <w:t>根据“雪亮工程”的运维服务要求，需建设提供统一的运维报障平台，运维服务需实现对视频专网的软硬件资产规范化管理，设备运行状态的可视化管理、指标化监测、智能化故障定位和敏感信息识别，视频质量诊断、故障处理工单的电子化流转和统一的考核评价，从而达到提升信息化系统运营效率和管理水平，保障视频资源核心系统的安全、有序、稳定和高效运转。</w:t>
      </w:r>
    </w:p>
    <w:p>
      <w:pPr>
        <w:numPr>
          <w:ilvl w:val="0"/>
          <w:numId w:val="35"/>
        </w:numPr>
        <w:tabs>
          <w:tab w:val="left" w:pos="900"/>
        </w:tabs>
        <w:snapToGrid w:val="0"/>
        <w:spacing w:line="360" w:lineRule="auto"/>
        <w:rPr>
          <w:rFonts w:ascii="宋体"/>
          <w:b/>
          <w:color w:val="auto"/>
          <w:sz w:val="24"/>
        </w:rPr>
      </w:pPr>
      <w:r>
        <w:rPr>
          <w:rFonts w:ascii="宋体"/>
          <w:b/>
          <w:color w:val="auto"/>
          <w:sz w:val="24"/>
        </w:rPr>
        <w:t>总体运维要求</w:t>
      </w:r>
    </w:p>
    <w:p>
      <w:pPr>
        <w:tabs>
          <w:tab w:val="left" w:pos="900"/>
        </w:tabs>
        <w:snapToGrid w:val="0"/>
        <w:spacing w:line="360" w:lineRule="auto"/>
        <w:ind w:firstLine="480"/>
        <w:rPr>
          <w:rFonts w:ascii="宋体"/>
          <w:color w:val="auto"/>
          <w:sz w:val="24"/>
        </w:rPr>
      </w:pPr>
      <w:r>
        <w:rPr>
          <w:rFonts w:hint="eastAsia" w:ascii="宋体"/>
          <w:color w:val="auto"/>
          <w:sz w:val="24"/>
        </w:rPr>
        <w:t>建立完善的运维管理系统、运维团队架构、故障处理流程、电子化工单及考核体系、其他运维相关的业务流程规范和制度的制定等。运维服务目标：</w:t>
      </w:r>
    </w:p>
    <w:p>
      <w:pPr>
        <w:tabs>
          <w:tab w:val="left" w:pos="900"/>
        </w:tabs>
        <w:snapToGrid w:val="0"/>
        <w:spacing w:line="360" w:lineRule="auto"/>
        <w:ind w:firstLine="480"/>
        <w:rPr>
          <w:rFonts w:ascii="宋体"/>
          <w:color w:val="auto"/>
          <w:sz w:val="24"/>
        </w:rPr>
      </w:pPr>
      <w:r>
        <w:rPr>
          <w:rFonts w:hint="eastAsia" w:ascii="宋体"/>
          <w:color w:val="auto"/>
          <w:sz w:val="24"/>
        </w:rPr>
        <w:t>视频在线率：应达到</w:t>
      </w:r>
      <w:r>
        <w:rPr>
          <w:rFonts w:ascii="宋体"/>
          <w:color w:val="auto"/>
          <w:sz w:val="24"/>
        </w:rPr>
        <w:t>98%（含）以上；</w:t>
      </w:r>
    </w:p>
    <w:p>
      <w:pPr>
        <w:tabs>
          <w:tab w:val="left" w:pos="900"/>
        </w:tabs>
        <w:snapToGrid w:val="0"/>
        <w:spacing w:line="360" w:lineRule="auto"/>
        <w:ind w:firstLine="480"/>
        <w:rPr>
          <w:rFonts w:ascii="宋体"/>
          <w:color w:val="auto"/>
          <w:sz w:val="24"/>
        </w:rPr>
      </w:pPr>
      <w:r>
        <w:rPr>
          <w:rFonts w:hint="eastAsia" w:ascii="宋体"/>
          <w:color w:val="auto"/>
          <w:sz w:val="24"/>
        </w:rPr>
        <w:t>卡口在线率：应达到</w:t>
      </w:r>
      <w:r>
        <w:rPr>
          <w:rFonts w:ascii="宋体"/>
          <w:color w:val="auto"/>
          <w:sz w:val="24"/>
        </w:rPr>
        <w:t>98%（含）以上；</w:t>
      </w:r>
    </w:p>
    <w:p>
      <w:pPr>
        <w:tabs>
          <w:tab w:val="left" w:pos="900"/>
        </w:tabs>
        <w:snapToGrid w:val="0"/>
        <w:spacing w:line="360" w:lineRule="auto"/>
        <w:ind w:firstLine="480"/>
        <w:rPr>
          <w:rFonts w:ascii="宋体"/>
          <w:color w:val="auto"/>
          <w:sz w:val="24"/>
        </w:rPr>
      </w:pPr>
      <w:r>
        <w:rPr>
          <w:rFonts w:hint="eastAsia" w:ascii="宋体"/>
          <w:color w:val="auto"/>
          <w:sz w:val="24"/>
        </w:rPr>
        <w:t>视频质量完好率：应达到</w:t>
      </w:r>
      <w:r>
        <w:rPr>
          <w:rFonts w:ascii="宋体"/>
          <w:color w:val="auto"/>
          <w:sz w:val="24"/>
        </w:rPr>
        <w:t>98%（含）以上；</w:t>
      </w:r>
    </w:p>
    <w:p>
      <w:pPr>
        <w:tabs>
          <w:tab w:val="left" w:pos="900"/>
        </w:tabs>
        <w:snapToGrid w:val="0"/>
        <w:spacing w:line="360" w:lineRule="auto"/>
        <w:ind w:firstLine="480"/>
        <w:rPr>
          <w:rFonts w:ascii="宋体"/>
          <w:color w:val="auto"/>
          <w:sz w:val="24"/>
        </w:rPr>
      </w:pPr>
      <w:r>
        <w:rPr>
          <w:rFonts w:hint="eastAsia" w:ascii="宋体"/>
          <w:color w:val="auto"/>
          <w:sz w:val="24"/>
        </w:rPr>
        <w:t>平台及网络可靠性：应达到</w:t>
      </w:r>
      <w:r>
        <w:rPr>
          <w:rFonts w:ascii="宋体"/>
          <w:color w:val="auto"/>
          <w:sz w:val="24"/>
        </w:rPr>
        <w:t>99.99%（含）以上；</w:t>
      </w:r>
    </w:p>
    <w:p>
      <w:pPr>
        <w:tabs>
          <w:tab w:val="left" w:pos="900"/>
        </w:tabs>
        <w:snapToGrid w:val="0"/>
        <w:spacing w:line="360" w:lineRule="auto"/>
        <w:ind w:firstLine="480"/>
        <w:rPr>
          <w:rFonts w:ascii="宋体"/>
          <w:color w:val="auto"/>
          <w:sz w:val="24"/>
        </w:rPr>
      </w:pPr>
      <w:r>
        <w:rPr>
          <w:rFonts w:hint="eastAsia" w:ascii="宋体"/>
          <w:color w:val="auto"/>
          <w:sz w:val="24"/>
        </w:rPr>
        <w:t>一机一档数据准确性：应达到</w:t>
      </w:r>
      <w:r>
        <w:rPr>
          <w:rFonts w:ascii="宋体"/>
          <w:color w:val="auto"/>
          <w:sz w:val="24"/>
        </w:rPr>
        <w:t>99%（含）以上。</w:t>
      </w:r>
    </w:p>
    <w:p>
      <w:pPr>
        <w:tabs>
          <w:tab w:val="left" w:pos="900"/>
        </w:tabs>
        <w:snapToGrid w:val="0"/>
        <w:spacing w:line="360" w:lineRule="auto"/>
        <w:ind w:firstLine="480"/>
        <w:rPr>
          <w:rFonts w:ascii="宋体"/>
          <w:color w:val="auto"/>
          <w:sz w:val="24"/>
        </w:rPr>
      </w:pPr>
      <w:r>
        <w:rPr>
          <w:rFonts w:hint="eastAsia" w:ascii="宋体"/>
          <w:color w:val="auto"/>
          <w:sz w:val="24"/>
        </w:rPr>
        <w:t>运维响应时间符合省厅、市局的考核要求。提供</w:t>
      </w:r>
      <w:r>
        <w:rPr>
          <w:rFonts w:ascii="宋体"/>
          <w:color w:val="auto"/>
          <w:sz w:val="24"/>
        </w:rPr>
        <w:t>7*24小时故障电话服务热线。7*24小时响应，故障申告后：1小时内响应，城区范围1小时到现场，非城区范围2小时到现场，如遇重、特大事故需紧急抢修的，特殊处理。由于自然灾害、不可抗力和人为等引起的故障，由运维服务方提交申请，进行报备，待故障处理后再恢复上线。</w:t>
      </w:r>
    </w:p>
    <w:p>
      <w:pPr>
        <w:numPr>
          <w:ilvl w:val="0"/>
          <w:numId w:val="35"/>
        </w:numPr>
        <w:tabs>
          <w:tab w:val="left" w:pos="900"/>
        </w:tabs>
        <w:snapToGrid w:val="0"/>
        <w:spacing w:line="360" w:lineRule="auto"/>
        <w:rPr>
          <w:rFonts w:ascii="宋体"/>
          <w:b/>
          <w:color w:val="auto"/>
          <w:sz w:val="24"/>
        </w:rPr>
      </w:pPr>
      <w:r>
        <w:rPr>
          <w:rFonts w:ascii="宋体"/>
          <w:b/>
          <w:color w:val="auto"/>
          <w:sz w:val="24"/>
        </w:rPr>
        <w:t>运维团队要求</w:t>
      </w:r>
    </w:p>
    <w:p>
      <w:pPr>
        <w:tabs>
          <w:tab w:val="left" w:pos="900"/>
        </w:tabs>
        <w:snapToGrid w:val="0"/>
        <w:spacing w:line="360" w:lineRule="auto"/>
        <w:ind w:firstLine="480"/>
        <w:rPr>
          <w:rFonts w:ascii="宋体"/>
          <w:color w:val="auto"/>
          <w:sz w:val="24"/>
        </w:rPr>
      </w:pPr>
      <w:r>
        <w:rPr>
          <w:rFonts w:hint="eastAsia" w:ascii="宋体"/>
          <w:color w:val="auto"/>
          <w:sz w:val="24"/>
        </w:rPr>
        <w:t>项目服务团队，按照仙居县公安局统一标准服务，保障业主单位信息化建设及运维。提供</w:t>
      </w:r>
      <w:r>
        <w:rPr>
          <w:rFonts w:ascii="宋体"/>
          <w:color w:val="auto"/>
          <w:sz w:val="24"/>
        </w:rPr>
        <w:t>7*24小时的全方位业务监控，统一运维热线呼叫调度服务，通过统一的运维报障平台，负责运维质量管控、监督和结算等。</w:t>
      </w:r>
    </w:p>
    <w:p>
      <w:pPr>
        <w:tabs>
          <w:tab w:val="left" w:pos="900"/>
        </w:tabs>
        <w:snapToGrid w:val="0"/>
        <w:spacing w:line="360" w:lineRule="auto"/>
        <w:ind w:firstLine="480"/>
        <w:rPr>
          <w:rFonts w:ascii="宋体"/>
          <w:color w:val="auto"/>
          <w:sz w:val="24"/>
        </w:rPr>
      </w:pPr>
      <w:r>
        <w:rPr>
          <w:rFonts w:hint="eastAsia" w:ascii="宋体"/>
          <w:color w:val="auto"/>
          <w:sz w:val="24"/>
        </w:rPr>
        <w:t>运维团队需要运营商牵头建立相关管理制度，责任明确，运维人员须具备</w:t>
      </w:r>
      <w:r>
        <w:rPr>
          <w:rFonts w:ascii="宋体"/>
          <w:color w:val="auto"/>
          <w:sz w:val="24"/>
        </w:rPr>
        <w:t>IT或安防行业工作经验，建立项目负责人制度，公安直接与项目负责人对接提出问题，项目负责人负责协调解决问题并及时反馈。完善安全管理制度、规章制度、质量控制、运维管理、学习培训、服务标准、监督考核、代维管理、信息保密，具备客户服务保障体系和网络运营保障体系。</w:t>
      </w:r>
    </w:p>
    <w:p>
      <w:pPr>
        <w:numPr>
          <w:ilvl w:val="0"/>
          <w:numId w:val="35"/>
        </w:numPr>
        <w:tabs>
          <w:tab w:val="left" w:pos="900"/>
        </w:tabs>
        <w:snapToGrid w:val="0"/>
        <w:spacing w:line="360" w:lineRule="auto"/>
        <w:rPr>
          <w:rFonts w:ascii="宋体"/>
          <w:b/>
          <w:color w:val="auto"/>
          <w:sz w:val="24"/>
        </w:rPr>
      </w:pPr>
      <w:r>
        <w:rPr>
          <w:rFonts w:ascii="宋体"/>
          <w:b/>
          <w:color w:val="auto"/>
          <w:sz w:val="24"/>
        </w:rPr>
        <w:t>运营维护服务内容</w:t>
      </w:r>
    </w:p>
    <w:p>
      <w:pPr>
        <w:tabs>
          <w:tab w:val="left" w:pos="900"/>
        </w:tabs>
        <w:snapToGrid w:val="0"/>
        <w:spacing w:line="360" w:lineRule="auto"/>
        <w:ind w:firstLine="480"/>
        <w:rPr>
          <w:rFonts w:ascii="宋体"/>
          <w:color w:val="auto"/>
          <w:sz w:val="24"/>
        </w:rPr>
      </w:pPr>
      <w:r>
        <w:rPr>
          <w:rFonts w:hint="eastAsia" w:ascii="宋体"/>
          <w:color w:val="auto"/>
          <w:sz w:val="24"/>
        </w:rPr>
        <w:t>运维服务需包括但不限于一机一档管理、平台运维管理、视频质量管理、网络运维管理、电子工单管理，服务提供商需提供相关考核管理办法。</w:t>
      </w:r>
    </w:p>
    <w:p>
      <w:pPr>
        <w:numPr>
          <w:ilvl w:val="0"/>
          <w:numId w:val="35"/>
        </w:numPr>
        <w:tabs>
          <w:tab w:val="left" w:pos="900"/>
        </w:tabs>
        <w:snapToGrid w:val="0"/>
        <w:spacing w:line="360" w:lineRule="auto"/>
        <w:rPr>
          <w:rFonts w:ascii="宋体"/>
          <w:b/>
          <w:color w:val="auto"/>
          <w:sz w:val="24"/>
        </w:rPr>
      </w:pPr>
      <w:r>
        <w:rPr>
          <w:rFonts w:ascii="宋体"/>
          <w:b/>
          <w:color w:val="auto"/>
          <w:sz w:val="24"/>
        </w:rPr>
        <w:t>运营维护服务要求</w:t>
      </w:r>
    </w:p>
    <w:p>
      <w:pPr>
        <w:tabs>
          <w:tab w:val="left" w:pos="900"/>
        </w:tabs>
        <w:snapToGrid w:val="0"/>
        <w:spacing w:line="360" w:lineRule="auto"/>
        <w:ind w:firstLine="480"/>
        <w:rPr>
          <w:rFonts w:ascii="宋体"/>
          <w:color w:val="auto"/>
          <w:sz w:val="24"/>
        </w:rPr>
      </w:pPr>
      <w:r>
        <w:rPr>
          <w:rFonts w:hint="eastAsia" w:ascii="宋体"/>
          <w:color w:val="auto"/>
          <w:sz w:val="24"/>
        </w:rPr>
        <w:t>在完成运营服务内容要求基础上，为保障仙居县雪亮工程运营目标，需实现以下服务要求：</w:t>
      </w:r>
    </w:p>
    <w:p>
      <w:pPr>
        <w:numPr>
          <w:ilvl w:val="0"/>
          <w:numId w:val="36"/>
        </w:numPr>
        <w:tabs>
          <w:tab w:val="left" w:pos="900"/>
        </w:tabs>
        <w:snapToGrid w:val="0"/>
        <w:spacing w:line="360" w:lineRule="auto"/>
        <w:rPr>
          <w:rFonts w:ascii="宋体"/>
          <w:color w:val="auto"/>
          <w:sz w:val="24"/>
        </w:rPr>
      </w:pPr>
      <w:r>
        <w:rPr>
          <w:rFonts w:ascii="宋体"/>
          <w:color w:val="auto"/>
          <w:sz w:val="24"/>
        </w:rPr>
        <w:t>系统免费运营保修服务</w:t>
      </w:r>
    </w:p>
    <w:p>
      <w:pPr>
        <w:tabs>
          <w:tab w:val="left" w:pos="900"/>
        </w:tabs>
        <w:snapToGrid w:val="0"/>
        <w:spacing w:line="360" w:lineRule="auto"/>
        <w:ind w:firstLine="480"/>
        <w:rPr>
          <w:rFonts w:ascii="宋体"/>
          <w:color w:val="auto"/>
          <w:sz w:val="24"/>
        </w:rPr>
      </w:pPr>
      <w:r>
        <w:rPr>
          <w:rFonts w:hint="eastAsia" w:ascii="宋体"/>
          <w:color w:val="auto"/>
          <w:sz w:val="24"/>
        </w:rPr>
        <w:t>在维护期范围内，“雪亮工程”的货物（包括设备、材料及应用服务）出现损坏、故障、丢失等，均由运维中心负责维修与更换，维修或更换后达到使用要求效果。在系统安装调试完成后，一旦发现设备性能无法达到系统设计要求或者设备总体指标虽然达到设计要求，但与系统存在兼容问题，从而影响系统总体性能，立即将情况向业主单位汇报，经确认并同意后，对问题设备免费更换。</w:t>
      </w:r>
    </w:p>
    <w:p>
      <w:pPr>
        <w:numPr>
          <w:ilvl w:val="0"/>
          <w:numId w:val="36"/>
        </w:numPr>
        <w:tabs>
          <w:tab w:val="left" w:pos="900"/>
        </w:tabs>
        <w:snapToGrid w:val="0"/>
        <w:spacing w:line="360" w:lineRule="auto"/>
        <w:rPr>
          <w:rFonts w:ascii="宋体"/>
          <w:color w:val="auto"/>
          <w:sz w:val="24"/>
        </w:rPr>
      </w:pPr>
      <w:r>
        <w:rPr>
          <w:rFonts w:ascii="宋体"/>
          <w:color w:val="auto"/>
          <w:sz w:val="24"/>
        </w:rPr>
        <w:t>运营保障服务</w:t>
      </w:r>
    </w:p>
    <w:p>
      <w:pPr>
        <w:tabs>
          <w:tab w:val="left" w:pos="900"/>
        </w:tabs>
        <w:snapToGrid w:val="0"/>
        <w:spacing w:line="360" w:lineRule="auto"/>
        <w:ind w:firstLine="480"/>
        <w:rPr>
          <w:rFonts w:ascii="宋体"/>
          <w:color w:val="auto"/>
          <w:sz w:val="24"/>
        </w:rPr>
      </w:pPr>
      <w:r>
        <w:rPr>
          <w:rFonts w:hint="eastAsia" w:ascii="宋体"/>
          <w:color w:val="auto"/>
          <w:sz w:val="24"/>
        </w:rPr>
        <w:t>质保期内提供</w:t>
      </w:r>
      <w:r>
        <w:rPr>
          <w:rFonts w:ascii="宋体"/>
          <w:color w:val="auto"/>
          <w:sz w:val="24"/>
        </w:rPr>
        <w:t>7*24小时维护、升级服务，对故障在60分钟内响应， 6小时以内解决问题</w:t>
      </w:r>
      <w:r>
        <w:rPr>
          <w:rFonts w:hint="eastAsia" w:ascii="宋体"/>
          <w:color w:val="auto"/>
          <w:sz w:val="24"/>
        </w:rPr>
        <w:t>（白天出现故障）</w:t>
      </w:r>
      <w:r>
        <w:rPr>
          <w:rFonts w:ascii="宋体"/>
          <w:color w:val="auto"/>
          <w:sz w:val="24"/>
        </w:rPr>
        <w:t>，不能解决的提供备品备件；逾期未作出响应，需承担由于故障所造成的全部直接损失。</w:t>
      </w:r>
    </w:p>
    <w:p>
      <w:pPr>
        <w:numPr>
          <w:ilvl w:val="0"/>
          <w:numId w:val="36"/>
        </w:numPr>
        <w:tabs>
          <w:tab w:val="left" w:pos="900"/>
        </w:tabs>
        <w:snapToGrid w:val="0"/>
        <w:spacing w:line="360" w:lineRule="auto"/>
        <w:rPr>
          <w:rFonts w:ascii="宋体"/>
          <w:color w:val="auto"/>
          <w:sz w:val="24"/>
        </w:rPr>
      </w:pPr>
      <w:r>
        <w:rPr>
          <w:rFonts w:ascii="宋体"/>
          <w:color w:val="auto"/>
          <w:sz w:val="24"/>
        </w:rPr>
        <w:t>突发事件应急抢修服务</w:t>
      </w:r>
    </w:p>
    <w:p>
      <w:pPr>
        <w:tabs>
          <w:tab w:val="left" w:pos="900"/>
        </w:tabs>
        <w:snapToGrid w:val="0"/>
        <w:spacing w:line="360" w:lineRule="auto"/>
        <w:ind w:firstLine="480"/>
        <w:rPr>
          <w:rFonts w:hint="eastAsia" w:ascii="宋体"/>
          <w:color w:val="auto"/>
          <w:sz w:val="24"/>
        </w:rPr>
      </w:pPr>
      <w:r>
        <w:rPr>
          <w:rFonts w:hint="eastAsia" w:ascii="宋体"/>
          <w:color w:val="auto"/>
          <w:sz w:val="24"/>
        </w:rPr>
        <w:t>前端杆件或者光缆遭外力破坏，主动巡检发现或者接到报障电话后，第一时间报警并联系保险公司，对被破坏的杆件进行定损索赔，同时调用备品备件库中的杆件或光缆资源进行第一时间恢复。</w:t>
      </w:r>
    </w:p>
    <w:p>
      <w:pPr>
        <w:numPr>
          <w:ilvl w:val="0"/>
          <w:numId w:val="36"/>
        </w:numPr>
        <w:tabs>
          <w:tab w:val="left" w:pos="900"/>
        </w:tabs>
        <w:snapToGrid w:val="0"/>
        <w:spacing w:line="360" w:lineRule="auto"/>
        <w:rPr>
          <w:rFonts w:ascii="宋体"/>
          <w:color w:val="auto"/>
          <w:sz w:val="24"/>
        </w:rPr>
      </w:pPr>
      <w:r>
        <w:rPr>
          <w:rFonts w:hint="eastAsia" w:ascii="宋体"/>
          <w:color w:val="auto"/>
          <w:sz w:val="24"/>
        </w:rPr>
        <w:t>系统巡检保障</w:t>
      </w:r>
      <w:r>
        <w:rPr>
          <w:rFonts w:ascii="宋体"/>
          <w:color w:val="auto"/>
          <w:sz w:val="24"/>
        </w:rPr>
        <w:t>服务</w:t>
      </w:r>
    </w:p>
    <w:p>
      <w:pPr>
        <w:tabs>
          <w:tab w:val="left" w:pos="900"/>
        </w:tabs>
        <w:snapToGrid w:val="0"/>
        <w:spacing w:line="360" w:lineRule="auto"/>
        <w:ind w:firstLine="480"/>
        <w:rPr>
          <w:rFonts w:ascii="宋体"/>
          <w:color w:val="auto"/>
          <w:sz w:val="24"/>
        </w:rPr>
      </w:pPr>
      <w:r>
        <w:rPr>
          <w:rFonts w:hint="eastAsia" w:ascii="宋体"/>
          <w:color w:val="auto"/>
          <w:sz w:val="24"/>
        </w:rPr>
        <w:t>中标单位应制定月季巡查计划，对系统运行情况及时进行巡检。系统出现故障时应及时恢复，恢复后应及时将故障内容原因等情况上报到天网运维平台。</w:t>
      </w:r>
    </w:p>
    <w:p>
      <w:pPr>
        <w:numPr>
          <w:ilvl w:val="0"/>
          <w:numId w:val="36"/>
        </w:numPr>
        <w:tabs>
          <w:tab w:val="left" w:pos="900"/>
        </w:tabs>
        <w:snapToGrid w:val="0"/>
        <w:spacing w:line="360" w:lineRule="auto"/>
        <w:rPr>
          <w:rFonts w:ascii="宋体"/>
          <w:color w:val="auto"/>
          <w:sz w:val="24"/>
        </w:rPr>
      </w:pPr>
      <w:r>
        <w:rPr>
          <w:rFonts w:ascii="宋体"/>
          <w:color w:val="auto"/>
          <w:sz w:val="24"/>
        </w:rPr>
        <w:t>信息安全保密服务</w:t>
      </w:r>
    </w:p>
    <w:p>
      <w:pPr>
        <w:tabs>
          <w:tab w:val="left" w:pos="900"/>
        </w:tabs>
        <w:snapToGrid w:val="0"/>
        <w:spacing w:line="360" w:lineRule="auto"/>
        <w:ind w:firstLine="480"/>
        <w:rPr>
          <w:rFonts w:ascii="宋体"/>
          <w:color w:val="auto"/>
          <w:sz w:val="24"/>
        </w:rPr>
      </w:pPr>
      <w:r>
        <w:rPr>
          <w:rFonts w:hint="eastAsia" w:ascii="宋体"/>
          <w:color w:val="auto"/>
          <w:sz w:val="24"/>
        </w:rPr>
        <w:t>在本系统建设和运营期内，服务承接方对本系统涉及的所有内容和数据安全负责。双方应共同创造条件，保证系统的安全，不泄露政府秘密、商业秘密以及公民隐私等。</w:t>
      </w:r>
    </w:p>
    <w:p>
      <w:pPr>
        <w:numPr>
          <w:ilvl w:val="0"/>
          <w:numId w:val="36"/>
        </w:numPr>
        <w:tabs>
          <w:tab w:val="left" w:pos="900"/>
        </w:tabs>
        <w:snapToGrid w:val="0"/>
        <w:spacing w:line="360" w:lineRule="auto"/>
        <w:rPr>
          <w:rFonts w:ascii="宋体"/>
          <w:color w:val="auto"/>
          <w:sz w:val="24"/>
        </w:rPr>
      </w:pPr>
      <w:r>
        <w:rPr>
          <w:rFonts w:ascii="宋体"/>
          <w:color w:val="auto"/>
          <w:sz w:val="24"/>
        </w:rPr>
        <w:t>重大事件保障服务</w:t>
      </w:r>
    </w:p>
    <w:p>
      <w:pPr>
        <w:tabs>
          <w:tab w:val="left" w:pos="900"/>
        </w:tabs>
        <w:snapToGrid w:val="0"/>
        <w:spacing w:line="360" w:lineRule="auto"/>
        <w:ind w:firstLine="480"/>
        <w:rPr>
          <w:rFonts w:ascii="宋体"/>
          <w:color w:val="auto"/>
          <w:sz w:val="24"/>
        </w:rPr>
      </w:pPr>
      <w:r>
        <w:rPr>
          <w:rFonts w:hint="eastAsia" w:ascii="宋体"/>
          <w:color w:val="auto"/>
          <w:sz w:val="24"/>
        </w:rPr>
        <w:t>在面临重大事件，如大型会议、灾害等重大活动和重要公众事件及需要实施进行重点保障举措时，将根据业主单位要求对其进行相关的服务。此服务视同主动巡检服务。在重点保障时期，需承诺调动所有售后服务团队成员进行保障，进入重要客户重点保障特殊时期。</w:t>
      </w:r>
    </w:p>
    <w:p>
      <w:pPr>
        <w:numPr>
          <w:ilvl w:val="0"/>
          <w:numId w:val="36"/>
        </w:numPr>
        <w:tabs>
          <w:tab w:val="left" w:pos="900"/>
        </w:tabs>
        <w:snapToGrid w:val="0"/>
        <w:spacing w:line="360" w:lineRule="auto"/>
        <w:rPr>
          <w:rFonts w:ascii="宋体"/>
          <w:color w:val="auto"/>
          <w:sz w:val="24"/>
        </w:rPr>
      </w:pPr>
      <w:r>
        <w:rPr>
          <w:rFonts w:ascii="宋体"/>
          <w:color w:val="auto"/>
          <w:sz w:val="24"/>
        </w:rPr>
        <w:t>定期周报、月报、年度运行分析报告服务</w:t>
      </w:r>
    </w:p>
    <w:p>
      <w:pPr>
        <w:tabs>
          <w:tab w:val="left" w:pos="900"/>
        </w:tabs>
        <w:snapToGrid w:val="0"/>
        <w:spacing w:line="360" w:lineRule="auto"/>
        <w:ind w:firstLine="480"/>
        <w:rPr>
          <w:rFonts w:ascii="宋体"/>
          <w:color w:val="auto"/>
          <w:sz w:val="24"/>
        </w:rPr>
      </w:pPr>
      <w:r>
        <w:rPr>
          <w:rFonts w:hint="eastAsia" w:ascii="宋体"/>
          <w:color w:val="auto"/>
          <w:sz w:val="24"/>
        </w:rPr>
        <w:t>为了更好的跟业主单位沟通，让业主单位及时了解系统运行情况，提升运营质量，定期进行总结。在服务期内每周向业主单位提供周报，每月向业主单位提供月报，每年向业主单位提供年度运行分析报告。</w:t>
      </w:r>
    </w:p>
    <w:p>
      <w:pPr>
        <w:snapToGrid w:val="0"/>
        <w:spacing w:line="360" w:lineRule="auto"/>
        <w:ind w:firstLine="482"/>
        <w:rPr>
          <w:rFonts w:hint="eastAsia" w:ascii="宋体"/>
          <w:b/>
          <w:color w:val="auto"/>
          <w:sz w:val="24"/>
        </w:rPr>
      </w:pPr>
      <w:r>
        <w:rPr>
          <w:rFonts w:hint="eastAsia" w:ascii="宋体"/>
          <w:color w:val="auto"/>
          <w:sz w:val="24"/>
        </w:rPr>
        <w:t>本项目服务期自验收合格之日起提供3年维保服务，</w:t>
      </w:r>
      <w:r>
        <w:rPr>
          <w:rFonts w:hint="eastAsia" w:ascii="宋体"/>
          <w:color w:val="auto"/>
          <w:sz w:val="24"/>
          <w:lang w:val="en-US" w:eastAsia="zh-CN"/>
        </w:rPr>
        <w:t>鼓励供应商在服务质量不变的基础上提供更长的服务质量保证期</w:t>
      </w:r>
      <w:r>
        <w:rPr>
          <w:rFonts w:hint="eastAsia" w:ascii="宋体"/>
          <w:color w:val="auto"/>
          <w:sz w:val="24"/>
        </w:rPr>
        <w:t>；服务期内应提供7×24小时服务保障。购买服务单位有权在本项目点位上添置必要的设备，中标供应商应当无条件配合</w:t>
      </w:r>
      <w:r>
        <w:rPr>
          <w:rFonts w:hint="eastAsia" w:ascii="宋体"/>
          <w:b/>
          <w:color w:val="auto"/>
          <w:sz w:val="24"/>
        </w:rPr>
        <w:t>。</w:t>
      </w:r>
    </w:p>
    <w:p>
      <w:pPr>
        <w:snapToGrid w:val="0"/>
        <w:spacing w:line="360" w:lineRule="auto"/>
        <w:ind w:firstLine="482"/>
        <w:rPr>
          <w:rFonts w:hint="eastAsia" w:ascii="宋体" w:eastAsia="宋体"/>
          <w:b w:val="0"/>
          <w:bCs/>
          <w:color w:val="auto"/>
          <w:sz w:val="24"/>
          <w:lang w:eastAsia="zh-CN"/>
        </w:rPr>
      </w:pPr>
      <w:r>
        <w:rPr>
          <w:rFonts w:hint="eastAsia" w:ascii="宋体"/>
          <w:b w:val="0"/>
          <w:bCs/>
          <w:color w:val="auto"/>
          <w:sz w:val="24"/>
          <w:lang w:eastAsia="zh-CN"/>
        </w:rPr>
        <w:t>服务期内各项运维工作接受运维监理单位监督管理。</w:t>
      </w:r>
    </w:p>
    <w:p>
      <w:pPr>
        <w:numPr>
          <w:ilvl w:val="0"/>
          <w:numId w:val="35"/>
        </w:numPr>
        <w:tabs>
          <w:tab w:val="left" w:pos="900"/>
        </w:tabs>
        <w:snapToGrid w:val="0"/>
        <w:spacing w:line="360" w:lineRule="auto"/>
        <w:rPr>
          <w:rFonts w:hint="eastAsia" w:ascii="宋体"/>
          <w:b/>
          <w:color w:val="auto"/>
          <w:sz w:val="24"/>
        </w:rPr>
      </w:pPr>
      <w:r>
        <w:rPr>
          <w:rFonts w:hint="eastAsia" w:ascii="宋体"/>
          <w:b/>
          <w:color w:val="auto"/>
          <w:sz w:val="24"/>
        </w:rPr>
        <w:t>违约责任</w:t>
      </w:r>
    </w:p>
    <w:p>
      <w:pPr>
        <w:snapToGrid w:val="0"/>
        <w:spacing w:line="360" w:lineRule="auto"/>
        <w:ind w:firstLine="480"/>
        <w:rPr>
          <w:rFonts w:hint="eastAsia" w:ascii="宋体"/>
          <w:color w:val="auto"/>
          <w:sz w:val="24"/>
        </w:rPr>
      </w:pPr>
      <w:r>
        <w:rPr>
          <w:rFonts w:hint="eastAsia" w:ascii="宋体"/>
          <w:color w:val="auto"/>
          <w:sz w:val="24"/>
        </w:rPr>
        <w:t>中标单位应安排充足的施工维护力量确保项目中视频及卡口数据应完好率98%以上，完好率98%以上的，全额支付服务费用；完好率低于98%的在有效服务费中进行扣费，若</w:t>
      </w:r>
      <w:r>
        <w:rPr>
          <w:rFonts w:ascii="宋体"/>
          <w:color w:val="auto"/>
          <w:sz w:val="24"/>
        </w:rPr>
        <w:t>6小时以内</w:t>
      </w:r>
      <w:r>
        <w:rPr>
          <w:rFonts w:hint="eastAsia" w:ascii="宋体"/>
          <w:color w:val="auto"/>
          <w:sz w:val="24"/>
        </w:rPr>
        <w:t>及时</w:t>
      </w:r>
      <w:r>
        <w:rPr>
          <w:rFonts w:ascii="宋体"/>
          <w:color w:val="auto"/>
          <w:sz w:val="24"/>
        </w:rPr>
        <w:t>解决问题（白天出现故障），不</w:t>
      </w:r>
      <w:r>
        <w:rPr>
          <w:rFonts w:hint="eastAsia" w:ascii="宋体"/>
          <w:color w:val="auto"/>
          <w:sz w:val="24"/>
        </w:rPr>
        <w:t>做扣费处理</w:t>
      </w:r>
      <w:r>
        <w:rPr>
          <w:rFonts w:ascii="宋体"/>
          <w:color w:val="auto"/>
          <w:sz w:val="24"/>
        </w:rPr>
        <w:t>；</w:t>
      </w:r>
      <w:r>
        <w:rPr>
          <w:rFonts w:hint="eastAsia" w:ascii="宋体"/>
          <w:color w:val="auto"/>
          <w:sz w:val="24"/>
        </w:rPr>
        <w:t>若</w:t>
      </w:r>
      <w:r>
        <w:rPr>
          <w:rFonts w:ascii="宋体"/>
          <w:color w:val="auto"/>
          <w:sz w:val="24"/>
        </w:rPr>
        <w:t>逾期未作出响应</w:t>
      </w:r>
      <w:r>
        <w:rPr>
          <w:rFonts w:hint="eastAsia" w:ascii="宋体"/>
          <w:color w:val="auto"/>
          <w:sz w:val="24"/>
        </w:rPr>
        <w:t>则做相应扣费，具体按照每路每天扣1000元，。遇不可控原因或不可抗力自然原因造成无数据在线的不计算完好率，但要书面进行报备，具备修复条件时应及时修复。</w:t>
      </w:r>
    </w:p>
    <w:p>
      <w:pPr>
        <w:snapToGrid w:val="0"/>
        <w:spacing w:line="360" w:lineRule="auto"/>
        <w:ind w:firstLine="480"/>
        <w:rPr>
          <w:rFonts w:hint="eastAsia" w:ascii="宋体"/>
          <w:color w:val="auto"/>
          <w:sz w:val="24"/>
        </w:rPr>
      </w:pPr>
      <w:r>
        <w:rPr>
          <w:rFonts w:hint="eastAsia" w:ascii="宋体"/>
          <w:color w:val="auto"/>
          <w:sz w:val="24"/>
        </w:rPr>
        <w:t>数据故障是指不在线、无录像或录像断续、卡口或人脸图片未上传或上传延时超标、摄像机灰尘积污或严重树枝遮挡、摄像机丢包率超过标准值、摄像机角度严重偏离、视频画面及图片字符排版不规范、画面虚焦等。上述故障现象及MAC数据故障当业主方通知改正的点位服务方超过48小时未整改完成的每路扣服务费1000元。</w:t>
      </w:r>
    </w:p>
    <w:p>
      <w:pPr>
        <w:autoSpaceDE w:val="0"/>
        <w:autoSpaceDN w:val="0"/>
        <w:adjustRightInd w:val="0"/>
        <w:spacing w:before="60" w:after="60" w:line="360" w:lineRule="auto"/>
        <w:ind w:firstLine="482" w:firstLineChars="200"/>
        <w:outlineLvl w:val="0"/>
        <w:rPr>
          <w:rFonts w:hint="eastAsia" w:ascii="宋体" w:hAnsi="宋体" w:cs="宋体"/>
          <w:b/>
          <w:color w:val="auto"/>
          <w:kern w:val="0"/>
          <w:sz w:val="24"/>
        </w:rPr>
      </w:pPr>
      <w:r>
        <w:rPr>
          <w:rFonts w:hint="eastAsia" w:ascii="宋体" w:hAnsi="宋体" w:cs="宋体"/>
          <w:b/>
          <w:color w:val="auto"/>
          <w:kern w:val="0"/>
          <w:sz w:val="24"/>
          <w:lang w:val="en-US" w:eastAsia="zh-CN"/>
        </w:rPr>
        <w:t>2</w:t>
      </w:r>
      <w:r>
        <w:rPr>
          <w:rFonts w:hint="eastAsia" w:ascii="宋体" w:hAnsi="宋体" w:cs="宋体"/>
          <w:b/>
          <w:color w:val="auto"/>
          <w:kern w:val="0"/>
          <w:sz w:val="24"/>
        </w:rPr>
        <w:t>、</w:t>
      </w:r>
      <w:r>
        <w:rPr>
          <w:rFonts w:hint="eastAsia" w:ascii="宋体" w:hAnsi="宋体" w:cs="宋体"/>
          <w:b/>
          <w:color w:val="auto"/>
          <w:kern w:val="0"/>
          <w:sz w:val="24"/>
          <w:lang w:val="en-US" w:eastAsia="zh-CN"/>
        </w:rPr>
        <w:t>项目前期实施工期</w:t>
      </w:r>
      <w:r>
        <w:rPr>
          <w:rFonts w:hint="eastAsia" w:ascii="宋体" w:hAnsi="宋体" w:cs="宋体"/>
          <w:b/>
          <w:color w:val="auto"/>
          <w:kern w:val="0"/>
          <w:sz w:val="24"/>
        </w:rPr>
        <w:t>：</w:t>
      </w:r>
    </w:p>
    <w:p>
      <w:pPr>
        <w:autoSpaceDE w:val="0"/>
        <w:autoSpaceDN w:val="0"/>
        <w:adjustRightInd w:val="0"/>
        <w:spacing w:line="360" w:lineRule="auto"/>
        <w:ind w:firstLine="470" w:firstLineChars="196"/>
        <w:outlineLvl w:val="0"/>
        <w:rPr>
          <w:rFonts w:hint="eastAsia" w:ascii="宋体" w:hAnsi="宋体" w:cs="宋体"/>
          <w:b/>
          <w:color w:val="auto"/>
          <w:kern w:val="0"/>
          <w:sz w:val="24"/>
        </w:rPr>
      </w:pPr>
      <w:r>
        <w:rPr>
          <w:rFonts w:hint="eastAsia" w:ascii="宋体"/>
          <w:color w:val="auto"/>
          <w:sz w:val="24"/>
        </w:rPr>
        <w:t>自合同签订生效之日起</w:t>
      </w:r>
      <w:r>
        <w:rPr>
          <w:rFonts w:hint="eastAsia" w:ascii="宋体"/>
          <w:color w:val="auto"/>
          <w:sz w:val="24"/>
          <w:u w:val="single"/>
        </w:rPr>
        <w:t xml:space="preserve"> 100个日历天</w:t>
      </w:r>
      <w:r>
        <w:rPr>
          <w:rFonts w:hint="eastAsia" w:ascii="宋体"/>
          <w:color w:val="auto"/>
          <w:sz w:val="24"/>
        </w:rPr>
        <w:t>内按采购人要求完成项目所有设备供货、安装与调试并通过初步验收。</w:t>
      </w:r>
    </w:p>
    <w:p>
      <w:pPr>
        <w:spacing w:line="360" w:lineRule="auto"/>
        <w:ind w:firstLine="482" w:firstLineChars="200"/>
        <w:outlineLvl w:val="0"/>
        <w:rPr>
          <w:rFonts w:hint="eastAsia" w:ascii="宋体"/>
          <w:b/>
          <w:color w:val="auto"/>
          <w:kern w:val="21"/>
          <w:sz w:val="24"/>
          <w:szCs w:val="24"/>
        </w:rPr>
      </w:pPr>
      <w:r>
        <w:rPr>
          <w:rFonts w:hint="eastAsia" w:ascii="宋体" w:hAnsi="宋体" w:cs="宋体"/>
          <w:b/>
          <w:color w:val="auto"/>
          <w:sz w:val="24"/>
          <w:lang w:val="en-US" w:eastAsia="zh-CN"/>
        </w:rPr>
        <w:t>3</w:t>
      </w:r>
      <w:r>
        <w:rPr>
          <w:rFonts w:hint="eastAsia" w:ascii="宋体" w:hAnsi="宋体" w:cs="宋体"/>
          <w:b/>
          <w:color w:val="auto"/>
          <w:sz w:val="24"/>
        </w:rPr>
        <w:t>、</w:t>
      </w:r>
      <w:r>
        <w:rPr>
          <w:rFonts w:hint="eastAsia" w:ascii="宋体"/>
          <w:b/>
          <w:color w:val="auto"/>
          <w:kern w:val="21"/>
          <w:sz w:val="24"/>
          <w:szCs w:val="24"/>
        </w:rPr>
        <w:t>项目验收</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lang w:eastAsia="zh-CN"/>
        </w:rPr>
        <w:t>本项目验收参照</w:t>
      </w:r>
      <w:r>
        <w:rPr>
          <w:rFonts w:hint="eastAsia" w:ascii="宋体"/>
          <w:color w:val="auto"/>
          <w:sz w:val="24"/>
          <w:lang w:val="en-US" w:eastAsia="zh-CN"/>
        </w:rPr>
        <w:t>GB28181-2016公共安全视频监控联网系统信息传输、交换、控制技术要求、</w:t>
      </w:r>
      <w:r>
        <w:rPr>
          <w:rFonts w:hint="eastAsia" w:ascii="宋体" w:hAnsi="宋体" w:cs="宋体"/>
          <w:color w:val="auto"/>
          <w:kern w:val="0"/>
          <w:sz w:val="24"/>
        </w:rPr>
        <w:t>DB33/T502-2018《浙江省社会治安动态视频监控系统技术规范》、DB33/T629-2011标准-点位编码之接入类型码表、DB33/T 629.1-2011《跨区域视频监控联网共享技术规范》、DB33/768-2009《安全技术防范系统建设技术规范》、GA/T 751-2008视频图像文字标注规范及《浙江省公安机关人像比对应用系统技术规范》</w:t>
      </w:r>
      <w:r>
        <w:rPr>
          <w:rFonts w:hint="eastAsia" w:ascii="宋体" w:hAnsi="宋体" w:eastAsia="宋体" w:cs="宋体"/>
          <w:color w:val="auto"/>
          <w:kern w:val="0"/>
          <w:sz w:val="24"/>
          <w:lang w:eastAsia="zh-CN"/>
        </w:rPr>
        <w:t>等相关标准。</w:t>
      </w:r>
    </w:p>
    <w:p>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2）中标供应商应按本项目招标文件要求完成所有工作内容，项目终验时应提供竣工报告、第三方专业机构检测报告及监理报告等验收文本。</w:t>
      </w:r>
    </w:p>
    <w:p>
      <w:pPr>
        <w:spacing w:before="60" w:after="60" w:line="360" w:lineRule="auto"/>
        <w:ind w:firstLine="482" w:firstLineChars="200"/>
        <w:rPr>
          <w:rFonts w:hint="eastAsia" w:ascii="宋体" w:hAnsi="宋体" w:eastAsia="宋体" w:cs="宋体"/>
          <w:b/>
          <w:color w:val="auto"/>
          <w:sz w:val="24"/>
          <w:lang w:eastAsia="zh-CN"/>
        </w:rPr>
      </w:pPr>
      <w:r>
        <w:rPr>
          <w:rFonts w:hint="eastAsia" w:ascii="宋体" w:hAnsi="宋体" w:cs="宋体"/>
          <w:b/>
          <w:color w:val="auto"/>
          <w:sz w:val="24"/>
          <w:lang w:val="en-US" w:eastAsia="zh-CN"/>
        </w:rPr>
        <w:t>4</w:t>
      </w:r>
      <w:r>
        <w:rPr>
          <w:rFonts w:hint="eastAsia" w:ascii="宋体" w:hAnsi="宋体" w:cs="宋体"/>
          <w:b/>
          <w:color w:val="auto"/>
          <w:sz w:val="24"/>
        </w:rPr>
        <w:t>、付款</w:t>
      </w:r>
      <w:r>
        <w:rPr>
          <w:rFonts w:hint="eastAsia" w:ascii="宋体" w:hAnsi="宋体" w:cs="宋体"/>
          <w:b/>
          <w:color w:val="auto"/>
          <w:sz w:val="24"/>
          <w:lang w:val="en-US" w:eastAsia="zh-CN"/>
        </w:rPr>
        <w:t>方式</w:t>
      </w:r>
    </w:p>
    <w:p>
      <w:pPr>
        <w:snapToGrid w:val="0"/>
        <w:spacing w:line="360" w:lineRule="auto"/>
        <w:ind w:firstLine="480"/>
        <w:rPr>
          <w:rFonts w:hint="eastAsia" w:ascii="宋体"/>
          <w:color w:val="auto"/>
          <w:sz w:val="24"/>
          <w:lang w:val="en-US" w:eastAsia="zh-CN"/>
        </w:rPr>
      </w:pPr>
      <w:r>
        <w:rPr>
          <w:rFonts w:hint="eastAsia" w:ascii="宋体"/>
          <w:color w:val="auto"/>
          <w:sz w:val="24"/>
          <w:lang w:val="en-US" w:eastAsia="zh-CN"/>
        </w:rPr>
        <w:t>标项一、二、三：</w:t>
      </w:r>
    </w:p>
    <w:p>
      <w:pPr>
        <w:snapToGrid w:val="0"/>
        <w:spacing w:line="360" w:lineRule="auto"/>
        <w:ind w:firstLine="482"/>
        <w:rPr>
          <w:rFonts w:hint="eastAsia" w:hAnsi="Times New Roman" w:eastAsia="宋体"/>
          <w:color w:val="auto"/>
          <w:sz w:val="24"/>
          <w:lang w:val="en-US" w:eastAsia="zh-CN"/>
        </w:rPr>
      </w:pPr>
      <w:r>
        <w:rPr>
          <w:rFonts w:hint="eastAsia" w:ascii="宋体"/>
          <w:color w:val="auto"/>
          <w:sz w:val="24"/>
        </w:rPr>
        <w:t>项目</w:t>
      </w:r>
      <w:r>
        <w:rPr>
          <w:rFonts w:hint="eastAsia" w:ascii="宋体"/>
          <w:color w:val="auto"/>
          <w:sz w:val="24"/>
          <w:lang w:val="en-US" w:eastAsia="zh-CN"/>
        </w:rPr>
        <w:t>前期实施</w:t>
      </w:r>
      <w:r>
        <w:rPr>
          <w:rFonts w:hint="eastAsia" w:ascii="宋体"/>
          <w:color w:val="auto"/>
          <w:sz w:val="24"/>
          <w:lang w:eastAsia="zh-CN"/>
        </w:rPr>
        <w:t>基本完工达</w:t>
      </w:r>
      <w:r>
        <w:rPr>
          <w:rFonts w:hint="eastAsia" w:ascii="宋体"/>
          <w:color w:val="auto"/>
          <w:sz w:val="24"/>
        </w:rPr>
        <w:t>初步验收</w:t>
      </w:r>
      <w:r>
        <w:rPr>
          <w:rFonts w:hint="eastAsia" w:ascii="宋体"/>
          <w:color w:val="auto"/>
          <w:sz w:val="24"/>
          <w:lang w:eastAsia="zh-CN"/>
        </w:rPr>
        <w:t>标准</w:t>
      </w:r>
      <w:r>
        <w:rPr>
          <w:rFonts w:hint="eastAsia" w:ascii="宋体"/>
          <w:color w:val="auto"/>
          <w:sz w:val="24"/>
        </w:rPr>
        <w:t>，</w:t>
      </w:r>
      <w:r>
        <w:rPr>
          <w:rFonts w:hint="eastAsia" w:ascii="宋体"/>
          <w:color w:val="auto"/>
          <w:sz w:val="24"/>
          <w:lang w:eastAsia="zh-CN"/>
        </w:rPr>
        <w:t>经</w:t>
      </w:r>
      <w:r>
        <w:rPr>
          <w:rFonts w:hint="eastAsia" w:ascii="宋体"/>
          <w:color w:val="auto"/>
          <w:sz w:val="24"/>
        </w:rPr>
        <w:t>第三方</w:t>
      </w:r>
      <w:r>
        <w:rPr>
          <w:rFonts w:hint="eastAsia" w:ascii="宋体"/>
          <w:color w:val="auto"/>
          <w:sz w:val="24"/>
          <w:lang w:eastAsia="zh-CN"/>
        </w:rPr>
        <w:t>专业</w:t>
      </w:r>
      <w:r>
        <w:rPr>
          <w:rFonts w:hint="eastAsia" w:ascii="宋体"/>
          <w:color w:val="auto"/>
          <w:sz w:val="24"/>
        </w:rPr>
        <w:t>检测报告检测确认，提供检测报告路数</w:t>
      </w:r>
      <w:r>
        <w:rPr>
          <w:rFonts w:hint="eastAsia" w:ascii="宋体"/>
          <w:color w:val="auto"/>
          <w:sz w:val="24"/>
          <w:lang w:eastAsia="zh-CN"/>
        </w:rPr>
        <w:t>由</w:t>
      </w:r>
      <w:r>
        <w:rPr>
          <w:rFonts w:hint="eastAsia" w:ascii="宋体"/>
          <w:color w:val="auto"/>
          <w:sz w:val="24"/>
        </w:rPr>
        <w:t>运维监理</w:t>
      </w:r>
      <w:r>
        <w:rPr>
          <w:rFonts w:hint="eastAsia" w:ascii="宋体"/>
          <w:color w:val="auto"/>
          <w:sz w:val="24"/>
          <w:lang w:eastAsia="zh-CN"/>
        </w:rPr>
        <w:t>审核及业主确认</w:t>
      </w:r>
      <w:r>
        <w:rPr>
          <w:rFonts w:hint="eastAsia" w:ascii="宋体"/>
          <w:color w:val="auto"/>
          <w:sz w:val="24"/>
        </w:rPr>
        <w:t>后</w:t>
      </w:r>
      <w:r>
        <w:rPr>
          <w:rFonts w:hint="eastAsia" w:ascii="宋体"/>
          <w:color w:val="auto"/>
          <w:sz w:val="24"/>
          <w:lang w:eastAsia="zh-CN"/>
        </w:rPr>
        <w:t>下</w:t>
      </w:r>
      <w:r>
        <w:rPr>
          <w:rFonts w:hint="eastAsia" w:ascii="宋体"/>
          <w:color w:val="auto"/>
          <w:sz w:val="24"/>
        </w:rPr>
        <w:t>月起即开始计算</w:t>
      </w:r>
      <w:r>
        <w:rPr>
          <w:rFonts w:hint="eastAsia" w:ascii="宋体"/>
          <w:color w:val="auto"/>
          <w:sz w:val="24"/>
          <w:lang w:val="en-US" w:eastAsia="zh-CN"/>
        </w:rPr>
        <w:t>服务期</w:t>
      </w:r>
      <w:r>
        <w:rPr>
          <w:rFonts w:hint="eastAsia" w:ascii="宋体"/>
          <w:color w:val="auto"/>
          <w:sz w:val="24"/>
        </w:rPr>
        <w:t>，按月结算</w:t>
      </w:r>
      <w:r>
        <w:rPr>
          <w:rFonts w:hint="eastAsia" w:ascii="宋体"/>
          <w:color w:val="auto"/>
          <w:sz w:val="24"/>
          <w:lang w:eastAsia="zh-CN"/>
        </w:rPr>
        <w:t>服务费</w:t>
      </w:r>
      <w:r>
        <w:rPr>
          <w:rFonts w:hint="eastAsia" w:ascii="宋体"/>
          <w:color w:val="auto"/>
          <w:sz w:val="24"/>
        </w:rPr>
        <w:t>，</w:t>
      </w:r>
      <w:r>
        <w:rPr>
          <w:rFonts w:hint="eastAsia" w:ascii="宋体"/>
          <w:color w:val="auto"/>
          <w:sz w:val="24"/>
          <w:lang w:eastAsia="zh-CN"/>
        </w:rPr>
        <w:t>按季一付；服务费支付总体分为两个阶段，第一阶段在三年合同期内支付中标总价的</w:t>
      </w:r>
      <w:r>
        <w:rPr>
          <w:rFonts w:hint="eastAsia" w:ascii="宋体"/>
          <w:color w:val="auto"/>
          <w:sz w:val="24"/>
          <w:lang w:val="en-US" w:eastAsia="zh-CN"/>
        </w:rPr>
        <w:t>60%；第一阶段到期后，服务方不得自行改变或拆除保证项目整体服务的相关组成单元，在保证与三年合同期内同等服务质量的基础上，第二阶段继续分二年支付中标总价的40%。</w:t>
      </w:r>
      <w:r>
        <w:rPr>
          <w:rFonts w:hint="eastAsia" w:ascii="宋体"/>
          <w:color w:val="auto"/>
          <w:sz w:val="24"/>
        </w:rPr>
        <w:t>结算方法：</w:t>
      </w:r>
      <w:r>
        <w:rPr>
          <w:rFonts w:hint="eastAsia" w:ascii="宋体"/>
          <w:color w:val="auto"/>
          <w:sz w:val="24"/>
          <w:lang w:eastAsia="zh-CN"/>
        </w:rPr>
        <w:t>第一阶段</w:t>
      </w:r>
      <w:r>
        <w:rPr>
          <w:rFonts w:hint="eastAsia" w:ascii="宋体"/>
          <w:color w:val="auto"/>
          <w:sz w:val="24"/>
        </w:rPr>
        <w:t>每月实际支付的服务费=</w:t>
      </w:r>
      <w:r>
        <w:rPr>
          <w:rFonts w:hint="eastAsia" w:ascii="宋体"/>
          <w:color w:val="auto"/>
          <w:sz w:val="24"/>
          <w:lang w:eastAsia="zh-CN"/>
        </w:rPr>
        <w:t>中标总价</w:t>
      </w:r>
      <w:r>
        <w:rPr>
          <w:rFonts w:hint="default" w:ascii="Arial" w:hAnsi="Arial" w:cs="Arial"/>
          <w:color w:val="auto"/>
          <w:sz w:val="24"/>
          <w:lang w:eastAsia="zh-CN"/>
        </w:rPr>
        <w:t>×</w:t>
      </w:r>
      <w:r>
        <w:rPr>
          <w:rFonts w:hint="eastAsia" w:ascii="宋体"/>
          <w:color w:val="auto"/>
          <w:sz w:val="24"/>
          <w:lang w:val="en-US" w:eastAsia="zh-CN"/>
        </w:rPr>
        <w:t>60%</w:t>
      </w:r>
      <w:r>
        <w:rPr>
          <w:rFonts w:hint="default" w:ascii="Arial" w:hAnsi="Arial" w:cs="Arial"/>
          <w:color w:val="auto"/>
          <w:sz w:val="24"/>
          <w:lang w:val="en-US" w:eastAsia="zh-CN"/>
        </w:rPr>
        <w:t>÷</w:t>
      </w:r>
      <w:r>
        <w:rPr>
          <w:rFonts w:hint="eastAsia" w:ascii="宋体"/>
          <w:color w:val="auto"/>
          <w:sz w:val="24"/>
          <w:lang w:val="en-US" w:eastAsia="zh-CN"/>
        </w:rPr>
        <w:t>36-</w:t>
      </w:r>
      <w:r>
        <w:rPr>
          <w:rFonts w:hint="eastAsia" w:ascii="宋体"/>
          <w:color w:val="auto"/>
          <w:sz w:val="24"/>
        </w:rPr>
        <w:t>每月扣款数额</w:t>
      </w:r>
      <w:r>
        <w:rPr>
          <w:rFonts w:hint="eastAsia" w:ascii="宋体"/>
          <w:color w:val="auto"/>
          <w:sz w:val="24"/>
          <w:lang w:eastAsia="zh-CN"/>
        </w:rPr>
        <w:t>；第二阶段</w:t>
      </w:r>
      <w:r>
        <w:rPr>
          <w:rFonts w:hint="eastAsia" w:ascii="宋体"/>
          <w:color w:val="auto"/>
          <w:sz w:val="24"/>
        </w:rPr>
        <w:t>每月实际支付的服务费=</w:t>
      </w:r>
      <w:r>
        <w:rPr>
          <w:rFonts w:hint="eastAsia" w:ascii="宋体"/>
          <w:color w:val="auto"/>
          <w:sz w:val="24"/>
          <w:lang w:eastAsia="zh-CN"/>
        </w:rPr>
        <w:t>中标总价</w:t>
      </w:r>
      <w:r>
        <w:rPr>
          <w:rFonts w:hint="default" w:ascii="宋体"/>
          <w:color w:val="auto"/>
          <w:sz w:val="24"/>
          <w:lang w:eastAsia="zh-CN"/>
        </w:rPr>
        <w:t>×</w:t>
      </w:r>
      <w:r>
        <w:rPr>
          <w:rFonts w:hint="eastAsia" w:ascii="宋体"/>
          <w:color w:val="auto"/>
          <w:sz w:val="24"/>
          <w:lang w:val="en-US" w:eastAsia="zh-CN"/>
        </w:rPr>
        <w:t>40%</w:t>
      </w:r>
      <w:r>
        <w:rPr>
          <w:rFonts w:hint="default" w:ascii="宋体"/>
          <w:color w:val="auto"/>
          <w:sz w:val="24"/>
          <w:lang w:val="en-US" w:eastAsia="zh-CN"/>
        </w:rPr>
        <w:t>÷</w:t>
      </w:r>
      <w:r>
        <w:rPr>
          <w:rFonts w:hint="eastAsia" w:ascii="宋体"/>
          <w:color w:val="auto"/>
          <w:sz w:val="24"/>
          <w:lang w:val="en-US" w:eastAsia="zh-CN"/>
        </w:rPr>
        <w:t>24-</w:t>
      </w:r>
      <w:r>
        <w:rPr>
          <w:rFonts w:hint="eastAsia" w:ascii="宋体"/>
          <w:color w:val="auto"/>
          <w:sz w:val="24"/>
        </w:rPr>
        <w:t>每月扣款数额</w:t>
      </w:r>
      <w:r>
        <w:rPr>
          <w:rFonts w:hint="eastAsia" w:ascii="宋体"/>
          <w:color w:val="auto"/>
          <w:sz w:val="24"/>
          <w:lang w:eastAsia="zh-CN"/>
        </w:rPr>
        <w:t>。</w:t>
      </w:r>
    </w:p>
    <w:p>
      <w:pPr>
        <w:snapToGrid w:val="0"/>
        <w:spacing w:before="60" w:after="60"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val="en-US" w:eastAsia="zh-CN"/>
        </w:rPr>
        <w:t>5</w:t>
      </w:r>
      <w:r>
        <w:rPr>
          <w:rFonts w:hint="eastAsia" w:ascii="宋体" w:hAnsi="宋体" w:cs="宋体"/>
          <w:b/>
          <w:color w:val="auto"/>
          <w:kern w:val="0"/>
          <w:sz w:val="24"/>
        </w:rPr>
        <w:t>、履约保证金交纳</w:t>
      </w:r>
    </w:p>
    <w:p>
      <w:pPr>
        <w:snapToGrid w:val="0"/>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履约保证金金额：向采购人缴纳合同金额的3%；</w:t>
      </w:r>
    </w:p>
    <w:p>
      <w:pPr>
        <w:snapToGrid w:val="0"/>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履约保证金交纳时间：合同签订后5个工作日内。</w:t>
      </w:r>
    </w:p>
    <w:p>
      <w:pPr>
        <w:snapToGrid w:val="0"/>
        <w:spacing w:before="60" w:after="60" w:line="360" w:lineRule="auto"/>
        <w:ind w:firstLine="480" w:firstLineChars="200"/>
        <w:rPr>
          <w:rFonts w:hint="eastAsia" w:ascii="宋体" w:hAnsi="宋体" w:cs="宋体"/>
          <w:color w:val="auto"/>
          <w:sz w:val="24"/>
        </w:rPr>
      </w:pPr>
    </w:p>
    <w:p>
      <w:pPr>
        <w:autoSpaceDE w:val="0"/>
        <w:autoSpaceDN w:val="0"/>
        <w:adjustRightInd w:val="0"/>
        <w:spacing w:line="360" w:lineRule="auto"/>
        <w:ind w:right="85" w:firstLine="723" w:firstLineChars="200"/>
        <w:jc w:val="center"/>
        <w:rPr>
          <w:rFonts w:hint="eastAsia" w:ascii="宋体" w:hAnsi="宋体" w:cs="宋体"/>
          <w:b/>
          <w:color w:val="auto"/>
          <w:szCs w:val="36"/>
          <w:lang w:val="zh-CN"/>
        </w:rPr>
      </w:pPr>
      <w:r>
        <w:rPr>
          <w:rFonts w:hint="eastAsia" w:ascii="宋体" w:hAnsi="宋体" w:cs="宋体"/>
          <w:b/>
          <w:color w:val="auto"/>
          <w:szCs w:val="36"/>
        </w:rPr>
        <w:br w:type="page"/>
      </w:r>
      <w:r>
        <w:rPr>
          <w:rFonts w:hint="eastAsia" w:ascii="宋体" w:hAnsi="宋体" w:cs="宋体"/>
          <w:b/>
          <w:color w:val="auto"/>
          <w:szCs w:val="36"/>
        </w:rPr>
        <w:t xml:space="preserve">第五章 </w:t>
      </w:r>
      <w:bookmarkEnd w:id="247"/>
      <w:r>
        <w:rPr>
          <w:rFonts w:hint="eastAsia" w:ascii="宋体" w:hAnsi="宋体" w:cs="宋体"/>
          <w:b/>
          <w:color w:val="auto"/>
          <w:szCs w:val="36"/>
        </w:rPr>
        <w:t>拟签订的合同文本</w:t>
      </w:r>
    </w:p>
    <w:p>
      <w:pPr>
        <w:snapToGrid w:val="0"/>
        <w:spacing w:before="120" w:beforeLines="50" w:after="120" w:afterLines="50"/>
        <w:jc w:val="center"/>
        <w:rPr>
          <w:rFonts w:hint="eastAsia" w:ascii="宋体" w:hAnsi="宋体" w:cs="宋体"/>
          <w:b/>
          <w:color w:val="auto"/>
          <w:szCs w:val="36"/>
        </w:rPr>
      </w:pPr>
      <w:bookmarkStart w:id="258" w:name="_Toc306901462"/>
      <w:bookmarkStart w:id="259" w:name="_Toc240724385"/>
      <w:r>
        <w:rPr>
          <w:rFonts w:hint="eastAsia" w:ascii="宋体" w:hAnsi="宋体" w:cs="宋体"/>
          <w:b/>
          <w:color w:val="auto"/>
          <w:szCs w:val="36"/>
          <w:lang w:val="en-US" w:eastAsia="zh-CN"/>
        </w:rPr>
        <w:t>服务</w:t>
      </w:r>
      <w:r>
        <w:rPr>
          <w:rFonts w:hint="eastAsia" w:ascii="宋体" w:hAnsi="宋体" w:cs="宋体"/>
          <w:b/>
          <w:color w:val="auto"/>
          <w:szCs w:val="36"/>
        </w:rPr>
        <w:t>类</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项目名称：                                    项目编号：</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 xml:space="preserve">甲方：（采购单位）                            所在地：                              </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乙方：（中标供应商）                          所在地：</w:t>
      </w:r>
    </w:p>
    <w:p>
      <w:pPr>
        <w:pStyle w:val="23"/>
        <w:snapToGrid w:val="0"/>
        <w:spacing w:before="60" w:after="60" w:line="360" w:lineRule="auto"/>
        <w:ind w:firstLine="480" w:firstLineChars="200"/>
        <w:rPr>
          <w:rFonts w:hint="eastAsia" w:hAnsi="宋体" w:cs="宋体"/>
          <w:b/>
          <w:color w:val="auto"/>
          <w:sz w:val="24"/>
          <w:szCs w:val="24"/>
        </w:rPr>
      </w:pPr>
      <w:r>
        <w:rPr>
          <w:rFonts w:hint="eastAsia" w:hAnsi="宋体" w:cs="宋体"/>
          <w:color w:val="auto"/>
          <w:sz w:val="24"/>
          <w:szCs w:val="24"/>
        </w:rPr>
        <w:t>甲、乙双方根据××(采购组织机构名称）关于××单位××项目公开招标的结果，签署本合同。</w:t>
      </w:r>
    </w:p>
    <w:p>
      <w:pPr>
        <w:spacing w:before="60" w:after="60"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lang w:val="zh-CN"/>
        </w:rPr>
        <w:t xml:space="preserve">一、合同文件： </w:t>
      </w:r>
    </w:p>
    <w:p>
      <w:pPr>
        <w:spacing w:before="60" w:after="60"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 xml:space="preserve"> </w:t>
      </w:r>
      <w:r>
        <w:rPr>
          <w:rFonts w:hint="eastAsia" w:ascii="宋体" w:hAnsi="宋体" w:cs="宋体"/>
          <w:color w:val="auto"/>
          <w:sz w:val="24"/>
          <w:lang w:val="zh-CN"/>
        </w:rPr>
        <w:t>合同条款。</w:t>
      </w:r>
    </w:p>
    <w:p>
      <w:pPr>
        <w:spacing w:before="60" w:after="60"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 xml:space="preserve"> </w:t>
      </w:r>
      <w:r>
        <w:rPr>
          <w:rFonts w:hint="eastAsia" w:ascii="宋体" w:hAnsi="宋体" w:cs="宋体"/>
          <w:color w:val="auto"/>
          <w:sz w:val="24"/>
          <w:lang w:val="zh-CN"/>
        </w:rPr>
        <w:t>中标通知书。</w:t>
      </w:r>
    </w:p>
    <w:p>
      <w:pPr>
        <w:spacing w:before="60" w:after="60"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3.</w:t>
      </w:r>
      <w:r>
        <w:rPr>
          <w:rFonts w:hint="eastAsia" w:ascii="宋体" w:hAnsi="宋体" w:cs="宋体"/>
          <w:color w:val="auto"/>
          <w:sz w:val="24"/>
        </w:rPr>
        <w:t xml:space="preserve"> </w:t>
      </w:r>
      <w:r>
        <w:rPr>
          <w:rFonts w:hint="eastAsia" w:ascii="宋体" w:hAnsi="宋体" w:cs="宋体"/>
          <w:color w:val="auto"/>
          <w:sz w:val="24"/>
          <w:lang w:val="zh-CN"/>
        </w:rPr>
        <w:t>更正补充文件。</w:t>
      </w:r>
    </w:p>
    <w:p>
      <w:pPr>
        <w:spacing w:before="60" w:after="60"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4.</w:t>
      </w:r>
      <w:r>
        <w:rPr>
          <w:rFonts w:hint="eastAsia" w:ascii="宋体" w:hAnsi="宋体" w:cs="宋体"/>
          <w:color w:val="auto"/>
          <w:sz w:val="24"/>
        </w:rPr>
        <w:t xml:space="preserve"> </w:t>
      </w:r>
      <w:r>
        <w:rPr>
          <w:rFonts w:hint="eastAsia" w:ascii="宋体" w:hAnsi="宋体" w:cs="宋体"/>
          <w:color w:val="auto"/>
          <w:sz w:val="24"/>
          <w:lang w:val="zh-CN"/>
        </w:rPr>
        <w:t>招标文件。</w:t>
      </w:r>
    </w:p>
    <w:p>
      <w:pPr>
        <w:spacing w:before="60" w:after="60"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5.</w:t>
      </w:r>
      <w:r>
        <w:rPr>
          <w:rFonts w:hint="eastAsia" w:ascii="宋体" w:hAnsi="宋体" w:cs="宋体"/>
          <w:color w:val="auto"/>
          <w:sz w:val="24"/>
        </w:rPr>
        <w:t xml:space="preserve"> </w:t>
      </w:r>
      <w:r>
        <w:rPr>
          <w:rFonts w:hint="eastAsia" w:ascii="宋体" w:hAnsi="宋体" w:cs="宋体"/>
          <w:color w:val="auto"/>
          <w:sz w:val="24"/>
          <w:lang w:val="zh-CN"/>
        </w:rPr>
        <w:t>中标供应商投标文件。</w:t>
      </w:r>
    </w:p>
    <w:p>
      <w:pPr>
        <w:spacing w:before="60" w:after="60"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6.</w:t>
      </w:r>
      <w:r>
        <w:rPr>
          <w:rFonts w:hint="eastAsia" w:ascii="宋体" w:hAnsi="宋体" w:cs="宋体"/>
          <w:color w:val="auto"/>
          <w:sz w:val="24"/>
        </w:rPr>
        <w:t xml:space="preserve"> </w:t>
      </w:r>
      <w:r>
        <w:rPr>
          <w:rFonts w:hint="eastAsia" w:ascii="宋体" w:hAnsi="宋体" w:cs="宋体"/>
          <w:color w:val="auto"/>
          <w:sz w:val="24"/>
          <w:lang w:val="zh-CN"/>
        </w:rPr>
        <w:t>其他。</w:t>
      </w:r>
    </w:p>
    <w:p>
      <w:pPr>
        <w:pStyle w:val="23"/>
        <w:snapToGrid w:val="0"/>
        <w:spacing w:before="60" w:after="60"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上述所指合同文件应认为是互相补充和解释的，但是有模棱两可或互相矛盾之处，以其所列内容顺序为准。</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rPr>
        <w:t>二、</w:t>
      </w:r>
      <w:r>
        <w:rPr>
          <w:rFonts w:ascii="宋体" w:hAnsi="宋体" w:cs="Arial"/>
          <w:b/>
          <w:color w:val="auto"/>
          <w:kern w:val="0"/>
          <w:sz w:val="24"/>
          <w:szCs w:val="24"/>
        </w:rPr>
        <w:t>合同内容及服务标准</w:t>
      </w:r>
    </w:p>
    <w:p>
      <w:pPr>
        <w:pStyle w:val="23"/>
        <w:snapToGrid w:val="0"/>
        <w:spacing w:before="60" w:after="60" w:line="360" w:lineRule="auto"/>
        <w:ind w:firstLine="480" w:firstLineChars="200"/>
        <w:rPr>
          <w:rFonts w:hint="eastAsia" w:ascii="宋体" w:hAnsi="宋体" w:cs="宋体"/>
          <w:b/>
          <w:color w:val="auto"/>
          <w:sz w:val="24"/>
          <w:u w:val="single"/>
          <w:lang w:val="en-US" w:eastAsia="zh-CN"/>
        </w:rPr>
      </w:pPr>
      <w:r>
        <w:rPr>
          <w:rFonts w:hint="eastAsia" w:hAnsi="宋体" w:cs="宋体"/>
          <w:b w:val="0"/>
          <w:bCs/>
          <w:color w:val="auto"/>
          <w:sz w:val="24"/>
          <w:lang w:val="en-US" w:eastAsia="zh-CN"/>
        </w:rPr>
        <w:t>1、服务内容：</w:t>
      </w:r>
      <w:r>
        <w:rPr>
          <w:rFonts w:hint="eastAsia" w:hAnsi="宋体" w:cs="宋体"/>
          <w:color w:val="auto"/>
          <w:sz w:val="24"/>
          <w:szCs w:val="24"/>
        </w:rPr>
        <w:t>________________________________</w:t>
      </w:r>
      <w:r>
        <w:rPr>
          <w:rFonts w:hint="eastAsia" w:hAnsi="宋体" w:cs="宋体"/>
          <w:color w:val="auto"/>
          <w:sz w:val="24"/>
          <w:szCs w:val="24"/>
          <w:lang w:eastAsia="zh-CN"/>
        </w:rPr>
        <w:t>。</w:t>
      </w:r>
      <w:r>
        <w:rPr>
          <w:rFonts w:hint="eastAsia" w:hAnsi="宋体" w:cs="宋体"/>
          <w:b/>
          <w:color w:val="auto"/>
          <w:sz w:val="24"/>
          <w:u w:val="single"/>
          <w:lang w:val="en-US" w:eastAsia="zh-CN"/>
        </w:rPr>
        <w:t xml:space="preserve">   </w:t>
      </w:r>
    </w:p>
    <w:p>
      <w:pPr>
        <w:pStyle w:val="23"/>
        <w:numPr>
          <w:ilvl w:val="0"/>
          <w:numId w:val="0"/>
        </w:numPr>
        <w:snapToGrid w:val="0"/>
        <w:spacing w:before="60" w:after="60" w:line="360" w:lineRule="auto"/>
        <w:ind w:firstLine="480" w:firstLineChars="200"/>
        <w:rPr>
          <w:rFonts w:hint="eastAsia"/>
          <w:color w:val="auto"/>
          <w:sz w:val="24"/>
          <w:lang w:val="en-US" w:eastAsia="zh-CN"/>
        </w:rPr>
      </w:pPr>
      <w:r>
        <w:rPr>
          <w:rFonts w:hint="eastAsia"/>
          <w:color w:val="auto"/>
          <w:sz w:val="24"/>
          <w:lang w:val="en-US" w:eastAsia="zh-CN"/>
        </w:rPr>
        <w:t>2、服务标准：</w:t>
      </w:r>
    </w:p>
    <w:p>
      <w:pPr>
        <w:tabs>
          <w:tab w:val="left" w:pos="900"/>
        </w:tabs>
        <w:snapToGrid w:val="0"/>
        <w:spacing w:line="360" w:lineRule="auto"/>
        <w:ind w:firstLine="480" w:firstLineChars="200"/>
        <w:rPr>
          <w:rFonts w:ascii="宋体"/>
          <w:color w:val="auto"/>
          <w:sz w:val="24"/>
        </w:rPr>
      </w:pPr>
      <w:r>
        <w:rPr>
          <w:rFonts w:hint="eastAsia" w:ascii="宋体"/>
          <w:color w:val="auto"/>
          <w:sz w:val="24"/>
        </w:rPr>
        <w:t>建立完善的运维管理系统、运维团队架构、故障处理流程、电子化工单及考核体系、其他运维相关的业务流程规范和制度的制定等。运维服务目标：</w:t>
      </w:r>
    </w:p>
    <w:p>
      <w:pPr>
        <w:tabs>
          <w:tab w:val="left" w:pos="900"/>
        </w:tabs>
        <w:snapToGrid w:val="0"/>
        <w:spacing w:line="360" w:lineRule="auto"/>
        <w:ind w:firstLine="480"/>
        <w:rPr>
          <w:rFonts w:ascii="宋体"/>
          <w:color w:val="auto"/>
          <w:sz w:val="24"/>
        </w:rPr>
      </w:pPr>
      <w:r>
        <w:rPr>
          <w:rFonts w:hint="eastAsia" w:ascii="宋体"/>
          <w:color w:val="auto"/>
          <w:sz w:val="24"/>
        </w:rPr>
        <w:t>视频在线率：应达到</w:t>
      </w:r>
      <w:r>
        <w:rPr>
          <w:rFonts w:ascii="宋体"/>
          <w:color w:val="auto"/>
          <w:sz w:val="24"/>
        </w:rPr>
        <w:t>98%（含）以上；</w:t>
      </w:r>
    </w:p>
    <w:p>
      <w:pPr>
        <w:tabs>
          <w:tab w:val="left" w:pos="900"/>
        </w:tabs>
        <w:snapToGrid w:val="0"/>
        <w:spacing w:line="360" w:lineRule="auto"/>
        <w:ind w:firstLine="480"/>
        <w:rPr>
          <w:rFonts w:ascii="宋体"/>
          <w:color w:val="auto"/>
          <w:sz w:val="24"/>
        </w:rPr>
      </w:pPr>
      <w:r>
        <w:rPr>
          <w:rFonts w:hint="eastAsia" w:ascii="宋体"/>
          <w:color w:val="auto"/>
          <w:sz w:val="24"/>
        </w:rPr>
        <w:t>卡口在线率：应达到</w:t>
      </w:r>
      <w:r>
        <w:rPr>
          <w:rFonts w:ascii="宋体"/>
          <w:color w:val="auto"/>
          <w:sz w:val="24"/>
        </w:rPr>
        <w:t>98%（含）以上；</w:t>
      </w:r>
    </w:p>
    <w:p>
      <w:pPr>
        <w:tabs>
          <w:tab w:val="left" w:pos="900"/>
        </w:tabs>
        <w:snapToGrid w:val="0"/>
        <w:spacing w:line="360" w:lineRule="auto"/>
        <w:ind w:firstLine="480"/>
        <w:rPr>
          <w:rFonts w:ascii="宋体"/>
          <w:color w:val="auto"/>
          <w:sz w:val="24"/>
        </w:rPr>
      </w:pPr>
      <w:r>
        <w:rPr>
          <w:rFonts w:hint="eastAsia" w:ascii="宋体"/>
          <w:color w:val="auto"/>
          <w:sz w:val="24"/>
        </w:rPr>
        <w:t>视频质量完好率：应达到</w:t>
      </w:r>
      <w:r>
        <w:rPr>
          <w:rFonts w:ascii="宋体"/>
          <w:color w:val="auto"/>
          <w:sz w:val="24"/>
        </w:rPr>
        <w:t>98%（含）以上；</w:t>
      </w:r>
    </w:p>
    <w:p>
      <w:pPr>
        <w:tabs>
          <w:tab w:val="left" w:pos="900"/>
        </w:tabs>
        <w:snapToGrid w:val="0"/>
        <w:spacing w:line="360" w:lineRule="auto"/>
        <w:ind w:firstLine="480"/>
        <w:rPr>
          <w:rFonts w:ascii="宋体"/>
          <w:color w:val="auto"/>
          <w:sz w:val="24"/>
        </w:rPr>
      </w:pPr>
      <w:r>
        <w:rPr>
          <w:rFonts w:hint="eastAsia" w:ascii="宋体"/>
          <w:color w:val="auto"/>
          <w:sz w:val="24"/>
        </w:rPr>
        <w:t>平台及网络可靠性：应达到</w:t>
      </w:r>
      <w:r>
        <w:rPr>
          <w:rFonts w:ascii="宋体"/>
          <w:color w:val="auto"/>
          <w:sz w:val="24"/>
        </w:rPr>
        <w:t>99.99%（含）以上；</w:t>
      </w:r>
    </w:p>
    <w:p>
      <w:pPr>
        <w:tabs>
          <w:tab w:val="left" w:pos="900"/>
        </w:tabs>
        <w:snapToGrid w:val="0"/>
        <w:spacing w:line="360" w:lineRule="auto"/>
        <w:ind w:firstLine="480"/>
        <w:rPr>
          <w:rFonts w:ascii="宋体"/>
          <w:color w:val="auto"/>
          <w:sz w:val="24"/>
        </w:rPr>
      </w:pPr>
      <w:r>
        <w:rPr>
          <w:rFonts w:hint="eastAsia" w:ascii="宋体"/>
          <w:color w:val="auto"/>
          <w:sz w:val="24"/>
        </w:rPr>
        <w:t>一机一档数据准确性：应达到</w:t>
      </w:r>
      <w:r>
        <w:rPr>
          <w:rFonts w:ascii="宋体"/>
          <w:color w:val="auto"/>
          <w:sz w:val="24"/>
        </w:rPr>
        <w:t>99%（含）以上。</w:t>
      </w:r>
    </w:p>
    <w:p>
      <w:pPr>
        <w:tabs>
          <w:tab w:val="left" w:pos="900"/>
        </w:tabs>
        <w:snapToGrid w:val="0"/>
        <w:spacing w:line="360" w:lineRule="auto"/>
        <w:ind w:firstLine="480"/>
        <w:rPr>
          <w:rFonts w:ascii="宋体"/>
          <w:color w:val="auto"/>
          <w:sz w:val="24"/>
        </w:rPr>
      </w:pPr>
      <w:r>
        <w:rPr>
          <w:rFonts w:hint="eastAsia" w:ascii="宋体"/>
          <w:color w:val="auto"/>
          <w:sz w:val="24"/>
        </w:rPr>
        <w:t>运维响应时间符合省厅、市局的考核要求。提供</w:t>
      </w:r>
      <w:r>
        <w:rPr>
          <w:rFonts w:ascii="宋体"/>
          <w:color w:val="auto"/>
          <w:sz w:val="24"/>
        </w:rPr>
        <w:t>7*24小时故障电话服务热线。7*24小时响应，故障申告后：1小时内响应，城区范围1小时到现场，非城区范围2小时到现场，如遇重、特大事故需紧急抢修的，特殊处理。由于自然灾害、不可抗力和人为等引起的故障，由运维服务方提交申请，进行报备，待故障处理后再恢复上线。</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rPr>
        <w:t>三、合同金额</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本合同金额为（大写）：____________________________________元（￥_______________元）人民币。</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lang w:val="en-US" w:eastAsia="zh-CN"/>
        </w:rPr>
        <w:t>四</w:t>
      </w:r>
      <w:r>
        <w:rPr>
          <w:rFonts w:hint="eastAsia" w:hAnsi="宋体" w:cs="宋体"/>
          <w:b/>
          <w:color w:val="auto"/>
          <w:sz w:val="24"/>
          <w:szCs w:val="24"/>
        </w:rPr>
        <w:t>、技术资料</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1. 乙方应按招标文件规定的时间向甲方提供使用货物的有关技术资料。</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lang w:val="en-US" w:eastAsia="zh-CN"/>
        </w:rPr>
        <w:t>五</w:t>
      </w:r>
      <w:r>
        <w:rPr>
          <w:rFonts w:hint="eastAsia" w:hAnsi="宋体" w:cs="宋体"/>
          <w:b/>
          <w:color w:val="auto"/>
          <w:sz w:val="24"/>
          <w:szCs w:val="24"/>
        </w:rPr>
        <w:t>、知识产权</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lang w:val="zh-CN"/>
        </w:rPr>
      </w:pPr>
      <w:r>
        <w:rPr>
          <w:rFonts w:hint="eastAsia" w:ascii="宋体"/>
          <w:color w:val="auto"/>
          <w:sz w:val="24"/>
          <w:lang w:val="zh-CN"/>
        </w:rPr>
        <w:t>乙方应保证提供服务过程中不会侵犯任何第三方的知识产权。</w:t>
      </w:r>
    </w:p>
    <w:p>
      <w:pPr>
        <w:pStyle w:val="23"/>
        <w:snapToGrid w:val="0"/>
        <w:spacing w:before="60" w:after="60" w:line="360" w:lineRule="auto"/>
        <w:ind w:firstLine="482" w:firstLineChars="200"/>
        <w:rPr>
          <w:rFonts w:hint="eastAsia" w:hAnsi="宋体" w:cs="宋体"/>
          <w:b/>
          <w:color w:val="auto"/>
          <w:sz w:val="24"/>
          <w:szCs w:val="24"/>
          <w:lang w:val="zh-CN" w:eastAsia="zh-CN"/>
        </w:rPr>
      </w:pPr>
      <w:r>
        <w:rPr>
          <w:rFonts w:hint="eastAsia" w:hAnsi="宋体" w:cs="宋体"/>
          <w:b/>
          <w:color w:val="auto"/>
          <w:sz w:val="24"/>
          <w:szCs w:val="24"/>
          <w:lang w:val="zh-CN" w:eastAsia="zh-CN"/>
        </w:rPr>
        <w:t>六、服务质量保证期和履约保证金</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1</w:t>
      </w:r>
      <w:r>
        <w:rPr>
          <w:rFonts w:hint="eastAsia" w:ascii="宋体" w:hAnsi="宋体" w:eastAsia="宋体" w:cs="宋体"/>
          <w:color w:val="auto"/>
          <w:kern w:val="0"/>
          <w:sz w:val="24"/>
          <w:lang w:val="en-US" w:eastAsia="zh-CN"/>
        </w:rPr>
        <w:t>.服务质量保证期为</w:t>
      </w:r>
      <w:r>
        <w:rPr>
          <w:rFonts w:hint="eastAsia" w:ascii="宋体" w:hAnsi="宋体" w:eastAsia="宋体" w:cs="宋体"/>
          <w:color w:val="auto"/>
          <w:kern w:val="0"/>
          <w:sz w:val="24"/>
          <w:u w:val="single"/>
          <w:lang w:val="zh-CN"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lang w:val="zh-CN" w:eastAsia="zh-CN"/>
        </w:rPr>
        <w:t xml:space="preserve"> </w:t>
      </w:r>
      <w:r>
        <w:rPr>
          <w:rFonts w:hint="eastAsia" w:ascii="宋体" w:hAnsi="宋体" w:eastAsia="宋体" w:cs="宋体"/>
          <w:color w:val="auto"/>
          <w:kern w:val="0"/>
          <w:sz w:val="24"/>
          <w:lang w:val="en-US" w:eastAsia="zh-CN"/>
        </w:rPr>
        <w:t>年（自验收合格次日起计算）。</w:t>
      </w:r>
    </w:p>
    <w:p>
      <w:pPr>
        <w:pStyle w:val="23"/>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2.履约保证金</w:t>
      </w:r>
      <w:r>
        <w:rPr>
          <w:rFonts w:hint="eastAsia" w:ascii="宋体" w:hAnsi="宋体" w:eastAsia="宋体" w:cs="宋体"/>
          <w:color w:val="auto"/>
          <w:kern w:val="0"/>
          <w:sz w:val="24"/>
          <w:szCs w:val="24"/>
          <w:u w:val="single"/>
          <w:lang w:val="zh-CN" w:eastAsia="zh-CN" w:bidi="ar-SA"/>
        </w:rPr>
        <w:t xml:space="preserve"> </w:t>
      </w:r>
      <w:r>
        <w:rPr>
          <w:rFonts w:hint="eastAsia"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zh-CN" w:eastAsia="zh-CN" w:bidi="ar-SA"/>
        </w:rPr>
        <w:t xml:space="preserve">  </w:t>
      </w:r>
      <w:r>
        <w:rPr>
          <w:rFonts w:hint="eastAsia" w:ascii="宋体" w:hAnsi="宋体" w:eastAsia="宋体" w:cs="宋体"/>
          <w:color w:val="auto"/>
          <w:kern w:val="0"/>
          <w:sz w:val="24"/>
          <w:szCs w:val="24"/>
          <w:lang w:val="zh-CN" w:eastAsia="zh-CN" w:bidi="ar-SA"/>
        </w:rPr>
        <w:t>元。[履约保证金交至采购人处，在项目验收合格满（</w:t>
      </w: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zh-CN" w:eastAsia="zh-CN" w:bidi="ar-SA"/>
        </w:rPr>
        <w:t>）个月之日起5个工作日内无息退还]</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lang w:val="en-US" w:eastAsia="zh-CN"/>
        </w:rPr>
        <w:t>七</w:t>
      </w:r>
      <w:r>
        <w:rPr>
          <w:rFonts w:hint="eastAsia" w:hAnsi="宋体" w:cs="宋体"/>
          <w:b/>
          <w:color w:val="auto"/>
          <w:sz w:val="24"/>
          <w:szCs w:val="24"/>
        </w:rPr>
        <w:t>、转包或分包</w:t>
      </w:r>
    </w:p>
    <w:p>
      <w:pPr>
        <w:snapToGrid w:val="0"/>
        <w:spacing w:line="360" w:lineRule="auto"/>
        <w:ind w:firstLine="480" w:firstLineChars="200"/>
        <w:rPr>
          <w:rFonts w:hint="eastAsia" w:ascii="宋体"/>
          <w:color w:val="auto"/>
          <w:sz w:val="24"/>
          <w:lang w:val="zh-CN"/>
        </w:rPr>
      </w:pPr>
      <w:r>
        <w:rPr>
          <w:rFonts w:hint="eastAsia" w:ascii="宋体"/>
          <w:color w:val="auto"/>
          <w:sz w:val="24"/>
          <w:lang w:val="zh-CN"/>
        </w:rPr>
        <w:t>1.本合同范围的</w:t>
      </w:r>
      <w:r>
        <w:rPr>
          <w:rFonts w:hint="eastAsia" w:ascii="宋体"/>
          <w:color w:val="auto"/>
          <w:sz w:val="24"/>
          <w:lang w:val="en-US" w:eastAsia="zh-CN"/>
        </w:rPr>
        <w:t>服务</w:t>
      </w:r>
      <w:r>
        <w:rPr>
          <w:rFonts w:hint="eastAsia" w:ascii="宋体"/>
          <w:color w:val="auto"/>
          <w:sz w:val="24"/>
          <w:lang w:val="zh-CN"/>
        </w:rPr>
        <w:t>，应由乙方直接供应，不得转让他人供应；</w:t>
      </w:r>
    </w:p>
    <w:p>
      <w:pPr>
        <w:snapToGrid w:val="0"/>
        <w:spacing w:line="360" w:lineRule="auto"/>
        <w:ind w:firstLine="480" w:firstLineChars="200"/>
        <w:rPr>
          <w:rFonts w:hint="eastAsia" w:ascii="宋体"/>
          <w:color w:val="auto"/>
          <w:sz w:val="24"/>
          <w:lang w:val="zh-CN"/>
        </w:rPr>
      </w:pPr>
      <w:r>
        <w:rPr>
          <w:rFonts w:hint="eastAsia" w:ascii="宋体"/>
          <w:color w:val="auto"/>
          <w:sz w:val="24"/>
          <w:lang w:val="zh-CN"/>
        </w:rPr>
        <w:t>2.除非得到甲方的书面同意，乙方不得将本合同范围的</w:t>
      </w:r>
      <w:r>
        <w:rPr>
          <w:rFonts w:hint="eastAsia" w:ascii="宋体"/>
          <w:color w:val="auto"/>
          <w:sz w:val="24"/>
          <w:lang w:val="en-US" w:eastAsia="zh-CN"/>
        </w:rPr>
        <w:t>服务</w:t>
      </w:r>
      <w:r>
        <w:rPr>
          <w:rFonts w:hint="eastAsia" w:ascii="宋体"/>
          <w:color w:val="auto"/>
          <w:sz w:val="24"/>
          <w:lang w:val="zh-CN"/>
        </w:rPr>
        <w:t>全部或部分分包给他人供应；</w:t>
      </w:r>
    </w:p>
    <w:p>
      <w:pPr>
        <w:snapToGrid w:val="0"/>
        <w:spacing w:line="360" w:lineRule="auto"/>
        <w:ind w:firstLine="480" w:firstLineChars="200"/>
        <w:rPr>
          <w:rFonts w:hint="eastAsia" w:ascii="宋体"/>
          <w:color w:val="auto"/>
          <w:sz w:val="24"/>
          <w:lang w:val="zh-CN"/>
        </w:rPr>
      </w:pPr>
      <w:r>
        <w:rPr>
          <w:rFonts w:hint="eastAsia" w:ascii="宋体"/>
          <w:color w:val="auto"/>
          <w:sz w:val="24"/>
          <w:lang w:val="zh-CN"/>
        </w:rPr>
        <w:t>3.如有转让和未经甲方同意的分包行为，甲方有权解除合同，没收履约保证金并追究乙方的违约责任。</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lang w:val="en-US" w:eastAsia="zh-CN"/>
        </w:rPr>
        <w:t>八</w:t>
      </w:r>
      <w:r>
        <w:rPr>
          <w:rFonts w:hint="eastAsia" w:hAnsi="宋体" w:cs="宋体"/>
          <w:b/>
          <w:color w:val="auto"/>
          <w:sz w:val="24"/>
          <w:szCs w:val="24"/>
        </w:rPr>
        <w:t>、</w:t>
      </w:r>
      <w:r>
        <w:rPr>
          <w:rFonts w:hAnsi="宋体"/>
          <w:b/>
          <w:color w:val="auto"/>
          <w:sz w:val="24"/>
          <w:szCs w:val="24"/>
        </w:rPr>
        <w:t>合同履行时间、履行方式及履行地点</w:t>
      </w:r>
    </w:p>
    <w:p>
      <w:pPr>
        <w:pStyle w:val="23"/>
        <w:snapToGrid w:val="0"/>
        <w:spacing w:before="120" w:after="120" w:line="360" w:lineRule="auto"/>
        <w:ind w:firstLine="480" w:firstLineChars="200"/>
        <w:rPr>
          <w:rFonts w:hAnsi="宋体"/>
          <w:bCs/>
          <w:color w:val="auto"/>
          <w:sz w:val="24"/>
          <w:szCs w:val="24"/>
        </w:rPr>
      </w:pPr>
      <w:r>
        <w:rPr>
          <w:rFonts w:hAnsi="宋体"/>
          <w:bCs/>
          <w:color w:val="auto"/>
          <w:sz w:val="24"/>
          <w:szCs w:val="24"/>
        </w:rPr>
        <w:t>1</w:t>
      </w:r>
      <w:r>
        <w:rPr>
          <w:rFonts w:hint="eastAsia" w:hAnsi="宋体"/>
          <w:bCs/>
          <w:color w:val="auto"/>
          <w:sz w:val="24"/>
          <w:szCs w:val="24"/>
        </w:rPr>
        <w:t>.</w:t>
      </w:r>
      <w:r>
        <w:rPr>
          <w:rFonts w:hAnsi="宋体"/>
          <w:bCs/>
          <w:color w:val="auto"/>
          <w:sz w:val="24"/>
          <w:szCs w:val="24"/>
        </w:rPr>
        <w:t xml:space="preserve"> </w:t>
      </w:r>
      <w:r>
        <w:rPr>
          <w:rFonts w:hAnsi="宋体"/>
          <w:color w:val="auto"/>
          <w:sz w:val="24"/>
          <w:szCs w:val="24"/>
        </w:rPr>
        <w:t>履行时间</w:t>
      </w:r>
      <w:r>
        <w:rPr>
          <w:rFonts w:hAnsi="宋体"/>
          <w:bCs/>
          <w:color w:val="auto"/>
          <w:sz w:val="24"/>
          <w:szCs w:val="24"/>
        </w:rPr>
        <w:t>：</w:t>
      </w:r>
    </w:p>
    <w:p>
      <w:pPr>
        <w:pStyle w:val="23"/>
        <w:snapToGrid w:val="0"/>
        <w:spacing w:before="120" w:after="120" w:line="360" w:lineRule="auto"/>
        <w:ind w:firstLine="480" w:firstLineChars="200"/>
        <w:rPr>
          <w:rFonts w:hAnsi="宋体"/>
          <w:bCs/>
          <w:color w:val="auto"/>
          <w:sz w:val="24"/>
          <w:szCs w:val="24"/>
        </w:rPr>
      </w:pPr>
      <w:r>
        <w:rPr>
          <w:rFonts w:hAnsi="宋体"/>
          <w:bCs/>
          <w:color w:val="auto"/>
          <w:sz w:val="24"/>
          <w:szCs w:val="24"/>
        </w:rPr>
        <w:t>2</w:t>
      </w:r>
      <w:r>
        <w:rPr>
          <w:rFonts w:hint="eastAsia" w:hAnsi="宋体"/>
          <w:bCs/>
          <w:color w:val="auto"/>
          <w:sz w:val="24"/>
          <w:szCs w:val="24"/>
        </w:rPr>
        <w:t>.</w:t>
      </w:r>
      <w:r>
        <w:rPr>
          <w:rFonts w:hAnsi="宋体"/>
          <w:bCs/>
          <w:color w:val="auto"/>
          <w:sz w:val="24"/>
          <w:szCs w:val="24"/>
        </w:rPr>
        <w:t xml:space="preserve"> </w:t>
      </w:r>
      <w:r>
        <w:rPr>
          <w:rFonts w:hAnsi="宋体"/>
          <w:color w:val="auto"/>
          <w:sz w:val="24"/>
          <w:szCs w:val="24"/>
        </w:rPr>
        <w:t>履行方式</w:t>
      </w:r>
      <w:r>
        <w:rPr>
          <w:rFonts w:hAnsi="宋体"/>
          <w:bCs/>
          <w:color w:val="auto"/>
          <w:sz w:val="24"/>
          <w:szCs w:val="24"/>
        </w:rPr>
        <w:t>：</w:t>
      </w:r>
    </w:p>
    <w:p>
      <w:pPr>
        <w:pStyle w:val="23"/>
        <w:snapToGrid w:val="0"/>
        <w:spacing w:before="120" w:after="120" w:line="360" w:lineRule="auto"/>
        <w:ind w:firstLine="480" w:firstLineChars="200"/>
        <w:rPr>
          <w:rFonts w:hAnsi="宋体"/>
          <w:color w:val="auto"/>
          <w:sz w:val="24"/>
          <w:szCs w:val="24"/>
        </w:rPr>
      </w:pPr>
      <w:r>
        <w:rPr>
          <w:rFonts w:hAnsi="宋体"/>
          <w:bCs/>
          <w:color w:val="auto"/>
          <w:sz w:val="24"/>
          <w:szCs w:val="24"/>
        </w:rPr>
        <w:t>3</w:t>
      </w:r>
      <w:r>
        <w:rPr>
          <w:rFonts w:hint="eastAsia" w:hAnsi="宋体"/>
          <w:bCs/>
          <w:color w:val="auto"/>
          <w:sz w:val="24"/>
          <w:szCs w:val="24"/>
        </w:rPr>
        <w:t>.</w:t>
      </w:r>
      <w:r>
        <w:rPr>
          <w:rFonts w:hAnsi="宋体"/>
          <w:bCs/>
          <w:color w:val="auto"/>
          <w:sz w:val="24"/>
          <w:szCs w:val="24"/>
        </w:rPr>
        <w:t xml:space="preserve"> </w:t>
      </w:r>
      <w:r>
        <w:rPr>
          <w:rFonts w:hAnsi="宋体"/>
          <w:color w:val="auto"/>
          <w:sz w:val="24"/>
          <w:szCs w:val="24"/>
        </w:rPr>
        <w:t>履行地点</w:t>
      </w:r>
      <w:r>
        <w:rPr>
          <w:rFonts w:hAnsi="宋体"/>
          <w:bCs/>
          <w:color w:val="auto"/>
          <w:sz w:val="24"/>
          <w:szCs w:val="24"/>
        </w:rPr>
        <w:t>：</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lang w:val="en-US" w:eastAsia="zh-CN"/>
        </w:rPr>
        <w:t>九</w:t>
      </w:r>
      <w:r>
        <w:rPr>
          <w:rFonts w:hint="eastAsia" w:hAnsi="宋体" w:cs="宋体"/>
          <w:b/>
          <w:color w:val="auto"/>
          <w:sz w:val="24"/>
          <w:szCs w:val="24"/>
        </w:rPr>
        <w:t>、</w:t>
      </w:r>
      <w:r>
        <w:rPr>
          <w:rFonts w:hAnsi="宋体"/>
          <w:b/>
          <w:color w:val="auto"/>
          <w:sz w:val="24"/>
          <w:szCs w:val="24"/>
        </w:rPr>
        <w:t>款项支付</w:t>
      </w:r>
    </w:p>
    <w:p>
      <w:pPr>
        <w:pStyle w:val="237"/>
        <w:widowControl/>
        <w:spacing w:beforeLines="0" w:afterLines="0" w:line="360" w:lineRule="auto"/>
        <w:ind w:firstLine="480" w:firstLineChars="200"/>
        <w:rPr>
          <w:rFonts w:hAnsi="宋体" w:eastAsia="宋体" w:cs="宋体"/>
          <w:b w:val="0"/>
          <w:color w:val="auto"/>
        </w:rPr>
      </w:pPr>
      <w:r>
        <w:rPr>
          <w:rFonts w:hint="eastAsia" w:hAnsi="宋体" w:eastAsia="宋体" w:cs="宋体"/>
          <w:b w:val="0"/>
          <w:bCs/>
          <w:color w:val="auto"/>
        </w:rPr>
        <w:t>付款方式：</w:t>
      </w:r>
    </w:p>
    <w:p>
      <w:pPr>
        <w:snapToGrid w:val="0"/>
        <w:spacing w:before="60" w:after="60" w:line="360" w:lineRule="auto"/>
        <w:ind w:firstLine="482" w:firstLineChars="200"/>
        <w:rPr>
          <w:rFonts w:hint="eastAsia" w:ascii="宋体" w:hAnsi="宋体" w:cs="宋体"/>
          <w:b/>
          <w:color w:val="auto"/>
          <w:sz w:val="24"/>
        </w:rPr>
      </w:pPr>
      <w:r>
        <w:rPr>
          <w:rFonts w:hint="eastAsia" w:ascii="宋体" w:hAnsi="宋体" w:cs="宋体"/>
          <w:b/>
          <w:color w:val="auto"/>
          <w:sz w:val="24"/>
        </w:rPr>
        <w:t>十、税费</w:t>
      </w:r>
    </w:p>
    <w:p>
      <w:pPr>
        <w:snapToGrid w:val="0"/>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本合同执行中相关的一切税费均由乙方负担。</w:t>
      </w:r>
    </w:p>
    <w:p>
      <w:pPr>
        <w:pStyle w:val="23"/>
        <w:snapToGrid w:val="0"/>
        <w:spacing w:before="60" w:after="60" w:line="360" w:lineRule="auto"/>
        <w:ind w:firstLine="482" w:firstLineChars="200"/>
        <w:rPr>
          <w:rFonts w:hint="eastAsia" w:hAnsi="宋体" w:cs="宋体"/>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一</w:t>
      </w:r>
      <w:r>
        <w:rPr>
          <w:rFonts w:hint="eastAsia" w:hAnsi="宋体" w:cs="宋体"/>
          <w:b/>
          <w:color w:val="auto"/>
          <w:sz w:val="24"/>
          <w:szCs w:val="24"/>
        </w:rPr>
        <w:t>、质量保证及售后服务</w:t>
      </w:r>
    </w:p>
    <w:p>
      <w:pPr>
        <w:pStyle w:val="23"/>
        <w:snapToGrid w:val="0"/>
        <w:spacing w:before="120" w:after="120" w:line="360" w:lineRule="auto"/>
        <w:ind w:firstLine="480" w:firstLineChars="200"/>
        <w:rPr>
          <w:rFonts w:hAnsi="宋体"/>
          <w:b w:val="0"/>
          <w:bCs w:val="0"/>
          <w:color w:val="auto"/>
          <w:sz w:val="24"/>
          <w:szCs w:val="24"/>
        </w:rPr>
      </w:pPr>
      <w:r>
        <w:rPr>
          <w:rFonts w:hAnsi="宋体"/>
          <w:b w:val="0"/>
          <w:bCs w:val="0"/>
          <w:color w:val="auto"/>
          <w:sz w:val="24"/>
          <w:szCs w:val="24"/>
        </w:rPr>
        <w:t>1</w:t>
      </w:r>
      <w:r>
        <w:rPr>
          <w:rFonts w:hint="eastAsia" w:hAnsi="宋体"/>
          <w:b w:val="0"/>
          <w:bCs w:val="0"/>
          <w:color w:val="auto"/>
          <w:sz w:val="24"/>
          <w:szCs w:val="24"/>
        </w:rPr>
        <w:t>．</w:t>
      </w:r>
      <w:r>
        <w:rPr>
          <w:rFonts w:hAnsi="宋体"/>
          <w:b w:val="0"/>
          <w:bCs w:val="0"/>
          <w:color w:val="auto"/>
          <w:sz w:val="24"/>
          <w:szCs w:val="24"/>
        </w:rPr>
        <w:t xml:space="preserve"> 乙方应按招标文件规定向甲方提供服务。</w:t>
      </w:r>
    </w:p>
    <w:p>
      <w:pPr>
        <w:pStyle w:val="23"/>
        <w:snapToGrid w:val="0"/>
        <w:spacing w:before="120" w:after="120" w:line="360" w:lineRule="auto"/>
        <w:ind w:firstLine="480" w:firstLineChars="200"/>
        <w:rPr>
          <w:rFonts w:hAnsi="宋体"/>
          <w:b w:val="0"/>
          <w:bCs w:val="0"/>
          <w:color w:val="auto"/>
          <w:sz w:val="24"/>
          <w:szCs w:val="24"/>
        </w:rPr>
      </w:pPr>
      <w:r>
        <w:rPr>
          <w:rFonts w:hAnsi="宋体"/>
          <w:b w:val="0"/>
          <w:bCs w:val="0"/>
          <w:color w:val="auto"/>
          <w:sz w:val="24"/>
          <w:szCs w:val="24"/>
        </w:rPr>
        <w:t>2</w:t>
      </w:r>
      <w:r>
        <w:rPr>
          <w:rFonts w:hint="eastAsia" w:hAnsi="宋体"/>
          <w:b w:val="0"/>
          <w:bCs w:val="0"/>
          <w:color w:val="auto"/>
          <w:sz w:val="24"/>
          <w:szCs w:val="24"/>
        </w:rPr>
        <w:t>．</w:t>
      </w:r>
      <w:r>
        <w:rPr>
          <w:rFonts w:hAnsi="宋体"/>
          <w:b w:val="0"/>
          <w:bCs w:val="0"/>
          <w:color w:val="auto"/>
          <w:sz w:val="24"/>
          <w:szCs w:val="24"/>
        </w:rPr>
        <w:t xml:space="preserve"> 乙方提供的服务成果在服务质量保证期内发生故障，乙方应负责免费提供后续服务。对达不到要求者，根据实际情况，经双方协商，可按以下办法处理：</w:t>
      </w:r>
    </w:p>
    <w:p>
      <w:pPr>
        <w:pStyle w:val="23"/>
        <w:snapToGrid w:val="0"/>
        <w:spacing w:before="120" w:after="120" w:line="360" w:lineRule="auto"/>
        <w:ind w:firstLine="480" w:firstLineChars="200"/>
        <w:rPr>
          <w:rFonts w:hAnsi="宋体"/>
          <w:b w:val="0"/>
          <w:bCs w:val="0"/>
          <w:color w:val="auto"/>
          <w:sz w:val="24"/>
          <w:szCs w:val="24"/>
        </w:rPr>
      </w:pPr>
      <w:r>
        <w:rPr>
          <w:rFonts w:hAnsi="宋体"/>
          <w:b w:val="0"/>
          <w:bCs w:val="0"/>
          <w:color w:val="auto"/>
          <w:sz w:val="24"/>
          <w:szCs w:val="24"/>
        </w:rPr>
        <w:t>⑴重做：由乙方承担所发生的全部费用。</w:t>
      </w:r>
    </w:p>
    <w:p>
      <w:pPr>
        <w:pStyle w:val="23"/>
        <w:snapToGrid w:val="0"/>
        <w:spacing w:before="120" w:after="120" w:line="360" w:lineRule="auto"/>
        <w:ind w:firstLine="480" w:firstLineChars="200"/>
        <w:rPr>
          <w:rFonts w:hAnsi="宋体"/>
          <w:b w:val="0"/>
          <w:bCs w:val="0"/>
          <w:color w:val="auto"/>
          <w:sz w:val="24"/>
          <w:szCs w:val="24"/>
        </w:rPr>
      </w:pPr>
      <w:r>
        <w:rPr>
          <w:rFonts w:hAnsi="宋体"/>
          <w:b w:val="0"/>
          <w:bCs w:val="0"/>
          <w:color w:val="auto"/>
          <w:sz w:val="24"/>
          <w:szCs w:val="24"/>
        </w:rPr>
        <w:t>⑵贬值处理：由甲乙双方合议定价。</w:t>
      </w:r>
    </w:p>
    <w:p>
      <w:pPr>
        <w:pStyle w:val="23"/>
        <w:snapToGrid w:val="0"/>
        <w:spacing w:before="120" w:after="120" w:line="360" w:lineRule="auto"/>
        <w:ind w:firstLine="480" w:firstLineChars="200"/>
        <w:rPr>
          <w:rFonts w:hAnsi="宋体"/>
          <w:b w:val="0"/>
          <w:bCs w:val="0"/>
          <w:color w:val="auto"/>
          <w:sz w:val="24"/>
          <w:szCs w:val="24"/>
        </w:rPr>
      </w:pPr>
      <w:r>
        <w:rPr>
          <w:rFonts w:hAnsi="宋体"/>
          <w:b w:val="0"/>
          <w:bCs w:val="0"/>
          <w:color w:val="auto"/>
          <w:sz w:val="24"/>
          <w:szCs w:val="24"/>
        </w:rPr>
        <w:t>⑶解除合同。</w:t>
      </w:r>
    </w:p>
    <w:p>
      <w:pPr>
        <w:pStyle w:val="23"/>
        <w:snapToGrid w:val="0"/>
        <w:spacing w:before="120" w:after="120" w:line="360" w:lineRule="auto"/>
        <w:ind w:firstLine="480" w:firstLineChars="200"/>
        <w:rPr>
          <w:rFonts w:hAnsi="宋体"/>
          <w:b w:val="0"/>
          <w:bCs w:val="0"/>
          <w:color w:val="auto"/>
          <w:sz w:val="24"/>
          <w:szCs w:val="24"/>
        </w:rPr>
      </w:pPr>
      <w:r>
        <w:rPr>
          <w:rFonts w:hAnsi="宋体"/>
          <w:b w:val="0"/>
          <w:bCs w:val="0"/>
          <w:color w:val="auto"/>
          <w:sz w:val="24"/>
          <w:szCs w:val="24"/>
        </w:rPr>
        <w:t>3</w:t>
      </w:r>
      <w:r>
        <w:rPr>
          <w:rFonts w:hint="eastAsia" w:hAnsi="宋体"/>
          <w:b w:val="0"/>
          <w:bCs w:val="0"/>
          <w:color w:val="auto"/>
          <w:sz w:val="24"/>
          <w:szCs w:val="24"/>
        </w:rPr>
        <w:t>．</w:t>
      </w:r>
      <w:r>
        <w:rPr>
          <w:rFonts w:hAnsi="宋体"/>
          <w:b w:val="0"/>
          <w:bCs w:val="0"/>
          <w:color w:val="auto"/>
          <w:sz w:val="24"/>
          <w:szCs w:val="24"/>
        </w:rPr>
        <w:t>如在使用过程中发生问题，乙方在接到甲方通知后在</w:t>
      </w:r>
      <w:r>
        <w:rPr>
          <w:rFonts w:hint="eastAsia" w:hAnsi="宋体"/>
          <w:b w:val="0"/>
          <w:bCs w:val="0"/>
          <w:color w:val="auto"/>
          <w:sz w:val="24"/>
          <w:szCs w:val="24"/>
          <w:u w:val="single"/>
        </w:rPr>
        <w:t xml:space="preserve">   </w:t>
      </w:r>
      <w:r>
        <w:rPr>
          <w:rFonts w:hAnsi="宋体"/>
          <w:b w:val="0"/>
          <w:bCs w:val="0"/>
          <w:color w:val="auto"/>
          <w:sz w:val="24"/>
          <w:szCs w:val="24"/>
        </w:rPr>
        <w:t>小时内到达甲方现场。</w:t>
      </w:r>
    </w:p>
    <w:p>
      <w:pPr>
        <w:pStyle w:val="23"/>
        <w:snapToGrid w:val="0"/>
        <w:spacing w:before="120" w:after="120" w:line="360" w:lineRule="auto"/>
        <w:ind w:firstLine="480" w:firstLineChars="200"/>
        <w:rPr>
          <w:rFonts w:hAnsi="宋体"/>
          <w:b w:val="0"/>
          <w:bCs w:val="0"/>
          <w:color w:val="auto"/>
          <w:sz w:val="24"/>
          <w:szCs w:val="24"/>
        </w:rPr>
      </w:pPr>
      <w:r>
        <w:rPr>
          <w:rFonts w:hAnsi="宋体"/>
          <w:b w:val="0"/>
          <w:bCs w:val="0"/>
          <w:color w:val="auto"/>
          <w:sz w:val="24"/>
          <w:szCs w:val="24"/>
        </w:rPr>
        <w:t>4</w:t>
      </w:r>
      <w:r>
        <w:rPr>
          <w:rFonts w:hint="eastAsia" w:hAnsi="宋体"/>
          <w:b w:val="0"/>
          <w:bCs w:val="0"/>
          <w:color w:val="auto"/>
          <w:sz w:val="24"/>
          <w:szCs w:val="24"/>
        </w:rPr>
        <w:t>．</w:t>
      </w:r>
      <w:r>
        <w:rPr>
          <w:rFonts w:hAnsi="宋体"/>
          <w:b w:val="0"/>
          <w:bCs w:val="0"/>
          <w:color w:val="auto"/>
          <w:sz w:val="24"/>
          <w:szCs w:val="24"/>
        </w:rPr>
        <w:t>在服务质量保证期内，乙方应对出现的质量及安全问题负责处理解决并承担</w:t>
      </w:r>
    </w:p>
    <w:p>
      <w:pPr>
        <w:pStyle w:val="23"/>
        <w:snapToGrid w:val="0"/>
        <w:spacing w:before="120" w:after="120" w:line="360" w:lineRule="auto"/>
        <w:rPr>
          <w:rFonts w:hAnsi="宋体"/>
          <w:b w:val="0"/>
          <w:bCs w:val="0"/>
          <w:color w:val="auto"/>
          <w:sz w:val="24"/>
          <w:szCs w:val="24"/>
        </w:rPr>
      </w:pPr>
      <w:r>
        <w:rPr>
          <w:rFonts w:hAnsi="宋体"/>
          <w:b w:val="0"/>
          <w:bCs w:val="0"/>
          <w:color w:val="auto"/>
          <w:sz w:val="24"/>
          <w:szCs w:val="24"/>
        </w:rPr>
        <w:t>一切费用。</w:t>
      </w:r>
    </w:p>
    <w:p>
      <w:pPr>
        <w:pStyle w:val="23"/>
        <w:snapToGrid w:val="0"/>
        <w:spacing w:before="60" w:after="60" w:line="360" w:lineRule="auto"/>
        <w:ind w:firstLine="482" w:firstLineChars="200"/>
        <w:rPr>
          <w:rFonts w:hint="eastAsia" w:hAnsi="宋体" w:cs="宋体"/>
          <w:b/>
          <w:bCs w:val="0"/>
          <w:color w:val="auto"/>
          <w:sz w:val="24"/>
          <w:szCs w:val="24"/>
        </w:rPr>
      </w:pPr>
      <w:r>
        <w:rPr>
          <w:rFonts w:hint="eastAsia" w:hAnsi="宋体" w:cs="宋体"/>
          <w:b/>
          <w:bCs w:val="0"/>
          <w:color w:val="auto"/>
          <w:sz w:val="24"/>
          <w:szCs w:val="24"/>
        </w:rPr>
        <w:t>十</w:t>
      </w:r>
      <w:r>
        <w:rPr>
          <w:rFonts w:hint="eastAsia" w:hAnsi="宋体" w:cs="宋体"/>
          <w:b/>
          <w:bCs w:val="0"/>
          <w:color w:val="auto"/>
          <w:sz w:val="24"/>
          <w:szCs w:val="24"/>
          <w:lang w:val="en-US" w:eastAsia="zh-CN"/>
        </w:rPr>
        <w:t>二</w:t>
      </w:r>
      <w:r>
        <w:rPr>
          <w:rFonts w:hint="eastAsia" w:hAnsi="宋体" w:cs="宋体"/>
          <w:b/>
          <w:bCs w:val="0"/>
          <w:color w:val="auto"/>
          <w:sz w:val="24"/>
          <w:szCs w:val="24"/>
        </w:rPr>
        <w:t>、调试和验收</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rPr>
      </w:pPr>
      <w:r>
        <w:rPr>
          <w:rFonts w:hint="eastAsia" w:ascii="宋体"/>
          <w:color w:val="auto"/>
          <w:sz w:val="24"/>
        </w:rPr>
        <w:t>1、甲方对乙方提交的</w:t>
      </w:r>
      <w:r>
        <w:rPr>
          <w:rFonts w:hint="eastAsia" w:ascii="宋体"/>
          <w:color w:val="auto"/>
          <w:sz w:val="24"/>
          <w:lang w:val="en-US" w:eastAsia="zh-CN"/>
        </w:rPr>
        <w:t>产品、服务</w:t>
      </w:r>
      <w:r>
        <w:rPr>
          <w:rFonts w:hint="eastAsia" w:ascii="宋体"/>
          <w:color w:val="auto"/>
          <w:sz w:val="24"/>
        </w:rPr>
        <w:t>依据招标文件上的技术规格要求和国家有关质量标准进行现场验收，符合招标文件采购需求的，给予</w:t>
      </w:r>
      <w:r>
        <w:rPr>
          <w:rFonts w:hint="eastAsia" w:ascii="宋体"/>
          <w:color w:val="auto"/>
          <w:sz w:val="24"/>
          <w:lang w:eastAsia="zh-CN"/>
        </w:rPr>
        <w:t>通过</w:t>
      </w:r>
      <w:r>
        <w:rPr>
          <w:rFonts w:hint="eastAsia" w:ascii="宋体"/>
          <w:color w:val="auto"/>
          <w:sz w:val="24"/>
        </w:rPr>
        <w:t>验收。</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rPr>
      </w:pPr>
      <w:r>
        <w:rPr>
          <w:rFonts w:hint="eastAsia" w:ascii="宋体"/>
          <w:color w:val="auto"/>
          <w:sz w:val="24"/>
        </w:rPr>
        <w:t>2、乙方在</w:t>
      </w:r>
      <w:r>
        <w:rPr>
          <w:rFonts w:hint="eastAsia" w:ascii="宋体"/>
          <w:color w:val="auto"/>
          <w:sz w:val="24"/>
          <w:lang w:eastAsia="zh-CN"/>
        </w:rPr>
        <w:t>验收</w:t>
      </w:r>
      <w:r>
        <w:rPr>
          <w:rFonts w:hint="eastAsia" w:ascii="宋体"/>
          <w:color w:val="auto"/>
          <w:sz w:val="24"/>
        </w:rPr>
        <w:t>前应</w:t>
      </w:r>
      <w:r>
        <w:rPr>
          <w:rFonts w:hint="eastAsia" w:ascii="宋体"/>
          <w:color w:val="auto"/>
          <w:sz w:val="24"/>
          <w:lang w:val="en-US" w:eastAsia="zh-CN"/>
        </w:rPr>
        <w:t>对项目</w:t>
      </w:r>
      <w:r>
        <w:rPr>
          <w:rFonts w:hint="eastAsia" w:ascii="宋体"/>
          <w:color w:val="auto"/>
          <w:sz w:val="24"/>
        </w:rPr>
        <w:t>作出全面检查和对验收文件进行整理，并列出清单，作为甲方验收和使用的技术条件依据，检验的结果应随</w:t>
      </w:r>
      <w:r>
        <w:rPr>
          <w:rFonts w:hint="eastAsia" w:ascii="宋体"/>
          <w:color w:val="auto"/>
          <w:sz w:val="24"/>
          <w:lang w:val="en-US" w:eastAsia="zh-CN"/>
        </w:rPr>
        <w:t>项目</w:t>
      </w:r>
      <w:r>
        <w:rPr>
          <w:rFonts w:hint="eastAsia" w:ascii="宋体"/>
          <w:color w:val="auto"/>
          <w:sz w:val="24"/>
        </w:rPr>
        <w:t>交至甲方。</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rPr>
      </w:pPr>
      <w:r>
        <w:rPr>
          <w:rFonts w:hint="eastAsia" w:ascii="宋体"/>
          <w:color w:val="auto"/>
          <w:sz w:val="24"/>
        </w:rPr>
        <w:t>3、验收时乙方必须在现场，验收完毕后作出验收结果报告；验收费用由</w:t>
      </w:r>
      <w:r>
        <w:rPr>
          <w:rFonts w:hint="eastAsia" w:ascii="宋体"/>
          <w:color w:val="auto"/>
          <w:sz w:val="24"/>
          <w:lang w:val="en-US" w:eastAsia="zh-CN"/>
        </w:rPr>
        <w:t>甲</w:t>
      </w:r>
      <w:r>
        <w:rPr>
          <w:rFonts w:hint="eastAsia" w:ascii="宋体"/>
          <w:color w:val="auto"/>
          <w:sz w:val="24"/>
        </w:rPr>
        <w:t>方负责。</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三</w:t>
      </w:r>
      <w:r>
        <w:rPr>
          <w:rFonts w:hint="eastAsia" w:hAnsi="宋体" w:cs="宋体"/>
          <w:b/>
          <w:color w:val="auto"/>
          <w:sz w:val="24"/>
          <w:szCs w:val="24"/>
        </w:rPr>
        <w:t>、违约责任</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rPr>
      </w:pPr>
      <w:r>
        <w:rPr>
          <w:rFonts w:hint="eastAsia" w:ascii="宋体"/>
          <w:color w:val="auto"/>
          <w:sz w:val="24"/>
        </w:rPr>
        <w:t>1、</w:t>
      </w:r>
      <w:r>
        <w:rPr>
          <w:rFonts w:hint="eastAsia" w:ascii="宋体"/>
          <w:color w:val="auto"/>
          <w:sz w:val="24"/>
          <w:lang w:val="zh-CN"/>
        </w:rPr>
        <w:t>乙方</w:t>
      </w:r>
      <w:r>
        <w:rPr>
          <w:rFonts w:hint="eastAsia" w:ascii="宋体" w:hAnsi="宋体"/>
          <w:color w:val="auto"/>
          <w:sz w:val="24"/>
          <w:lang w:val="zh-CN"/>
        </w:rPr>
        <w:t>须自</w:t>
      </w:r>
      <w:r>
        <w:rPr>
          <w:rFonts w:hint="eastAsia" w:ascii="宋体" w:hAnsi="宋体"/>
          <w:bCs/>
          <w:color w:val="auto"/>
          <w:sz w:val="24"/>
        </w:rPr>
        <w:t>合同签订</w:t>
      </w:r>
      <w:r>
        <w:rPr>
          <w:rFonts w:hint="eastAsia" w:ascii="宋体" w:hAnsi="宋体"/>
          <w:bCs/>
          <w:color w:val="auto"/>
          <w:sz w:val="24"/>
          <w:lang w:eastAsia="zh-CN"/>
        </w:rPr>
        <w:t>生效</w:t>
      </w:r>
      <w:r>
        <w:rPr>
          <w:rFonts w:hint="eastAsia" w:ascii="宋体" w:hAnsi="宋体"/>
          <w:bCs/>
          <w:color w:val="auto"/>
          <w:sz w:val="24"/>
        </w:rPr>
        <w:t>之日起</w:t>
      </w:r>
      <w:r>
        <w:rPr>
          <w:rFonts w:hint="eastAsia" w:ascii="宋体" w:hAnsi="宋体"/>
          <w:bCs/>
          <w:color w:val="auto"/>
          <w:sz w:val="24"/>
          <w:u w:val="single"/>
        </w:rPr>
        <w:t xml:space="preserve"> </w:t>
      </w:r>
      <w:r>
        <w:rPr>
          <w:rFonts w:hint="eastAsia" w:ascii="宋体" w:hAnsi="宋体"/>
          <w:bCs/>
          <w:color w:val="auto"/>
          <w:sz w:val="24"/>
          <w:u w:val="single"/>
          <w:lang w:val="en-US" w:eastAsia="zh-CN"/>
        </w:rPr>
        <w:t>100</w:t>
      </w:r>
      <w:r>
        <w:rPr>
          <w:rFonts w:hint="eastAsia" w:ascii="宋体" w:hAnsi="宋体"/>
          <w:bCs/>
          <w:color w:val="auto"/>
          <w:sz w:val="24"/>
        </w:rPr>
        <w:t>个日历天内按甲方要求供货并安装、调试完成</w:t>
      </w:r>
      <w:r>
        <w:rPr>
          <w:rFonts w:hint="eastAsia" w:ascii="宋体" w:hAnsi="宋体"/>
          <w:bCs/>
          <w:color w:val="auto"/>
          <w:sz w:val="24"/>
          <w:lang w:eastAsia="zh-CN"/>
        </w:rPr>
        <w:t>并通过初步验收</w:t>
      </w:r>
      <w:r>
        <w:rPr>
          <w:rFonts w:hint="eastAsia" w:ascii="宋体" w:hAnsi="宋体"/>
          <w:bCs/>
          <w:color w:val="auto"/>
          <w:sz w:val="24"/>
        </w:rPr>
        <w:t>。</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rPr>
      </w:pPr>
      <w:r>
        <w:rPr>
          <w:rFonts w:hint="eastAsia" w:ascii="宋体"/>
          <w:color w:val="auto"/>
          <w:sz w:val="24"/>
        </w:rPr>
        <w:t>2、甲方无正当理由拒绝接受乙方服务的，甲方向乙方偿付合同款项的百分之五作为违约金。</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rPr>
      </w:pPr>
      <w:r>
        <w:rPr>
          <w:rFonts w:hint="eastAsia" w:ascii="宋体"/>
          <w:color w:val="auto"/>
          <w:sz w:val="24"/>
        </w:rPr>
        <w:t>3、甲方无故逾期验收和办理款项支付手续的，甲方应按逾期付款总额每日万分之五向乙方支付违约金。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u w:val="single"/>
        </w:rPr>
      </w:pPr>
      <w:r>
        <w:rPr>
          <w:rFonts w:hint="eastAsia" w:ascii="宋体"/>
          <w:color w:val="auto"/>
          <w:sz w:val="24"/>
        </w:rPr>
        <w:t>4、乙方逾期提供服务的，每日向甲方支付合同总价千分之五的违约金。逾期超过约定日期10个工作日不能交货的，甲方可解除本合同。乙方因逾期交货或因其他违约行为导致甲方解除合同的，甲方可没收乙方履约保证金，再由乙方向甲方支付合同总价百分之五的违约金，如造成甲方损失超过违约金的，超出部分由乙方继续承担赔偿责任。</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lang w:val="en-US" w:eastAsia="zh-CN"/>
        </w:rPr>
      </w:pPr>
      <w:r>
        <w:rPr>
          <w:rFonts w:hint="eastAsia" w:ascii="宋体"/>
          <w:color w:val="auto"/>
          <w:sz w:val="24"/>
          <w:lang w:val="en-US" w:eastAsia="zh-CN"/>
        </w:rPr>
        <w:t>5、</w:t>
      </w:r>
      <w:r>
        <w:rPr>
          <w:rFonts w:hint="eastAsia" w:ascii="宋体"/>
          <w:color w:val="auto"/>
          <w:sz w:val="24"/>
        </w:rPr>
        <w:t>中标单位应安排充足的施工维护力量确保项目中视频及卡口数据应完好率98%以上，完好率98%以上的，全额支付服务费用；完好率低于98%的在有效服务费中进行扣费，若</w:t>
      </w:r>
      <w:r>
        <w:rPr>
          <w:rFonts w:ascii="宋体"/>
          <w:color w:val="auto"/>
          <w:sz w:val="24"/>
        </w:rPr>
        <w:t>6小时以内</w:t>
      </w:r>
      <w:r>
        <w:rPr>
          <w:rFonts w:hint="eastAsia" w:ascii="宋体"/>
          <w:color w:val="auto"/>
          <w:sz w:val="24"/>
        </w:rPr>
        <w:t>及时</w:t>
      </w:r>
      <w:r>
        <w:rPr>
          <w:rFonts w:ascii="宋体"/>
          <w:color w:val="auto"/>
          <w:sz w:val="24"/>
        </w:rPr>
        <w:t>解决问题（白天出现故障），不</w:t>
      </w:r>
      <w:r>
        <w:rPr>
          <w:rFonts w:hint="eastAsia" w:ascii="宋体"/>
          <w:color w:val="auto"/>
          <w:sz w:val="24"/>
        </w:rPr>
        <w:t>做扣费处理</w:t>
      </w:r>
      <w:r>
        <w:rPr>
          <w:rFonts w:ascii="宋体"/>
          <w:color w:val="auto"/>
          <w:sz w:val="24"/>
        </w:rPr>
        <w:t>；</w:t>
      </w:r>
      <w:r>
        <w:rPr>
          <w:rFonts w:hint="eastAsia" w:ascii="宋体"/>
          <w:color w:val="auto"/>
          <w:sz w:val="24"/>
        </w:rPr>
        <w:t>若</w:t>
      </w:r>
      <w:r>
        <w:rPr>
          <w:rFonts w:ascii="宋体"/>
          <w:color w:val="auto"/>
          <w:sz w:val="24"/>
        </w:rPr>
        <w:t>逾期未作出响应</w:t>
      </w:r>
      <w:r>
        <w:rPr>
          <w:rFonts w:hint="eastAsia" w:ascii="宋体"/>
          <w:color w:val="auto"/>
          <w:sz w:val="24"/>
        </w:rPr>
        <w:t>则做相应扣费，具体按照每路每天扣1000元，。遇不可控原因或不可抗力自然原因造成无数据在线的不计算完好率，但要书面进行报备，具备修复条件时应及时修复。</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Ansi="宋体" w:cs="宋体"/>
          <w:color w:val="auto"/>
          <w:sz w:val="24"/>
          <w:szCs w:val="24"/>
        </w:rPr>
      </w:pPr>
      <w:r>
        <w:rPr>
          <w:rFonts w:hint="eastAsia" w:ascii="宋体"/>
          <w:color w:val="auto"/>
          <w:sz w:val="24"/>
          <w:lang w:eastAsia="zh-CN"/>
        </w:rPr>
        <w:t>6、数据故障是指不在线、无录像或录像断续、卡口或人脸图片未上传或上传延时超标、摄像机灰尘积污或严重树枝遮挡、摄像机丢包率超标或实时播放卡顿、视频严重丢帧跳帧、摄像机角度严重偏离、视频画面及图片字符排版不规范、画面虚焦等。上述故障现象及MAC数据等采集设备故障当业主方通知改正的点位服务方超过48小时未整改完成又无正当理由说明的每路扣服务费1000元。完好率按照天网运维系统每天检测的完好率结合上级公安机关检测通报的完好率作为主要依据。</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四</w:t>
      </w:r>
      <w:r>
        <w:rPr>
          <w:rFonts w:hint="eastAsia" w:hAnsi="宋体" w:cs="宋体"/>
          <w:b/>
          <w:color w:val="auto"/>
          <w:sz w:val="24"/>
          <w:szCs w:val="24"/>
        </w:rPr>
        <w:t>、不可抗力事件处理</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1. 在合同有效期内，任何一方因不可抗力事件导致不能履行合同，则合同履行</w:t>
      </w:r>
    </w:p>
    <w:p>
      <w:pPr>
        <w:pStyle w:val="23"/>
        <w:snapToGrid w:val="0"/>
        <w:spacing w:before="60" w:after="60" w:line="360" w:lineRule="auto"/>
        <w:rPr>
          <w:rFonts w:hint="eastAsia" w:hAnsi="宋体" w:cs="宋体"/>
          <w:color w:val="auto"/>
          <w:sz w:val="24"/>
          <w:szCs w:val="24"/>
        </w:rPr>
      </w:pPr>
      <w:r>
        <w:rPr>
          <w:rFonts w:hint="eastAsia" w:hAnsi="宋体" w:cs="宋体"/>
          <w:color w:val="auto"/>
          <w:sz w:val="24"/>
          <w:szCs w:val="24"/>
        </w:rPr>
        <w:t>期可延长，其延长期与不可抗力影响期相同。</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2. 不可抗力事件发生后，应立即通知对方，并寄送有关权威机构出具的证明。</w:t>
      </w:r>
    </w:p>
    <w:p>
      <w:pPr>
        <w:pStyle w:val="23"/>
        <w:snapToGrid w:val="0"/>
        <w:spacing w:before="60" w:after="60" w:line="360" w:lineRule="auto"/>
        <w:ind w:firstLine="480" w:firstLineChars="200"/>
        <w:rPr>
          <w:rFonts w:hint="eastAsia" w:hAnsi="宋体" w:cs="宋体"/>
          <w:color w:val="auto"/>
          <w:sz w:val="24"/>
          <w:szCs w:val="24"/>
        </w:rPr>
      </w:pPr>
      <w:r>
        <w:rPr>
          <w:rFonts w:hint="eastAsia" w:hAnsi="宋体" w:cs="宋体"/>
          <w:color w:val="auto"/>
          <w:sz w:val="24"/>
          <w:szCs w:val="24"/>
        </w:rPr>
        <w:t>3. 不可抗力事件延续120天以上，双方应通过友好协商，确定是否继续履行合同。</w:t>
      </w:r>
    </w:p>
    <w:p>
      <w:pPr>
        <w:pStyle w:val="23"/>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五</w:t>
      </w:r>
      <w:r>
        <w:rPr>
          <w:rFonts w:hint="eastAsia" w:hAnsi="宋体" w:cs="宋体"/>
          <w:b/>
          <w:color w:val="auto"/>
          <w:sz w:val="24"/>
          <w:szCs w:val="24"/>
        </w:rPr>
        <w:t>、解决争议的方法</w:t>
      </w:r>
    </w:p>
    <w:p>
      <w:pPr>
        <w:widowControl/>
        <w:spacing w:before="60" w:after="6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1. 如双方在履行合同时发生纠纷，应协商解决；协商不成时，可提请政府采购管理部门调解；调解不成的通过以下方式解决（两种解决方式只能择其一）：</w:t>
      </w:r>
      <w:r>
        <w:rPr>
          <w:rFonts w:hint="eastAsia" w:ascii="宋体" w:hAnsi="宋体" w:cs="宋体"/>
          <w:color w:val="auto"/>
          <w:kern w:val="0"/>
          <w:sz w:val="24"/>
        </w:rPr>
        <w:br w:type="textWrapping"/>
      </w:r>
      <w:r>
        <w:rPr>
          <w:rFonts w:hint="eastAsia" w:ascii="宋体" w:hAnsi="宋体" w:cs="宋体"/>
          <w:color w:val="auto"/>
          <w:kern w:val="0"/>
          <w:sz w:val="24"/>
        </w:rPr>
        <w:t xml:space="preserve">  （1） 提交</w:t>
      </w:r>
      <w:r>
        <w:rPr>
          <w:rFonts w:hint="eastAsia" w:ascii="宋体" w:hAnsi="宋体" w:cs="宋体"/>
          <w:color w:val="auto"/>
          <w:sz w:val="24"/>
          <w:u w:val="single"/>
        </w:rPr>
        <w:t>台州</w:t>
      </w:r>
      <w:r>
        <w:rPr>
          <w:rFonts w:hint="eastAsia" w:ascii="宋体" w:hAnsi="宋体" w:cs="宋体"/>
          <w:color w:val="auto"/>
          <w:kern w:val="0"/>
          <w:sz w:val="24"/>
        </w:rPr>
        <w:t>仲裁委员会仲裁。</w:t>
      </w:r>
      <w:r>
        <w:rPr>
          <w:rFonts w:hint="eastAsia" w:ascii="宋体" w:hAnsi="宋体" w:cs="宋体"/>
          <w:color w:val="auto"/>
          <w:kern w:val="0"/>
          <w:sz w:val="24"/>
        </w:rPr>
        <w:br w:type="textWrapping"/>
      </w:r>
      <w:r>
        <w:rPr>
          <w:rFonts w:hint="eastAsia" w:ascii="宋体" w:hAnsi="宋体" w:cs="宋体"/>
          <w:color w:val="auto"/>
          <w:kern w:val="0"/>
          <w:sz w:val="24"/>
        </w:rPr>
        <w:t xml:space="preserve">  （2） 依法向人民法院提起诉讼。 </w:t>
      </w:r>
    </w:p>
    <w:p>
      <w:pPr>
        <w:pStyle w:val="23"/>
        <w:tabs>
          <w:tab w:val="left" w:pos="5790"/>
        </w:tabs>
        <w:snapToGrid w:val="0"/>
        <w:spacing w:before="60" w:after="60" w:line="360" w:lineRule="auto"/>
        <w:ind w:firstLine="482" w:firstLineChars="200"/>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六</w:t>
      </w:r>
      <w:r>
        <w:rPr>
          <w:rFonts w:hint="eastAsia" w:hAnsi="宋体" w:cs="宋体"/>
          <w:b/>
          <w:color w:val="auto"/>
          <w:sz w:val="24"/>
          <w:szCs w:val="24"/>
        </w:rPr>
        <w:t>、合同生效及其它</w:t>
      </w:r>
      <w:r>
        <w:rPr>
          <w:rFonts w:hint="eastAsia" w:hAnsi="宋体" w:cs="宋体"/>
          <w:b/>
          <w:color w:val="auto"/>
          <w:sz w:val="24"/>
          <w:szCs w:val="24"/>
        </w:rPr>
        <w:tab/>
      </w:r>
    </w:p>
    <w:p>
      <w:pPr>
        <w:pStyle w:val="18"/>
        <w:widowControl/>
        <w:spacing w:before="60" w:after="60" w:line="360" w:lineRule="auto"/>
        <w:ind w:right="-88" w:firstLine="480" w:firstLineChars="200"/>
        <w:rPr>
          <w:rFonts w:hint="eastAsia" w:ascii="宋体" w:hAnsi="宋体" w:cs="宋体"/>
          <w:color w:val="auto"/>
          <w:sz w:val="24"/>
          <w:szCs w:val="24"/>
        </w:rPr>
      </w:pPr>
      <w:r>
        <w:rPr>
          <w:rFonts w:hint="eastAsia" w:ascii="宋体" w:hAnsi="宋体" w:cs="宋体"/>
          <w:color w:val="auto"/>
          <w:sz w:val="24"/>
          <w:szCs w:val="24"/>
        </w:rPr>
        <w:t>1. 合同经双方法定代表人或授权代表签字并加盖单位公章后生效。</w:t>
      </w:r>
    </w:p>
    <w:p>
      <w:pPr>
        <w:pStyle w:val="18"/>
        <w:widowControl/>
        <w:spacing w:before="60" w:after="60" w:line="360" w:lineRule="auto"/>
        <w:ind w:right="-88" w:firstLine="480" w:firstLineChars="200"/>
        <w:rPr>
          <w:rFonts w:hint="eastAsia" w:ascii="宋体" w:hAnsi="宋体" w:cs="宋体"/>
          <w:color w:val="auto"/>
          <w:sz w:val="24"/>
          <w:szCs w:val="24"/>
        </w:rPr>
      </w:pPr>
      <w:r>
        <w:rPr>
          <w:rFonts w:hint="eastAsia" w:ascii="宋体" w:hAnsi="宋体" w:cs="宋体"/>
          <w:color w:val="auto"/>
          <w:sz w:val="24"/>
          <w:szCs w:val="24"/>
        </w:rPr>
        <w:t>2. 本合同未尽事宜，遵照《合同法》有关条文执行。</w:t>
      </w:r>
    </w:p>
    <w:p>
      <w:pPr>
        <w:pStyle w:val="18"/>
        <w:widowControl/>
        <w:spacing w:before="60" w:after="60" w:line="360" w:lineRule="auto"/>
        <w:ind w:right="-88" w:firstLine="480" w:firstLineChars="200"/>
        <w:rPr>
          <w:rFonts w:hint="eastAsia" w:ascii="宋体" w:hAnsi="宋体" w:cs="宋体"/>
          <w:color w:val="auto"/>
          <w:sz w:val="24"/>
          <w:szCs w:val="24"/>
        </w:rPr>
      </w:pPr>
      <w:r>
        <w:rPr>
          <w:rFonts w:hint="eastAsia" w:ascii="宋体" w:hAnsi="宋体" w:cs="宋体"/>
          <w:color w:val="auto"/>
          <w:sz w:val="24"/>
          <w:szCs w:val="24"/>
        </w:rPr>
        <w:t>3. 本合同一式四份。甲、乙双方各执一份，采购组织机构及同级人民政府财政部门各执一份。本项目未尽事宜以招标文件、投标文件及澄清文件等为准。</w:t>
      </w:r>
    </w:p>
    <w:p>
      <w:pPr>
        <w:spacing w:before="60" w:after="60" w:line="360" w:lineRule="auto"/>
        <w:ind w:firstLine="480" w:firstLineChars="200"/>
        <w:rPr>
          <w:rFonts w:hint="eastAsia" w:ascii="宋体" w:hAnsi="宋体" w:cs="宋体"/>
          <w:color w:val="auto"/>
          <w:sz w:val="24"/>
        </w:rPr>
      </w:pP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甲方（公章）                                     乙方（公章）</w:t>
      </w: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法定代表人：                                     法定代表人：</w:t>
      </w: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委托代理人：                                     委托代理人：</w:t>
      </w: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联系电话：                                       联系电话：</w:t>
      </w: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开户银行：                                       开户银行：</w:t>
      </w: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帐号：                                           帐号：</w:t>
      </w: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地址及邮编：                                     地址及邮编：</w:t>
      </w:r>
    </w:p>
    <w:p>
      <w:pPr>
        <w:spacing w:before="60" w:after="60" w:line="360" w:lineRule="auto"/>
        <w:ind w:firstLine="480" w:firstLineChars="200"/>
        <w:rPr>
          <w:rFonts w:hint="eastAsia" w:ascii="宋体" w:hAnsi="宋体" w:cs="宋体"/>
          <w:color w:val="auto"/>
          <w:sz w:val="24"/>
        </w:rPr>
      </w:pPr>
      <w:r>
        <w:rPr>
          <w:rFonts w:hint="eastAsia" w:ascii="宋体" w:hAnsi="宋体" w:cs="宋体"/>
          <w:color w:val="auto"/>
          <w:sz w:val="24"/>
        </w:rPr>
        <w:t>签订时间：    年   月    日</w:t>
      </w:r>
    </w:p>
    <w:p>
      <w:pPr>
        <w:spacing w:line="360" w:lineRule="auto"/>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第六章 投标文件格式</w:t>
      </w:r>
      <w:bookmarkEnd w:id="258"/>
      <w:bookmarkEnd w:id="259"/>
      <w:bookmarkStart w:id="260" w:name="_Toc205087913"/>
      <w:bookmarkStart w:id="261" w:name="_Toc199314553"/>
      <w:bookmarkStart w:id="262" w:name="_Toc240724400"/>
      <w:bookmarkStart w:id="263" w:name="_Toc295986635"/>
      <w:bookmarkStart w:id="264" w:name="_Toc194223719"/>
      <w:bookmarkStart w:id="265" w:name="_Toc205087903"/>
      <w:bookmarkStart w:id="266" w:name="_Toc199314545"/>
      <w:r>
        <w:rPr>
          <w:rFonts w:hint="eastAsia" w:ascii="宋体" w:hAnsi="宋体" w:cs="宋体"/>
          <w:b/>
          <w:color w:val="auto"/>
          <w:szCs w:val="36"/>
        </w:rPr>
        <w:t>附件</w:t>
      </w:r>
    </w:p>
    <w:p>
      <w:pPr>
        <w:spacing w:line="360" w:lineRule="auto"/>
        <w:rPr>
          <w:rFonts w:hint="eastAsia" w:ascii="宋体" w:hAnsi="宋体" w:cs="宋体"/>
          <w:b/>
          <w:color w:val="auto"/>
          <w:sz w:val="24"/>
        </w:rPr>
      </w:pPr>
      <w:r>
        <w:rPr>
          <w:rFonts w:hint="eastAsia" w:ascii="宋体" w:hAnsi="宋体" w:cs="宋体"/>
          <w:b/>
          <w:color w:val="auto"/>
          <w:sz w:val="28"/>
          <w:szCs w:val="28"/>
        </w:rPr>
        <w:t>附件一：</w:t>
      </w:r>
      <w:r>
        <w:rPr>
          <w:rFonts w:hint="eastAsia" w:ascii="宋体" w:hAnsi="宋体" w:cs="宋体"/>
          <w:b/>
          <w:color w:val="auto"/>
          <w:sz w:val="24"/>
        </w:rPr>
        <w:t xml:space="preserve">                                                      </w:t>
      </w:r>
    </w:p>
    <w:p>
      <w:pPr>
        <w:spacing w:line="360" w:lineRule="auto"/>
        <w:ind w:firstLine="7469" w:firstLineChars="3100"/>
        <w:rPr>
          <w:rFonts w:hint="eastAsia" w:ascii="宋体" w:hAnsi="宋体" w:cs="宋体"/>
          <w:bCs/>
          <w:color w:val="auto"/>
          <w:sz w:val="30"/>
          <w:szCs w:val="30"/>
        </w:rPr>
      </w:pPr>
      <w:r>
        <w:rPr>
          <w:rFonts w:hint="eastAsia" w:ascii="宋体" w:hAnsi="宋体" w:cs="宋体"/>
          <w:b/>
          <w:color w:val="auto"/>
          <w:sz w:val="24"/>
        </w:rPr>
        <w:t xml:space="preserve"> </w:t>
      </w:r>
      <w:r>
        <w:rPr>
          <w:rFonts w:hint="eastAsia" w:ascii="宋体" w:hAnsi="宋体" w:cs="宋体"/>
          <w:b/>
          <w:color w:val="auto"/>
          <w:sz w:val="28"/>
          <w:szCs w:val="28"/>
        </w:rPr>
        <w:t>正本或副本</w:t>
      </w:r>
      <w:r>
        <w:rPr>
          <w:rFonts w:hint="eastAsia" w:ascii="宋体" w:hAnsi="宋体" w:cs="宋体"/>
          <w:color w:val="auto"/>
          <w:sz w:val="30"/>
          <w:szCs w:val="30"/>
        </w:rPr>
        <w:t xml:space="preserve">                                           </w:t>
      </w:r>
    </w:p>
    <w:p>
      <w:pPr>
        <w:ind w:right="-110"/>
        <w:jc w:val="center"/>
        <w:rPr>
          <w:rFonts w:hint="eastAsia" w:ascii="宋体" w:hAnsi="宋体" w:cs="宋体"/>
          <w:color w:val="auto"/>
          <w:spacing w:val="40"/>
          <w:szCs w:val="36"/>
        </w:rPr>
      </w:pPr>
      <w:r>
        <w:rPr>
          <w:rFonts w:hint="eastAsia" w:ascii="宋体" w:hAnsi="宋体" w:cs="宋体"/>
          <w:color w:val="auto"/>
          <w:spacing w:val="40"/>
          <w:szCs w:val="36"/>
        </w:rPr>
        <w:t>项目名称</w:t>
      </w:r>
    </w:p>
    <w:p>
      <w:pPr>
        <w:spacing w:before="240" w:beforeLines="100" w:line="240" w:lineRule="atLeast"/>
        <w:jc w:val="center"/>
        <w:rPr>
          <w:rFonts w:hint="eastAsia" w:ascii="宋体" w:hAnsi="宋体" w:cs="宋体"/>
          <w:color w:val="auto"/>
          <w:szCs w:val="36"/>
        </w:rPr>
      </w:pPr>
      <w:r>
        <w:rPr>
          <w:rFonts w:hint="eastAsia" w:ascii="宋体" w:hAnsi="宋体" w:cs="宋体"/>
          <w:color w:val="auto"/>
          <w:szCs w:val="36"/>
        </w:rPr>
        <w:t>项目编号（标项  ）</w:t>
      </w:r>
    </w:p>
    <w:p>
      <w:pPr>
        <w:spacing w:after="100" w:afterAutospacing="1" w:line="800" w:lineRule="exact"/>
        <w:ind w:right="-108"/>
        <w:jc w:val="center"/>
        <w:rPr>
          <w:rFonts w:hint="eastAsia" w:ascii="宋体" w:hAnsi="宋体" w:cs="宋体"/>
          <w:b/>
          <w:color w:val="auto"/>
          <w:spacing w:val="40"/>
          <w:sz w:val="84"/>
          <w:szCs w:val="84"/>
        </w:rPr>
      </w:pP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hint="eastAsia" w:ascii="宋体" w:hAnsi="宋体" w:cs="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hint="eastAsia" w:ascii="宋体" w:hAnsi="宋体" w:cs="宋体"/>
          <w:b/>
          <w:bCs/>
          <w:color w:val="auto"/>
          <w:spacing w:val="40"/>
          <w:szCs w:val="36"/>
        </w:rPr>
      </w:pPr>
      <w:r>
        <w:rPr>
          <w:rFonts w:hint="eastAsia" w:ascii="宋体" w:hAnsi="宋体" w:cs="宋体"/>
          <w:b/>
          <w:bCs/>
          <w:color w:val="auto"/>
          <w:szCs w:val="36"/>
          <w:lang w:val="zh-CN"/>
        </w:rPr>
        <w:t>（</w:t>
      </w:r>
      <w:r>
        <w:rPr>
          <w:rFonts w:hint="eastAsia" w:ascii="宋体" w:hAnsi="宋体" w:cs="宋体"/>
          <w:b/>
          <w:bCs/>
          <w:color w:val="auto"/>
          <w:spacing w:val="40"/>
          <w:szCs w:val="36"/>
        </w:rPr>
        <w:t>资格证明文件）</w:t>
      </w:r>
    </w:p>
    <w:p>
      <w:pPr>
        <w:spacing w:before="60" w:after="60" w:line="360" w:lineRule="auto"/>
        <w:ind w:right="532" w:firstLine="720" w:firstLineChars="200"/>
        <w:rPr>
          <w:rFonts w:hint="eastAsia" w:ascii="宋体" w:hAnsi="宋体" w:cs="宋体"/>
          <w:color w:val="auto"/>
          <w:szCs w:val="36"/>
        </w:rPr>
      </w:pPr>
      <w:r>
        <w:rPr>
          <w:rFonts w:hint="eastAsia" w:ascii="宋体" w:hAnsi="宋体" w:cs="宋体"/>
          <w:color w:val="auto"/>
          <w:szCs w:val="36"/>
        </w:rPr>
        <w:t>投标人（盖单位章）：</w:t>
      </w:r>
    </w:p>
    <w:p>
      <w:pPr>
        <w:spacing w:before="60" w:after="60" w:line="360" w:lineRule="auto"/>
        <w:ind w:right="532" w:firstLine="720" w:firstLineChars="200"/>
        <w:rPr>
          <w:rFonts w:hint="eastAsia" w:ascii="宋体" w:hAnsi="宋体" w:cs="宋体"/>
          <w:color w:val="auto"/>
          <w:szCs w:val="36"/>
        </w:rPr>
      </w:pPr>
      <w:r>
        <w:rPr>
          <w:rFonts w:hint="eastAsia" w:ascii="宋体" w:hAnsi="宋体" w:cs="宋体"/>
          <w:color w:val="auto"/>
          <w:szCs w:val="36"/>
        </w:rPr>
        <w:t>地    址：</w:t>
      </w:r>
    </w:p>
    <w:p>
      <w:pPr>
        <w:snapToGrid w:val="0"/>
        <w:spacing w:before="50" w:after="50" w:line="360" w:lineRule="auto"/>
        <w:ind w:firstLine="720" w:firstLineChars="200"/>
        <w:rPr>
          <w:rFonts w:hint="eastAsia" w:ascii="宋体" w:hAnsi="宋体" w:cs="宋体"/>
          <w:b/>
          <w:bCs/>
          <w:color w:val="auto"/>
          <w:szCs w:val="36"/>
        </w:rPr>
      </w:pPr>
      <w:r>
        <w:rPr>
          <w:rFonts w:hint="eastAsia" w:ascii="宋体" w:hAnsi="宋体" w:cs="宋体"/>
          <w:color w:val="auto"/>
          <w:szCs w:val="36"/>
        </w:rPr>
        <w:t>时    间：</w:t>
      </w:r>
      <w:r>
        <w:rPr>
          <w:rFonts w:hint="eastAsia" w:ascii="宋体" w:hAnsi="宋体" w:cs="宋体"/>
          <w:b/>
          <w:bCs/>
          <w:color w:val="auto"/>
          <w:kern w:val="0"/>
          <w:szCs w:val="36"/>
          <w:lang w:val="zh-CN"/>
        </w:rPr>
        <w:br w:type="page"/>
      </w:r>
      <w:r>
        <w:rPr>
          <w:rFonts w:hint="eastAsia" w:ascii="宋体" w:hAnsi="宋体" w:cs="宋体"/>
          <w:b/>
          <w:bCs/>
          <w:color w:val="auto"/>
          <w:kern w:val="0"/>
          <w:szCs w:val="36"/>
        </w:rPr>
        <w:t xml:space="preserve">                  </w:t>
      </w:r>
      <w:r>
        <w:rPr>
          <w:rFonts w:hint="eastAsia" w:ascii="宋体" w:hAnsi="宋体" w:cs="宋体"/>
          <w:b/>
          <w:bCs/>
          <w:color w:val="auto"/>
          <w:sz w:val="32"/>
          <w:szCs w:val="32"/>
        </w:rPr>
        <w:t>资格证明文件目录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1、投标声明书</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2、授权委托书</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3、营业执照等证明文件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4、财务状况报告（最近年度）或者银行出具的资信证明</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5、依法缴纳税收和社会保障资金的相关材料</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6、具备履行合同所必需的设备和专业技术能力的证明材料</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7、本项目要求的特定资质证书（此项根据项目实际要求选用）</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8、供应商认为</w:t>
      </w:r>
      <w:r>
        <w:rPr>
          <w:rFonts w:hint="eastAsia" w:ascii="宋体" w:hAnsi="宋体" w:cs="宋体"/>
          <w:color w:val="auto"/>
          <w:sz w:val="24"/>
        </w:rPr>
        <w:t>需要说明的其他资料</w:t>
      </w:r>
      <w:r>
        <w:rPr>
          <w:rFonts w:hint="eastAsia" w:ascii="宋体" w:hAnsi="宋体" w:cs="宋体"/>
          <w:color w:val="auto"/>
          <w:sz w:val="24"/>
          <w:lang w:eastAsia="zh-CN"/>
        </w:rPr>
        <w:t>（</w:t>
      </w:r>
      <w:r>
        <w:rPr>
          <w:rFonts w:hint="eastAsia" w:ascii="宋体" w:hAnsi="宋体" w:cs="宋体"/>
          <w:color w:val="auto"/>
          <w:sz w:val="24"/>
          <w:lang w:val="en-US" w:eastAsia="zh-CN"/>
        </w:rPr>
        <w:t>如有）</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注：以上内容相关要求见“第二章投标人须知”中“投标文件”组成内容。</w:t>
      </w:r>
    </w:p>
    <w:p>
      <w:pPr>
        <w:pStyle w:val="23"/>
        <w:spacing w:line="360" w:lineRule="auto"/>
        <w:outlineLvl w:val="1"/>
        <w:rPr>
          <w:rFonts w:hint="eastAsia" w:hAnsi="宋体" w:cs="宋体"/>
          <w:b/>
          <w:color w:val="auto"/>
          <w:sz w:val="24"/>
        </w:rPr>
      </w:pPr>
      <w:r>
        <w:rPr>
          <w:rFonts w:hint="eastAsia" w:hAnsi="宋体" w:cs="宋体"/>
          <w:b/>
          <w:bCs/>
          <w:color w:val="auto"/>
          <w:kern w:val="0"/>
          <w:szCs w:val="36"/>
          <w:lang w:val="zh-CN"/>
        </w:rPr>
        <w:br w:type="page"/>
      </w:r>
      <w:r>
        <w:rPr>
          <w:rFonts w:hint="eastAsia" w:hAnsi="宋体" w:cs="宋体"/>
          <w:b/>
          <w:color w:val="auto"/>
          <w:sz w:val="28"/>
          <w:szCs w:val="28"/>
        </w:rPr>
        <w:t>附件二：</w:t>
      </w:r>
    </w:p>
    <w:p>
      <w:pPr>
        <w:spacing w:line="450" w:lineRule="atLeast"/>
        <w:jc w:val="center"/>
        <w:rPr>
          <w:rFonts w:hint="eastAsia" w:ascii="宋体" w:hAnsi="宋体" w:cs="宋体"/>
          <w:b/>
          <w:bCs/>
          <w:color w:val="auto"/>
          <w:kern w:val="0"/>
          <w:szCs w:val="36"/>
          <w:lang w:val="zh-CN"/>
        </w:rPr>
      </w:pPr>
      <w:r>
        <w:rPr>
          <w:rFonts w:hint="eastAsia" w:ascii="宋体" w:hAnsi="宋体" w:cs="宋体"/>
          <w:b/>
          <w:bCs/>
          <w:color w:val="auto"/>
          <w:kern w:val="0"/>
          <w:szCs w:val="36"/>
          <w:lang w:val="zh-CN"/>
        </w:rPr>
        <w:t>投标声明书</w:t>
      </w:r>
    </w:p>
    <w:p>
      <w:pPr>
        <w:spacing w:line="380" w:lineRule="exact"/>
        <w:jc w:val="left"/>
        <w:rPr>
          <w:rFonts w:hint="eastAsia" w:ascii="宋体" w:hAnsi="宋体" w:cs="宋体"/>
          <w:color w:val="auto"/>
          <w:sz w:val="23"/>
          <w:szCs w:val="23"/>
        </w:rPr>
      </w:pPr>
      <w:r>
        <w:rPr>
          <w:rFonts w:hint="eastAsia" w:ascii="宋体" w:hAnsi="宋体" w:cs="宋体"/>
          <w:color w:val="auto"/>
          <w:sz w:val="24"/>
        </w:rPr>
        <w:t>仙居县政府采购中心：</w:t>
      </w:r>
    </w:p>
    <w:p>
      <w:pPr>
        <w:pStyle w:val="23"/>
        <w:spacing w:line="380" w:lineRule="exact"/>
        <w:ind w:firstLine="597" w:firstLineChars="249"/>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系中华人民共和国合法企业，经营地址</w:t>
      </w:r>
      <w:r>
        <w:rPr>
          <w:rFonts w:hint="eastAsia" w:hAnsi="宋体" w:cs="宋体"/>
          <w:color w:val="auto"/>
          <w:sz w:val="24"/>
          <w:u w:val="single"/>
        </w:rPr>
        <w:t xml:space="preserve">                              </w:t>
      </w:r>
      <w:r>
        <w:rPr>
          <w:rFonts w:hint="eastAsia" w:hAnsi="宋体" w:cs="宋体"/>
          <w:color w:val="auto"/>
          <w:sz w:val="24"/>
        </w:rPr>
        <w:t>。</w:t>
      </w:r>
    </w:p>
    <w:p>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系上述企业的法定代表人（或营业执照中明确的负责人），我方愿意参加贵方组织的</w:t>
      </w:r>
      <w:r>
        <w:rPr>
          <w:rFonts w:hint="eastAsia" w:ascii="宋体" w:hAnsi="宋体" w:cs="宋体"/>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项目名称</w:t>
      </w:r>
      <w:r>
        <w:rPr>
          <w:rFonts w:hint="eastAsia" w:ascii="宋体" w:hAnsi="宋体" w:cs="宋体"/>
          <w:color w:val="auto"/>
          <w:sz w:val="24"/>
          <w:u w:val="single"/>
          <w:lang w:eastAsia="zh-CN"/>
        </w:rPr>
        <w:t>）</w:t>
      </w:r>
      <w:r>
        <w:rPr>
          <w:rFonts w:hint="eastAsia" w:ascii="宋体" w:hAnsi="宋体" w:cs="宋体"/>
          <w:b/>
          <w:color w:val="auto"/>
          <w:sz w:val="24"/>
          <w:u w:val="single"/>
        </w:rPr>
        <w:t xml:space="preserve">                 </w:t>
      </w:r>
      <w:r>
        <w:rPr>
          <w:rFonts w:hint="eastAsia" w:ascii="宋体" w:hAnsi="宋体" w:cs="宋体"/>
          <w:color w:val="auto"/>
          <w:sz w:val="24"/>
        </w:rPr>
        <w:t>的投标。为此，我方就本次投标有关事项郑重承诺如下：</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3、若中标，我方将按招标文件规定履行合同责任和义务。</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4、我方不是采购人的附属机构；在获知本项目采购信息后，与采购人聘请的为此项目提供咨询服务的公司及其附属机构没有任何联系。</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5、投标文件自开标日起有效期为90天。</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7、</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8、以上事项如有虚假或隐瞒，我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pPr>
        <w:spacing w:line="380" w:lineRule="exact"/>
        <w:ind w:firstLine="240" w:firstLineChars="1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pPr>
        <w:spacing w:line="380" w:lineRule="exact"/>
        <w:ind w:firstLine="240" w:firstLineChars="1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pPr>
        <w:spacing w:line="380" w:lineRule="exact"/>
        <w:jc w:val="left"/>
        <w:rPr>
          <w:rFonts w:hint="eastAsia" w:ascii="宋体" w:hAnsi="宋体" w:cs="宋体"/>
          <w:color w:val="auto"/>
          <w:sz w:val="24"/>
        </w:rPr>
      </w:pPr>
      <w:r>
        <w:rPr>
          <w:rFonts w:hint="eastAsia" w:ascii="宋体" w:hAnsi="宋体" w:cs="宋体"/>
          <w:color w:val="auto"/>
          <w:sz w:val="24"/>
        </w:rPr>
        <w:t> </w:t>
      </w: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投标人 (盖单位章)：</w:t>
      </w:r>
    </w:p>
    <w:p>
      <w:pPr>
        <w:spacing w:line="380" w:lineRule="exact"/>
        <w:ind w:firstLine="2640" w:firstLineChars="1100"/>
        <w:jc w:val="left"/>
        <w:rPr>
          <w:rFonts w:hint="eastAsia" w:ascii="宋体" w:hAnsi="宋体" w:cs="宋体"/>
          <w:color w:val="auto"/>
          <w:sz w:val="24"/>
        </w:rPr>
      </w:pPr>
    </w:p>
    <w:p>
      <w:pPr>
        <w:spacing w:line="380" w:lineRule="exact"/>
        <w:ind w:firstLine="2640" w:firstLineChars="1100"/>
        <w:jc w:val="left"/>
        <w:rPr>
          <w:rFonts w:hint="eastAsia" w:ascii="宋体" w:hAnsi="宋体" w:cs="宋体"/>
          <w:color w:val="auto"/>
          <w:sz w:val="23"/>
          <w:szCs w:val="23"/>
        </w:rPr>
      </w:pPr>
      <w:r>
        <w:rPr>
          <w:rFonts w:hint="eastAsia" w:ascii="宋体" w:hAnsi="宋体" w:cs="宋体"/>
          <w:color w:val="auto"/>
          <w:sz w:val="24"/>
        </w:rPr>
        <w:t>法定代表人或全权代表(盖章或签字)：</w:t>
      </w:r>
    </w:p>
    <w:p>
      <w:pPr>
        <w:spacing w:line="380" w:lineRule="exact"/>
        <w:jc w:val="left"/>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日　期：</w:t>
      </w:r>
    </w:p>
    <w:p>
      <w:pPr>
        <w:spacing w:line="380" w:lineRule="exact"/>
        <w:ind w:firstLine="361" w:firstLineChars="150"/>
        <w:rPr>
          <w:rFonts w:hint="eastAsia" w:ascii="宋体" w:hAnsi="宋体" w:cs="宋体"/>
          <w:b/>
          <w:bCs/>
          <w:color w:val="auto"/>
          <w:sz w:val="24"/>
        </w:rPr>
      </w:pPr>
    </w:p>
    <w:p>
      <w:pPr>
        <w:spacing w:line="380" w:lineRule="exact"/>
        <w:ind w:firstLine="361" w:firstLineChars="150"/>
        <w:rPr>
          <w:rFonts w:hint="eastAsia" w:ascii="宋体" w:hAnsi="宋体" w:cs="宋体"/>
          <w:b/>
          <w:bCs/>
          <w:color w:val="auto"/>
          <w:sz w:val="24"/>
        </w:rPr>
      </w:pPr>
    </w:p>
    <w:p>
      <w:pPr>
        <w:spacing w:line="380" w:lineRule="exact"/>
        <w:ind w:firstLine="361" w:firstLineChars="150"/>
        <w:rPr>
          <w:rFonts w:hint="eastAsia" w:ascii="宋体" w:hAnsi="宋体" w:cs="宋体"/>
          <w:b/>
          <w:bCs/>
          <w:color w:val="auto"/>
          <w:sz w:val="24"/>
        </w:rPr>
      </w:pPr>
      <w:r>
        <w:rPr>
          <w:rFonts w:hint="eastAsia" w:ascii="宋体" w:hAnsi="宋体" w:cs="宋体"/>
          <w:b/>
          <w:bCs/>
          <w:color w:val="auto"/>
          <w:sz w:val="24"/>
        </w:rPr>
        <w:t>注：▲必须按照本声明书要求填报。</w:t>
      </w:r>
    </w:p>
    <w:p>
      <w:pPr>
        <w:spacing w:line="360" w:lineRule="auto"/>
        <w:rPr>
          <w:rFonts w:hint="eastAsia" w:ascii="宋体" w:hAnsi="宋体" w:cs="宋体"/>
          <w:b/>
          <w:color w:val="auto"/>
          <w:sz w:val="24"/>
        </w:rPr>
      </w:pPr>
      <w:r>
        <w:rPr>
          <w:rFonts w:hint="eastAsia" w:ascii="宋体" w:hAnsi="宋体" w:cs="宋体"/>
          <w:b/>
          <w:bCs/>
          <w:color w:val="auto"/>
          <w:kern w:val="0"/>
          <w:szCs w:val="36"/>
          <w:lang w:val="zh-CN"/>
        </w:rPr>
        <w:br w:type="page"/>
      </w:r>
      <w:r>
        <w:rPr>
          <w:rFonts w:hint="eastAsia" w:ascii="宋体" w:hAnsi="宋体" w:cs="宋体"/>
          <w:b/>
          <w:color w:val="auto"/>
          <w:sz w:val="28"/>
          <w:szCs w:val="28"/>
        </w:rPr>
        <w:t>附件三：</w:t>
      </w:r>
      <w:r>
        <w:rPr>
          <w:rFonts w:hint="eastAsia" w:ascii="宋体" w:hAnsi="宋体" w:cs="宋体"/>
          <w:b/>
          <w:color w:val="auto"/>
          <w:sz w:val="24"/>
        </w:rPr>
        <w:t xml:space="preserve">                  </w:t>
      </w:r>
    </w:p>
    <w:p>
      <w:pPr>
        <w:spacing w:line="360" w:lineRule="auto"/>
        <w:jc w:val="center"/>
        <w:rPr>
          <w:rFonts w:hint="eastAsia" w:ascii="宋体" w:hAnsi="宋体" w:cs="宋体"/>
          <w:color w:val="auto"/>
          <w:szCs w:val="36"/>
        </w:rPr>
      </w:pPr>
      <w:r>
        <w:rPr>
          <w:rFonts w:hint="eastAsia" w:ascii="宋体" w:hAnsi="宋体" w:cs="宋体"/>
          <w:b/>
          <w:color w:val="auto"/>
          <w:szCs w:val="36"/>
        </w:rPr>
        <w:t>授权委托书</w:t>
      </w:r>
    </w:p>
    <w:p>
      <w:pPr>
        <w:pStyle w:val="23"/>
        <w:spacing w:line="500" w:lineRule="exact"/>
        <w:rPr>
          <w:rFonts w:hint="eastAsia" w:hAnsi="宋体" w:cs="宋体"/>
          <w:b/>
          <w:color w:val="auto"/>
          <w:sz w:val="24"/>
        </w:rPr>
      </w:pPr>
      <w:r>
        <w:rPr>
          <w:rFonts w:hint="eastAsia" w:hAnsi="宋体" w:cs="宋体"/>
          <w:b/>
          <w:color w:val="auto"/>
          <w:sz w:val="24"/>
          <w:u w:val="single"/>
        </w:rPr>
        <w:t xml:space="preserve">仙居县政府采购中心 </w:t>
      </w:r>
      <w:r>
        <w:rPr>
          <w:rFonts w:hint="eastAsia" w:hAnsi="宋体" w:cs="宋体"/>
          <w:b/>
          <w:color w:val="auto"/>
          <w:sz w:val="24"/>
        </w:rPr>
        <w:t>：</w:t>
      </w:r>
    </w:p>
    <w:p>
      <w:pPr>
        <w:pStyle w:val="23"/>
        <w:spacing w:before="60" w:after="60" w:line="500" w:lineRule="exact"/>
        <w:ind w:firstLine="480" w:firstLineChars="200"/>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法定代表人（或营业执照中单位负责人）</w:t>
      </w:r>
      <w:r>
        <w:rPr>
          <w:rFonts w:hint="eastAsia" w:hAnsi="宋体" w:cs="宋体"/>
          <w:color w:val="auto"/>
          <w:sz w:val="24"/>
          <w:u w:val="single"/>
        </w:rPr>
        <w:tab/>
      </w:r>
      <w:r>
        <w:rPr>
          <w:rFonts w:hint="eastAsia" w:hAnsi="宋体" w:cs="宋体"/>
          <w:color w:val="auto"/>
          <w:sz w:val="24"/>
          <w:u w:val="single"/>
        </w:rPr>
        <w:t xml:space="preserve">（法定代表人或营业执照中单位负责人姓名） </w:t>
      </w:r>
      <w:r>
        <w:rPr>
          <w:rFonts w:hint="eastAsia" w:hAnsi="宋体" w:cs="宋体"/>
          <w:color w:val="auto"/>
          <w:sz w:val="24"/>
        </w:rPr>
        <w:t>授权</w:t>
      </w:r>
      <w:r>
        <w:rPr>
          <w:rFonts w:hint="eastAsia" w:hAnsi="宋体" w:cs="宋体"/>
          <w:color w:val="auto"/>
          <w:sz w:val="24"/>
          <w:u w:val="single"/>
        </w:rPr>
        <w:t xml:space="preserve">   （全权代表姓名） </w:t>
      </w:r>
      <w:r>
        <w:rPr>
          <w:rFonts w:hint="eastAsia" w:hAnsi="宋体" w:cs="宋体"/>
          <w:color w:val="auto"/>
          <w:sz w:val="24"/>
        </w:rPr>
        <w:t>为全权代表，参加贵单位组织的</w:t>
      </w:r>
      <w:r>
        <w:rPr>
          <w:rFonts w:hint="eastAsia" w:hAnsi="宋体" w:cs="宋体"/>
          <w:color w:val="auto"/>
          <w:sz w:val="24"/>
          <w:u w:val="single"/>
        </w:rPr>
        <w:tab/>
      </w:r>
      <w:r>
        <w:rPr>
          <w:rFonts w:hint="eastAsia" w:hAnsi="宋体" w:cs="宋体"/>
          <w:color w:val="auto"/>
          <w:sz w:val="24"/>
          <w:u w:val="single"/>
          <w:lang w:eastAsia="zh-CN"/>
        </w:rPr>
        <w:t>XJCG-2019-GK006仙居县2019年雪亮工程服务</w:t>
      </w:r>
      <w:r>
        <w:rPr>
          <w:rFonts w:hint="eastAsia" w:hAnsi="宋体" w:cs="宋体"/>
          <w:color w:val="auto"/>
          <w:sz w:val="24"/>
          <w:u w:val="single"/>
        </w:rPr>
        <w:t xml:space="preserve"> </w:t>
      </w:r>
      <w:r>
        <w:rPr>
          <w:rFonts w:hint="eastAsia" w:hAnsi="宋体" w:cs="宋体"/>
          <w:b/>
          <w:color w:val="auto"/>
          <w:sz w:val="24"/>
          <w:u w:val="single"/>
        </w:rPr>
        <w:t xml:space="preserve"> </w:t>
      </w:r>
      <w:r>
        <w:rPr>
          <w:rFonts w:hint="eastAsia" w:hAnsi="宋体" w:cs="宋体"/>
          <w:color w:val="auto"/>
          <w:sz w:val="24"/>
        </w:rPr>
        <w:t>项目的采购活动，并代表我方全权办理针对上述项目的投标、开标、评标、签约等具体事务和签署相关文件。我方对全权代表的签名事项负全部责任。</w:t>
      </w:r>
    </w:p>
    <w:p>
      <w:pPr>
        <w:pStyle w:val="23"/>
        <w:spacing w:before="60" w:after="60" w:line="500" w:lineRule="exact"/>
        <w:ind w:firstLine="480" w:firstLineChars="200"/>
        <w:rPr>
          <w:rFonts w:hint="eastAsia"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23"/>
        <w:spacing w:before="60" w:after="60" w:line="500" w:lineRule="exact"/>
        <w:ind w:firstLine="480" w:firstLineChars="200"/>
        <w:rPr>
          <w:rFonts w:hint="eastAsia" w:hAnsi="宋体" w:cs="宋体"/>
          <w:color w:val="auto"/>
          <w:sz w:val="24"/>
        </w:rPr>
      </w:pPr>
      <w:r>
        <w:rPr>
          <w:rFonts w:hint="eastAsia" w:hAnsi="宋体" w:cs="宋体"/>
          <w:color w:val="auto"/>
          <w:sz w:val="24"/>
        </w:rPr>
        <w:t>全权代表无转委托权，特此委托。</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全权代表姓名：</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职务：</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w:t>
      </w:r>
    </w:p>
    <w:p>
      <w:pPr>
        <w:snapToGrid w:val="0"/>
        <w:spacing w:before="120" w:beforeLines="50" w:after="50" w:line="580" w:lineRule="exact"/>
        <w:rPr>
          <w:rFonts w:hint="eastAsia" w:ascii="宋体" w:hAnsi="宋体" w:cs="宋体"/>
          <w:color w:val="auto"/>
          <w:sz w:val="24"/>
          <w:szCs w:val="20"/>
          <w:u w:val="single"/>
        </w:rPr>
      </w:pPr>
      <w:r>
        <w:rPr>
          <w:rFonts w:hint="eastAsia" w:ascii="宋体" w:hAnsi="宋体" w:cs="宋体"/>
          <w:color w:val="auto"/>
          <w:sz w:val="24"/>
          <w:szCs w:val="20"/>
        </w:rPr>
        <w:t>全权代表身份证号码：</w:t>
      </w:r>
      <w:r>
        <w:rPr>
          <w:rFonts w:hint="eastAsia" w:ascii="宋体" w:hAnsi="宋体" w:cs="宋体"/>
          <w:color w:val="auto"/>
          <w:sz w:val="24"/>
          <w:szCs w:val="20"/>
          <w:u w:val="single"/>
        </w:rPr>
        <w:t xml:space="preserve">                           。                                             </w:t>
      </w:r>
      <w:r>
        <w:rPr>
          <w:rFonts w:hint="eastAsia" w:ascii="宋体" w:hAnsi="宋体" w:cs="宋体"/>
          <w:color w:val="auto"/>
          <w:sz w:val="24"/>
          <w:szCs w:val="20"/>
        </w:rPr>
        <w:t xml:space="preserve"> </w:t>
      </w:r>
    </w:p>
    <w:p>
      <w:pPr>
        <w:snapToGrid w:val="0"/>
        <w:spacing w:before="120" w:beforeLines="50" w:after="50" w:line="580" w:lineRule="exact"/>
        <w:rPr>
          <w:rFonts w:hint="eastAsia" w:ascii="宋体" w:hAnsi="宋体" w:cs="宋体"/>
          <w:color w:val="auto"/>
          <w:sz w:val="24"/>
          <w:szCs w:val="20"/>
        </w:rPr>
      </w:pPr>
    </w:p>
    <w:p>
      <w:pPr>
        <w:snapToGrid w:val="0"/>
        <w:spacing w:before="120" w:beforeLines="50" w:after="50" w:line="580" w:lineRule="exact"/>
        <w:rPr>
          <w:rFonts w:hint="eastAsia" w:ascii="宋体" w:hAnsi="宋体" w:cs="宋体"/>
          <w:b/>
          <w:bCs/>
          <w:color w:val="auto"/>
          <w:sz w:val="30"/>
          <w:szCs w:val="30"/>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职务：   </w:t>
      </w:r>
      <w:r>
        <w:rPr>
          <w:rFonts w:hint="eastAsia" w:ascii="宋体" w:hAnsi="宋体" w:cs="宋体"/>
          <w:b/>
          <w:bCs/>
          <w:color w:val="auto"/>
          <w:sz w:val="30"/>
          <w:szCs w:val="30"/>
        </w:rPr>
        <w:t xml:space="preserve">        </w:t>
      </w:r>
    </w:p>
    <w:p>
      <w:pPr>
        <w:snapToGrid w:val="0"/>
        <w:spacing w:before="120" w:beforeLines="50" w:after="50" w:line="460" w:lineRule="exact"/>
        <w:ind w:firstLine="6150" w:firstLineChars="2050"/>
        <w:rPr>
          <w:rFonts w:hint="eastAsia" w:ascii="宋体" w:hAnsi="宋体" w:cs="宋体"/>
          <w:color w:val="auto"/>
          <w:sz w:val="30"/>
          <w:szCs w:val="30"/>
        </w:rPr>
      </w:pPr>
    </w:p>
    <w:p>
      <w:pPr>
        <w:pStyle w:val="23"/>
        <w:spacing w:line="360" w:lineRule="auto"/>
        <w:rPr>
          <w:rFonts w:hint="eastAsia" w:hAnsi="宋体" w:cs="宋体"/>
          <w:b/>
          <w:bCs/>
          <w:color w:val="auto"/>
          <w:sz w:val="24"/>
        </w:rPr>
      </w:pPr>
    </w:p>
    <w:p>
      <w:pPr>
        <w:pStyle w:val="23"/>
        <w:spacing w:line="360" w:lineRule="auto"/>
        <w:rPr>
          <w:rFonts w:hint="eastAsia" w:hAnsi="宋体" w:cs="宋体"/>
          <w:b/>
          <w:color w:val="auto"/>
          <w:sz w:val="28"/>
          <w:szCs w:val="28"/>
        </w:rPr>
      </w:pPr>
      <w:r>
        <w:rPr>
          <w:rFonts w:hint="eastAsia" w:hAnsi="宋体" w:cs="宋体"/>
          <w:b/>
          <w:bCs/>
          <w:color w:val="auto"/>
          <w:sz w:val="24"/>
        </w:rPr>
        <w:t>投标人（盖单位章）：</w:t>
      </w:r>
      <w:r>
        <w:rPr>
          <w:rFonts w:hint="eastAsia" w:hAnsi="宋体" w:cs="宋体"/>
          <w:b/>
          <w:color w:val="auto"/>
          <w:sz w:val="28"/>
          <w:szCs w:val="28"/>
        </w:rPr>
        <w:t xml:space="preserve">                   </w:t>
      </w:r>
      <w:r>
        <w:rPr>
          <w:rFonts w:hint="eastAsia" w:hAnsi="宋体" w:cs="宋体"/>
          <w:b/>
          <w:bCs/>
          <w:color w:val="auto"/>
          <w:sz w:val="24"/>
        </w:rPr>
        <w:t>日 期：</w:t>
      </w: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39"/>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vanish/>
          <w:color w:val="auto"/>
        </w:rPr>
      </w:pPr>
    </w:p>
    <w:tbl>
      <w:tblPr>
        <w:tblStyle w:val="39"/>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szCs w:val="20"/>
        </w:rPr>
        <w:t>全权代表身份证复印件</w:t>
      </w:r>
    </w:p>
    <w:tbl>
      <w:tblPr>
        <w:tblStyle w:val="39"/>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vanish/>
          <w:color w:val="auto"/>
        </w:rPr>
      </w:pPr>
    </w:p>
    <w:tbl>
      <w:tblPr>
        <w:tblStyle w:val="39"/>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b/>
          <w:color w:val="auto"/>
          <w:sz w:val="24"/>
        </w:rPr>
      </w:pPr>
      <w:r>
        <w:rPr>
          <w:rFonts w:hint="eastAsia" w:ascii="宋体" w:hAnsi="宋体" w:cs="宋体"/>
          <w:color w:val="auto"/>
          <w:sz w:val="24"/>
          <w:szCs w:val="20"/>
          <w:lang w:val="zh-CN"/>
        </w:rPr>
        <w:br w:type="page"/>
      </w:r>
      <w:r>
        <w:rPr>
          <w:rFonts w:hint="eastAsia" w:ascii="宋体" w:hAnsi="宋体" w:cs="宋体"/>
          <w:b/>
          <w:color w:val="auto"/>
          <w:sz w:val="28"/>
          <w:szCs w:val="28"/>
        </w:rPr>
        <w:t>附件四：</w:t>
      </w:r>
    </w:p>
    <w:p>
      <w:pPr>
        <w:snapToGrid w:val="0"/>
        <w:spacing w:before="120" w:beforeLines="50" w:after="50"/>
        <w:jc w:val="right"/>
        <w:rPr>
          <w:rFonts w:hint="eastAsia" w:ascii="宋体" w:hAnsi="宋体" w:cs="宋体"/>
          <w:bCs/>
          <w:color w:val="auto"/>
          <w:sz w:val="30"/>
          <w:szCs w:val="30"/>
        </w:rPr>
      </w:pPr>
      <w:r>
        <w:rPr>
          <w:rFonts w:hint="eastAsia" w:ascii="宋体" w:hAnsi="宋体" w:cs="宋体"/>
          <w:b/>
          <w:color w:val="auto"/>
          <w:sz w:val="28"/>
          <w:szCs w:val="28"/>
        </w:rPr>
        <w:t>正本或副本</w:t>
      </w:r>
      <w:r>
        <w:rPr>
          <w:rFonts w:hint="eastAsia" w:ascii="宋体" w:hAnsi="宋体" w:cs="宋体"/>
          <w:color w:val="auto"/>
          <w:sz w:val="30"/>
          <w:szCs w:val="30"/>
        </w:rPr>
        <w:t xml:space="preserve">                                            </w:t>
      </w:r>
    </w:p>
    <w:p>
      <w:pPr>
        <w:ind w:right="-110"/>
        <w:jc w:val="center"/>
        <w:rPr>
          <w:rFonts w:hint="eastAsia" w:ascii="宋体" w:hAnsi="宋体" w:cs="宋体"/>
          <w:color w:val="auto"/>
          <w:spacing w:val="40"/>
          <w:szCs w:val="36"/>
        </w:rPr>
      </w:pPr>
      <w:r>
        <w:rPr>
          <w:rFonts w:hint="eastAsia" w:ascii="宋体" w:hAnsi="宋体" w:cs="宋体"/>
          <w:color w:val="auto"/>
          <w:spacing w:val="40"/>
          <w:szCs w:val="36"/>
        </w:rPr>
        <w:t>项目名称</w:t>
      </w:r>
    </w:p>
    <w:p>
      <w:pPr>
        <w:spacing w:before="240" w:beforeLines="100" w:line="240" w:lineRule="atLeast"/>
        <w:jc w:val="center"/>
        <w:rPr>
          <w:rFonts w:hint="eastAsia" w:ascii="宋体" w:hAnsi="宋体" w:cs="宋体"/>
          <w:color w:val="auto"/>
          <w:szCs w:val="36"/>
        </w:rPr>
      </w:pPr>
      <w:r>
        <w:rPr>
          <w:rFonts w:hint="eastAsia" w:ascii="宋体" w:hAnsi="宋体" w:cs="宋体"/>
          <w:color w:val="auto"/>
          <w:szCs w:val="36"/>
        </w:rPr>
        <w:t>项目编号（标项  ）</w:t>
      </w:r>
    </w:p>
    <w:p>
      <w:pPr>
        <w:spacing w:after="100" w:afterAutospacing="1" w:line="800" w:lineRule="exact"/>
        <w:ind w:right="-108"/>
        <w:jc w:val="center"/>
        <w:rPr>
          <w:rFonts w:hint="eastAsia" w:ascii="宋体" w:hAnsi="宋体" w:cs="宋体"/>
          <w:b/>
          <w:color w:val="auto"/>
          <w:spacing w:val="40"/>
          <w:sz w:val="84"/>
          <w:szCs w:val="84"/>
        </w:rPr>
      </w:pP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hint="eastAsia" w:ascii="宋体" w:hAnsi="宋体" w:cs="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hint="eastAsia" w:ascii="宋体" w:hAnsi="宋体" w:cs="宋体"/>
          <w:b/>
          <w:bCs/>
          <w:color w:val="auto"/>
          <w:spacing w:val="40"/>
          <w:szCs w:val="36"/>
        </w:rPr>
      </w:pPr>
      <w:r>
        <w:rPr>
          <w:rFonts w:hint="eastAsia" w:ascii="宋体" w:hAnsi="宋体" w:cs="宋体"/>
          <w:b/>
          <w:bCs/>
          <w:color w:val="auto"/>
          <w:szCs w:val="36"/>
          <w:lang w:val="zh-CN"/>
        </w:rPr>
        <w:t>（</w:t>
      </w:r>
      <w:r>
        <w:rPr>
          <w:rFonts w:hint="eastAsia" w:ascii="宋体" w:hAnsi="宋体" w:cs="宋体"/>
          <w:b/>
          <w:bCs/>
          <w:color w:val="auto"/>
          <w:spacing w:val="40"/>
          <w:szCs w:val="36"/>
        </w:rPr>
        <w:t>商务与技术文件）</w:t>
      </w:r>
    </w:p>
    <w:p>
      <w:pPr>
        <w:spacing w:before="60" w:after="60" w:line="360" w:lineRule="auto"/>
        <w:ind w:right="532" w:firstLine="720" w:firstLineChars="200"/>
        <w:rPr>
          <w:rFonts w:hint="eastAsia" w:ascii="宋体" w:hAnsi="宋体" w:cs="宋体"/>
          <w:color w:val="auto"/>
          <w:szCs w:val="36"/>
        </w:rPr>
      </w:pPr>
      <w:r>
        <w:rPr>
          <w:rFonts w:hint="eastAsia" w:ascii="宋体" w:hAnsi="宋体" w:cs="宋体"/>
          <w:color w:val="auto"/>
          <w:szCs w:val="36"/>
        </w:rPr>
        <w:t>投标人（盖单位章）：</w:t>
      </w:r>
    </w:p>
    <w:p>
      <w:pPr>
        <w:spacing w:before="60" w:after="60" w:line="360" w:lineRule="auto"/>
        <w:ind w:right="532" w:firstLine="720" w:firstLineChars="200"/>
        <w:rPr>
          <w:rFonts w:hint="eastAsia" w:ascii="宋体" w:hAnsi="宋体" w:cs="宋体"/>
          <w:color w:val="auto"/>
          <w:szCs w:val="36"/>
        </w:rPr>
      </w:pPr>
      <w:r>
        <w:rPr>
          <w:rFonts w:hint="eastAsia" w:ascii="宋体" w:hAnsi="宋体" w:cs="宋体"/>
          <w:color w:val="auto"/>
          <w:szCs w:val="36"/>
        </w:rPr>
        <w:t>地    址：</w:t>
      </w:r>
    </w:p>
    <w:p>
      <w:pPr>
        <w:snapToGrid w:val="0"/>
        <w:spacing w:before="50" w:after="50" w:line="360" w:lineRule="auto"/>
        <w:ind w:firstLine="720" w:firstLineChars="200"/>
        <w:rPr>
          <w:rFonts w:hint="eastAsia" w:ascii="宋体" w:hAnsi="宋体" w:cs="宋体"/>
          <w:b/>
          <w:bCs/>
          <w:color w:val="auto"/>
          <w:sz w:val="32"/>
          <w:szCs w:val="32"/>
        </w:rPr>
      </w:pPr>
      <w:r>
        <w:rPr>
          <w:rFonts w:hint="eastAsia" w:ascii="宋体" w:hAnsi="宋体" w:cs="宋体"/>
          <w:color w:val="auto"/>
          <w:szCs w:val="36"/>
        </w:rPr>
        <w:t>时    间：</w:t>
      </w:r>
      <w:r>
        <w:rPr>
          <w:rFonts w:hint="eastAsia" w:ascii="宋体" w:hAnsi="宋体" w:cs="宋体"/>
          <w:b/>
          <w:bCs/>
          <w:color w:val="auto"/>
          <w:kern w:val="0"/>
          <w:szCs w:val="36"/>
          <w:lang w:val="zh-CN"/>
        </w:rPr>
        <w:br w:type="page"/>
      </w:r>
      <w:r>
        <w:rPr>
          <w:rFonts w:hint="eastAsia" w:ascii="宋体" w:hAnsi="宋体" w:cs="宋体"/>
          <w:b/>
          <w:bCs/>
          <w:color w:val="auto"/>
          <w:kern w:val="0"/>
          <w:szCs w:val="36"/>
        </w:rPr>
        <w:t xml:space="preserve">                  </w:t>
      </w:r>
      <w:r>
        <w:rPr>
          <w:rFonts w:hint="eastAsia" w:ascii="宋体" w:hAnsi="宋体" w:cs="宋体"/>
          <w:b/>
          <w:bCs/>
          <w:color w:val="auto"/>
          <w:sz w:val="32"/>
          <w:szCs w:val="32"/>
          <w:lang w:val="zh-CN"/>
        </w:rPr>
        <w:t>商务与技术文件</w:t>
      </w:r>
      <w:r>
        <w:rPr>
          <w:rFonts w:hint="eastAsia" w:ascii="宋体" w:hAnsi="宋体" w:cs="宋体"/>
          <w:b/>
          <w:bCs/>
          <w:color w:val="auto"/>
          <w:sz w:val="32"/>
          <w:szCs w:val="32"/>
        </w:rPr>
        <w:t>目录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1、评分对应表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2、投标人情况介绍</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olor w:val="auto"/>
          <w:sz w:val="24"/>
        </w:rPr>
        <w:t>对本项目采购需求的理解、</w:t>
      </w:r>
      <w:r>
        <w:rPr>
          <w:rFonts w:hint="eastAsia" w:ascii="宋体" w:hAnsi="宋体"/>
          <w:color w:val="auto"/>
          <w:sz w:val="24"/>
          <w:lang w:val="en-US" w:eastAsia="zh-CN"/>
        </w:rPr>
        <w:t>项目服务</w:t>
      </w:r>
      <w:r>
        <w:rPr>
          <w:rFonts w:hint="eastAsia" w:ascii="宋体" w:hAnsi="宋体"/>
          <w:color w:val="auto"/>
          <w:sz w:val="24"/>
        </w:rPr>
        <w:t>方案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4、项目组织实施方案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b w:val="0"/>
          <w:bCs w:val="0"/>
          <w:color w:val="auto"/>
          <w:sz w:val="24"/>
        </w:rPr>
        <w:t>拟投入的</w:t>
      </w:r>
      <w:r>
        <w:rPr>
          <w:rFonts w:hint="eastAsia" w:ascii="宋体" w:hAnsi="宋体" w:cs="宋体"/>
          <w:b w:val="0"/>
          <w:bCs w:val="0"/>
          <w:color w:val="auto"/>
          <w:sz w:val="24"/>
          <w:lang w:val="en-US" w:eastAsia="zh-CN"/>
        </w:rPr>
        <w:t>主要</w:t>
      </w:r>
      <w:r>
        <w:rPr>
          <w:rFonts w:hint="eastAsia" w:ascii="宋体" w:hAnsi="宋体" w:cs="宋体"/>
          <w:b w:val="0"/>
          <w:bCs w:val="0"/>
          <w:color w:val="auto"/>
          <w:sz w:val="24"/>
        </w:rPr>
        <w:t>软硬件设备</w:t>
      </w:r>
      <w:r>
        <w:rPr>
          <w:rFonts w:hint="eastAsia" w:ascii="宋体" w:hAnsi="宋体" w:cs="宋体"/>
          <w:b w:val="0"/>
          <w:bCs w:val="0"/>
          <w:color w:val="auto"/>
          <w:sz w:val="24"/>
          <w:lang w:eastAsia="zh-CN"/>
        </w:rPr>
        <w:t>情况</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、商务响应表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、其他资料（如有）</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注：以上内容相关要求见“第二章投标人须知”中“投标文件”组成内容。</w:t>
      </w:r>
    </w:p>
    <w:p>
      <w:pPr>
        <w:snapToGrid w:val="0"/>
        <w:spacing w:before="50"/>
        <w:jc w:val="left"/>
        <w:rPr>
          <w:rFonts w:hint="eastAsia" w:ascii="宋体" w:hAnsi="宋体" w:cs="宋体"/>
          <w:color w:val="auto"/>
          <w:sz w:val="30"/>
          <w:szCs w:val="30"/>
        </w:rPr>
      </w:pPr>
      <w:r>
        <w:rPr>
          <w:rFonts w:hint="eastAsia" w:ascii="宋体" w:hAnsi="宋体" w:cs="宋体"/>
          <w:b/>
          <w:bCs/>
          <w:color w:val="auto"/>
          <w:kern w:val="0"/>
          <w:szCs w:val="36"/>
          <w:lang w:val="zh-CN"/>
        </w:rPr>
        <w:br w:type="page"/>
      </w:r>
      <w:r>
        <w:rPr>
          <w:rFonts w:hint="eastAsia" w:ascii="宋体" w:hAnsi="宋体" w:cs="宋体"/>
          <w:b/>
          <w:bCs/>
          <w:color w:val="auto"/>
          <w:sz w:val="28"/>
          <w:szCs w:val="28"/>
        </w:rPr>
        <w:t>附件五：</w:t>
      </w:r>
    </w:p>
    <w:p>
      <w:pPr>
        <w:snapToGrid w:val="0"/>
        <w:spacing w:before="50" w:after="50"/>
        <w:jc w:val="center"/>
        <w:rPr>
          <w:rFonts w:hint="eastAsia" w:ascii="宋体" w:hAnsi="宋体" w:cs="宋体"/>
          <w:b/>
          <w:color w:val="auto"/>
          <w:sz w:val="32"/>
          <w:szCs w:val="32"/>
        </w:rPr>
      </w:pPr>
      <w:r>
        <w:rPr>
          <w:rFonts w:hint="eastAsia" w:ascii="宋体" w:hAnsi="宋体" w:cs="宋体"/>
          <w:b/>
          <w:color w:val="auto"/>
          <w:sz w:val="32"/>
          <w:szCs w:val="32"/>
        </w:rPr>
        <w:t>评分对应表</w:t>
      </w:r>
    </w:p>
    <w:p>
      <w:pPr>
        <w:pStyle w:val="13"/>
        <w:snapToGrid w:val="0"/>
        <w:rPr>
          <w:rFonts w:hint="eastAsia" w:ascii="宋体" w:hAnsi="宋体" w:eastAsia="宋体" w:cs="宋体"/>
          <w:color w:val="auto"/>
          <w:sz w:val="30"/>
          <w:szCs w:val="30"/>
          <w:u w:val="single"/>
        </w:rPr>
      </w:pPr>
      <w:r>
        <w:rPr>
          <w:rFonts w:hint="eastAsia" w:ascii="宋体" w:hAnsi="宋体" w:eastAsia="宋体" w:cs="宋体"/>
          <w:color w:val="auto"/>
          <w:sz w:val="30"/>
          <w:szCs w:val="30"/>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30"/>
          <w:szCs w:val="30"/>
          <w:u w:val="single"/>
        </w:rPr>
        <w:t xml:space="preserve">           </w:t>
      </w:r>
    </w:p>
    <w:tbl>
      <w:tblPr>
        <w:tblStyle w:val="39"/>
        <w:tblW w:w="0" w:type="auto"/>
        <w:tblInd w:w="1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9"/>
        <w:gridCol w:w="29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color w:val="auto"/>
                <w:sz w:val="24"/>
              </w:rPr>
            </w:pPr>
            <w:r>
              <w:rPr>
                <w:rFonts w:hint="eastAsia" w:ascii="宋体" w:hAnsi="宋体" w:cs="宋体"/>
                <w:color w:val="auto"/>
                <w:sz w:val="24"/>
              </w:rPr>
              <w:t>评分项目</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color w:val="auto"/>
                <w:sz w:val="24"/>
              </w:rPr>
            </w:pPr>
            <w:r>
              <w:rPr>
                <w:rFonts w:hint="eastAsia" w:ascii="宋体" w:hAnsi="宋体" w:cs="宋体"/>
                <w:color w:val="auto"/>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60" w:lineRule="exact"/>
              <w:rPr>
                <w:rFonts w:hint="eastAsia" w:ascii="宋体" w:hAnsi="宋体" w:cs="宋体"/>
                <w:color w:val="auto"/>
                <w:sz w:val="24"/>
              </w:rPr>
            </w:pPr>
            <w:r>
              <w:rPr>
                <w:rFonts w:hint="eastAsia" w:ascii="宋体" w:hAnsi="宋体" w:cs="宋体"/>
                <w:color w:val="auto"/>
                <w:sz w:val="24"/>
              </w:rPr>
              <w:t>对应第三章评分办法及评分标准（报价除外）</w:t>
            </w: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 w:val="24"/>
              </w:rPr>
            </w:pPr>
            <w:r>
              <w:rPr>
                <w:rFonts w:hint="eastAsia" w:ascii="宋体" w:hAnsi="宋体" w:cs="宋体"/>
                <w:color w:val="auto"/>
                <w:sz w:val="24"/>
              </w:rPr>
              <w:t>……</w:t>
            </w: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rPr>
            </w:pP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rPr>
            </w:pP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rPr>
            </w:pP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rPr>
            </w:pP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rPr>
            </w:pP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rPr>
            </w:pP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2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s="宋体"/>
                <w:color w:val="auto"/>
                <w:sz w:val="24"/>
              </w:rPr>
            </w:pPr>
          </w:p>
        </w:tc>
        <w:tc>
          <w:tcPr>
            <w:tcW w:w="29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bl>
    <w:p>
      <w:pPr>
        <w:snapToGrid w:val="0"/>
        <w:spacing w:before="120" w:beforeLines="50"/>
        <w:rPr>
          <w:rFonts w:hint="eastAsia" w:ascii="宋体" w:hAnsi="宋体" w:cs="宋体"/>
          <w:color w:val="auto"/>
          <w:sz w:val="30"/>
          <w:szCs w:val="30"/>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投标人（盖单位章）：</w:t>
      </w:r>
    </w:p>
    <w:p>
      <w:pPr>
        <w:pStyle w:val="23"/>
        <w:spacing w:line="560" w:lineRule="exact"/>
        <w:rPr>
          <w:rFonts w:hint="eastAsia" w:hAnsi="宋体" w:cs="宋体"/>
          <w:color w:val="auto"/>
          <w:sz w:val="24"/>
          <w:lang w:val="zh-CN"/>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法定代表人或全权代表（盖章或签字）：</w:t>
      </w:r>
    </w:p>
    <w:p>
      <w:pPr>
        <w:pStyle w:val="23"/>
        <w:spacing w:line="560" w:lineRule="exact"/>
        <w:rPr>
          <w:rFonts w:hint="eastAsia" w:hAnsi="宋体" w:cs="宋体"/>
          <w:color w:val="auto"/>
          <w:sz w:val="24"/>
          <w:lang w:val="zh-CN"/>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napToGrid w:val="0"/>
        <w:spacing w:before="120" w:beforeLines="50"/>
        <w:rPr>
          <w:rFonts w:hint="eastAsia" w:ascii="宋体" w:hAnsi="宋体" w:cs="宋体"/>
          <w:color w:val="auto"/>
          <w:sz w:val="30"/>
          <w:szCs w:val="30"/>
          <w:u w:val="single"/>
        </w:rPr>
      </w:pPr>
      <w:r>
        <w:rPr>
          <w:rFonts w:hint="eastAsia" w:ascii="宋体" w:hAnsi="宋体" w:cs="宋体"/>
          <w:color w:val="auto"/>
          <w:sz w:val="30"/>
          <w:szCs w:val="30"/>
          <w:u w:val="single"/>
        </w:rPr>
        <w:t xml:space="preserve">         </w:t>
      </w:r>
    </w:p>
    <w:p>
      <w:pPr>
        <w:snapToGrid w:val="0"/>
        <w:spacing w:before="50" w:after="120" w:afterLines="50"/>
        <w:jc w:val="left"/>
        <w:rPr>
          <w:rFonts w:hint="eastAsia" w:ascii="宋体" w:hAnsi="宋体" w:cs="宋体"/>
          <w:color w:val="auto"/>
          <w:sz w:val="30"/>
          <w:szCs w:val="30"/>
        </w:rPr>
      </w:pPr>
    </w:p>
    <w:p>
      <w:pPr>
        <w:spacing w:before="60" w:after="60" w:line="360" w:lineRule="auto"/>
        <w:ind w:firstLine="723" w:firstLineChars="200"/>
        <w:jc w:val="left"/>
        <w:rPr>
          <w:rFonts w:hint="eastAsia" w:ascii="宋体" w:hAnsi="宋体" w:cs="宋体"/>
          <w:b/>
          <w:bCs/>
          <w:color w:val="auto"/>
          <w:kern w:val="0"/>
          <w:szCs w:val="36"/>
          <w:lang w:val="zh-CN"/>
        </w:rPr>
        <w:sectPr>
          <w:pgSz w:w="11906" w:h="16838"/>
          <w:pgMar w:top="1440" w:right="1440" w:bottom="1440" w:left="1440" w:header="851" w:footer="992" w:gutter="0"/>
          <w:cols w:space="720" w:num="1"/>
          <w:docGrid w:linePitch="312" w:charSpace="0"/>
        </w:sectPr>
      </w:pP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附件六：</w:t>
      </w:r>
    </w:p>
    <w:p>
      <w:pPr>
        <w:snapToGrid w:val="0"/>
        <w:spacing w:before="120" w:beforeLines="50" w:after="50" w:line="360" w:lineRule="auto"/>
        <w:jc w:val="center"/>
        <w:rPr>
          <w:rFonts w:hint="eastAsia" w:ascii="宋体" w:hAnsi="宋体" w:cs="宋体"/>
          <w:b/>
          <w:color w:val="auto"/>
          <w:sz w:val="32"/>
          <w:szCs w:val="32"/>
        </w:rPr>
      </w:pPr>
      <w:r>
        <w:rPr>
          <w:rFonts w:hint="eastAsia" w:ascii="宋体" w:hAnsi="宋体" w:cs="宋体"/>
          <w:b/>
          <w:color w:val="auto"/>
          <w:sz w:val="32"/>
          <w:szCs w:val="32"/>
        </w:rPr>
        <w:t>项目实施人员一览表</w:t>
      </w:r>
    </w:p>
    <w:p>
      <w:pPr>
        <w:snapToGrid w:val="0"/>
        <w:spacing w:before="120" w:beforeLines="50" w:after="50" w:line="360" w:lineRule="auto"/>
        <w:ind w:firstLine="2880" w:firstLineChars="1200"/>
        <w:rPr>
          <w:rFonts w:hint="eastAsia" w:ascii="宋体" w:hAnsi="宋体" w:cs="宋体"/>
          <w:color w:val="auto"/>
          <w:sz w:val="24"/>
        </w:rPr>
      </w:pPr>
      <w:r>
        <w:rPr>
          <w:rFonts w:hint="eastAsia" w:ascii="宋体" w:hAnsi="宋体" w:cs="宋体"/>
          <w:color w:val="auto"/>
          <w:sz w:val="24"/>
        </w:rPr>
        <w:t>（主要从业人员及其技术资格）</w:t>
      </w:r>
    </w:p>
    <w:tbl>
      <w:tblPr>
        <w:tblStyle w:val="39"/>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1200"/>
        <w:gridCol w:w="562"/>
        <w:gridCol w:w="563"/>
        <w:gridCol w:w="1170"/>
        <w:gridCol w:w="855"/>
        <w:gridCol w:w="1485"/>
        <w:gridCol w:w="1725"/>
        <w:gridCol w:w="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rPr>
              <w:t>序号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姓名</w:t>
            </w:r>
          </w:p>
        </w:tc>
        <w:tc>
          <w:tcPr>
            <w:tcW w:w="5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职务</w:t>
            </w:r>
          </w:p>
        </w:tc>
        <w:tc>
          <w:tcPr>
            <w:tcW w:w="5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rPr>
              <w:t>职责</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专业技术资格</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证书编号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bCs/>
                <w:color w:val="auto"/>
                <w:sz w:val="24"/>
              </w:rPr>
              <w:t>参加本单位工作时间</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color w:val="auto"/>
                <w:sz w:val="24"/>
              </w:rPr>
              <w:t>劳动合同编号</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120" w:beforeLines="50" w:after="50" w:line="360" w:lineRule="auto"/>
              <w:ind w:left="9000"/>
              <w:rPr>
                <w:rFonts w:hint="eastAsia" w:ascii="宋体" w:hAnsi="宋体" w:cs="宋体"/>
                <w:b/>
                <w:color w:val="auto"/>
                <w:kern w:val="44"/>
                <w:sz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120" w:beforeLines="50" w:after="50" w:line="360" w:lineRule="auto"/>
              <w:ind w:left="9000"/>
              <w:rPr>
                <w:rFonts w:hint="eastAsia" w:ascii="宋体" w:hAnsi="宋体" w:cs="宋体"/>
                <w:b/>
                <w:color w:val="auto"/>
                <w:kern w:val="44"/>
                <w:sz w:val="24"/>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pStyle w:val="24"/>
              <w:spacing w:line="360" w:lineRule="auto"/>
              <w:ind w:left="9000"/>
              <w:rPr>
                <w:rFonts w:hint="eastAsia" w:ascii="宋体" w:hAnsi="宋体" w:cs="宋体"/>
                <w:color w:val="auto"/>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bl>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1.在填写时，如本表格不适合投标单位的实际情况，可根据本表格式自行划表填写；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2.附人员证书复印件；</w:t>
      </w:r>
    </w:p>
    <w:p>
      <w:pPr>
        <w:pStyle w:val="207"/>
        <w:spacing w:line="360" w:lineRule="auto"/>
        <w:ind w:firstLine="480" w:firstLineChars="200"/>
        <w:rPr>
          <w:rFonts w:hint="eastAsia" w:ascii="宋体" w:hAnsi="宋体" w:cs="宋体"/>
          <w:color w:val="auto"/>
          <w:sz w:val="24"/>
        </w:rPr>
      </w:pPr>
      <w:r>
        <w:rPr>
          <w:rFonts w:hint="eastAsia" w:ascii="宋体" w:hAnsi="宋体" w:cs="宋体"/>
          <w:color w:val="auto"/>
          <w:sz w:val="24"/>
        </w:rPr>
        <w:t>3.出具上述人员在本单位服务的外部证明，如：投标截止日之前六个月以内的代缴个税税单、参加社会保险的《投保单》或《社会保险参保人员证明》等。</w:t>
      </w: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投标人（盖单位章）：</w:t>
      </w: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法定代表人或全权代表（盖章或签字）：</w:t>
      </w:r>
    </w:p>
    <w:p>
      <w:pPr>
        <w:pStyle w:val="23"/>
        <w:spacing w:line="560" w:lineRule="exact"/>
        <w:ind w:firstLine="480" w:firstLineChars="200"/>
        <w:rPr>
          <w:rFonts w:hint="eastAsia" w:hAnsi="宋体" w:cs="宋体"/>
          <w:color w:val="auto"/>
          <w:sz w:val="36"/>
          <w:szCs w:val="24"/>
          <w:lang w:val="zh-CN"/>
        </w:rPr>
        <w:sectPr>
          <w:pgSz w:w="11906" w:h="16838"/>
          <w:pgMar w:top="1440" w:right="1440" w:bottom="1440" w:left="1440" w:header="851" w:footer="992" w:gutter="0"/>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附件七：</w:t>
      </w:r>
    </w:p>
    <w:p>
      <w:pPr>
        <w:spacing w:before="60" w:after="60" w:line="360" w:lineRule="auto"/>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项目负责人资质情况表</w:t>
      </w:r>
    </w:p>
    <w:p>
      <w:pPr>
        <w:pStyle w:val="23"/>
        <w:spacing w:line="320" w:lineRule="exact"/>
        <w:rPr>
          <w:rFonts w:hint="eastAsia" w:hAnsi="宋体" w:cs="宋体"/>
          <w:b/>
          <w:color w:val="auto"/>
          <w:sz w:val="24"/>
        </w:rPr>
      </w:pPr>
    </w:p>
    <w:tbl>
      <w:tblPr>
        <w:tblStyle w:val="39"/>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4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640"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姓名</w:t>
            </w:r>
          </w:p>
        </w:tc>
        <w:tc>
          <w:tcPr>
            <w:tcW w:w="264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性别</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注：业绩证明应提供旁证材料</w:t>
            </w:r>
          </w:p>
          <w:p>
            <w:pPr>
              <w:autoSpaceDE w:val="0"/>
              <w:autoSpaceDN w:val="0"/>
              <w:adjustRightInd w:val="0"/>
              <w:snapToGrid w:val="0"/>
              <w:spacing w:line="360" w:lineRule="auto"/>
              <w:jc w:val="center"/>
              <w:rPr>
                <w:rFonts w:hint="eastAsia" w:ascii="宋体" w:hAnsi="宋体" w:cs="宋体"/>
                <w:color w:val="auto"/>
                <w:sz w:val="24"/>
                <w:lang w:val="zh-CN"/>
              </w:rPr>
            </w:pPr>
            <w:r>
              <w:rPr>
                <w:rFonts w:hint="eastAsia" w:ascii="宋体" w:hAnsi="宋体" w:cs="宋体"/>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年龄</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职称</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毕业时间</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学校专业</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联系电话</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rPr>
              <w:t>最近一年工作状况</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640"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拟在本项目中担任主要工作</w:t>
            </w:r>
          </w:p>
        </w:tc>
        <w:tc>
          <w:tcPr>
            <w:tcW w:w="6451"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bl>
    <w:p>
      <w:pPr>
        <w:spacing w:before="60" w:after="60" w:line="360" w:lineRule="auto"/>
        <w:ind w:firstLine="643" w:firstLineChars="200"/>
        <w:jc w:val="center"/>
        <w:rPr>
          <w:rFonts w:hint="eastAsia" w:ascii="宋体" w:hAnsi="宋体" w:cs="宋体"/>
          <w:b/>
          <w:bCs/>
          <w:color w:val="auto"/>
          <w:sz w:val="32"/>
          <w:szCs w:val="32"/>
          <w:lang w:val="zh-CN"/>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投标人（盖单位章）：</w:t>
      </w:r>
    </w:p>
    <w:p>
      <w:pPr>
        <w:pStyle w:val="23"/>
        <w:spacing w:line="560" w:lineRule="exact"/>
        <w:rPr>
          <w:rFonts w:hint="eastAsia" w:hAnsi="宋体" w:cs="宋体"/>
          <w:color w:val="auto"/>
          <w:sz w:val="24"/>
          <w:lang w:val="zh-CN"/>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法定代表人或全权代表（盖章或签字）：</w:t>
      </w:r>
    </w:p>
    <w:p>
      <w:pPr>
        <w:pStyle w:val="23"/>
        <w:spacing w:line="560" w:lineRule="exact"/>
        <w:rPr>
          <w:rFonts w:hint="eastAsia" w:hAnsi="宋体" w:cs="宋体"/>
          <w:color w:val="auto"/>
          <w:sz w:val="24"/>
          <w:lang w:val="zh-CN"/>
        </w:rPr>
      </w:pPr>
    </w:p>
    <w:p>
      <w:pPr>
        <w:pStyle w:val="23"/>
        <w:spacing w:line="560" w:lineRule="exact"/>
        <w:ind w:firstLine="480" w:firstLineChars="200"/>
        <w:rPr>
          <w:rFonts w:hint="eastAsia" w:hAnsi="宋体" w:cs="宋体"/>
          <w:color w:val="auto"/>
          <w:sz w:val="36"/>
          <w:szCs w:val="24"/>
          <w:lang w:val="zh-CN"/>
        </w:rPr>
        <w:sectPr>
          <w:pgSz w:w="11906" w:h="16838"/>
          <w:pgMar w:top="1440" w:right="1440" w:bottom="1440" w:left="1440" w:header="851" w:footer="992" w:gutter="0"/>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附件八：</w:t>
      </w:r>
    </w:p>
    <w:p>
      <w:pPr>
        <w:spacing w:before="60" w:after="60" w:line="360" w:lineRule="auto"/>
        <w:ind w:firstLine="2570" w:firstLineChars="800"/>
        <w:jc w:val="both"/>
        <w:rPr>
          <w:rFonts w:hint="eastAsia" w:ascii="宋体" w:hAnsi="宋体" w:cs="宋体"/>
          <w:b/>
          <w:color w:val="auto"/>
          <w:sz w:val="32"/>
          <w:szCs w:val="32"/>
        </w:rPr>
      </w:pPr>
      <w:r>
        <w:rPr>
          <w:rFonts w:hint="eastAsia" w:ascii="宋体" w:hAnsi="宋体" w:cs="宋体"/>
          <w:b/>
          <w:color w:val="auto"/>
          <w:sz w:val="32"/>
          <w:szCs w:val="32"/>
        </w:rPr>
        <w:t>拟投入的主要软硬件设备</w:t>
      </w:r>
      <w:r>
        <w:rPr>
          <w:rFonts w:hint="eastAsia" w:ascii="宋体" w:hAnsi="宋体" w:cs="宋体"/>
          <w:b/>
          <w:color w:val="auto"/>
          <w:sz w:val="32"/>
          <w:szCs w:val="32"/>
          <w:lang w:eastAsia="zh-CN"/>
        </w:rPr>
        <w:t>情况</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26"/>
        <w:gridCol w:w="1320"/>
        <w:gridCol w:w="1638"/>
        <w:gridCol w:w="1667"/>
        <w:gridCol w:w="132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0"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626"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产品名称</w:t>
            </w:r>
          </w:p>
        </w:tc>
        <w:tc>
          <w:tcPr>
            <w:tcW w:w="1320" w:type="dxa"/>
            <w:noWrap w:val="0"/>
            <w:vAlign w:val="center"/>
          </w:tcPr>
          <w:p>
            <w:pPr>
              <w:spacing w:line="360" w:lineRule="auto"/>
              <w:ind w:left="52"/>
              <w:jc w:val="center"/>
              <w:rPr>
                <w:rFonts w:hint="eastAsia" w:ascii="宋体" w:hAnsi="宋体" w:cs="宋体"/>
                <w:b/>
                <w:color w:val="auto"/>
                <w:sz w:val="24"/>
              </w:rPr>
            </w:pPr>
            <w:r>
              <w:rPr>
                <w:rFonts w:hint="eastAsia" w:ascii="宋体" w:hAnsi="宋体" w:cs="宋体"/>
                <w:b/>
                <w:color w:val="auto"/>
                <w:sz w:val="24"/>
              </w:rPr>
              <w:t>规格型号</w:t>
            </w:r>
          </w:p>
        </w:tc>
        <w:tc>
          <w:tcPr>
            <w:tcW w:w="1638" w:type="dxa"/>
            <w:noWrap w:val="0"/>
            <w:vAlign w:val="center"/>
          </w:tcPr>
          <w:p>
            <w:pPr>
              <w:spacing w:line="360" w:lineRule="auto"/>
              <w:ind w:left="152"/>
              <w:jc w:val="center"/>
              <w:rPr>
                <w:rFonts w:hint="eastAsia" w:ascii="宋体" w:hAnsi="宋体" w:cs="宋体"/>
                <w:b/>
                <w:color w:val="auto"/>
                <w:sz w:val="24"/>
              </w:rPr>
            </w:pPr>
            <w:r>
              <w:rPr>
                <w:rFonts w:hint="eastAsia" w:ascii="宋体" w:hAnsi="宋体" w:cs="宋体"/>
                <w:b/>
                <w:color w:val="auto"/>
                <w:sz w:val="24"/>
              </w:rPr>
              <w:t>招标参数</w:t>
            </w:r>
          </w:p>
        </w:tc>
        <w:tc>
          <w:tcPr>
            <w:tcW w:w="1667"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投标参数</w:t>
            </w:r>
          </w:p>
        </w:tc>
        <w:tc>
          <w:tcPr>
            <w:tcW w:w="1321"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偏离情况</w:t>
            </w:r>
          </w:p>
        </w:tc>
        <w:tc>
          <w:tcPr>
            <w:tcW w:w="1017"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bl>
    <w:p>
      <w:pPr>
        <w:pStyle w:val="224"/>
        <w:tabs>
          <w:tab w:val="left" w:pos="360"/>
        </w:tabs>
        <w:spacing w:line="360" w:lineRule="auto"/>
        <w:ind w:right="144" w:rightChars="40"/>
        <w:rPr>
          <w:rFonts w:hint="eastAsia" w:ascii="宋体" w:hAnsi="宋体" w:cs="宋体"/>
          <w:b/>
          <w:color w:val="auto"/>
          <w:sz w:val="24"/>
          <w:szCs w:val="24"/>
        </w:rPr>
      </w:pPr>
    </w:p>
    <w:p>
      <w:pPr>
        <w:pStyle w:val="224"/>
        <w:tabs>
          <w:tab w:val="left" w:pos="360"/>
        </w:tabs>
        <w:spacing w:line="360" w:lineRule="auto"/>
        <w:ind w:right="144" w:rightChars="40"/>
        <w:rPr>
          <w:rFonts w:hint="eastAsia" w:ascii="宋体" w:hAnsi="宋体" w:cs="宋体"/>
          <w:b/>
          <w:color w:val="auto"/>
          <w:sz w:val="24"/>
          <w:szCs w:val="24"/>
        </w:rPr>
      </w:pPr>
      <w:r>
        <w:rPr>
          <w:rFonts w:hint="eastAsia" w:ascii="宋体" w:hAnsi="宋体" w:cs="宋体"/>
          <w:b/>
          <w:color w:val="auto"/>
          <w:sz w:val="24"/>
          <w:szCs w:val="24"/>
        </w:rPr>
        <w:t>要求：</w:t>
      </w:r>
    </w:p>
    <w:p>
      <w:pPr>
        <w:pStyle w:val="224"/>
        <w:spacing w:line="360" w:lineRule="auto"/>
        <w:ind w:right="144" w:rightChars="4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.投标人应根据本招标文件第四章“公开招标需求”内容，按实填写投标产品的性能指标、服务指标等内容</w:t>
      </w:r>
      <w:r>
        <w:rPr>
          <w:rFonts w:hint="eastAsia" w:ascii="宋体" w:hAnsi="宋体" w:cs="宋体"/>
          <w:b/>
          <w:bCs/>
          <w:color w:val="auto"/>
          <w:sz w:val="24"/>
          <w:szCs w:val="24"/>
        </w:rPr>
        <w:t>（完全复制粘贴招标需求内容的，作无效标处理）</w:t>
      </w:r>
      <w:r>
        <w:rPr>
          <w:rFonts w:hint="eastAsia" w:ascii="宋体" w:hAnsi="宋体" w:cs="宋体"/>
          <w:color w:val="auto"/>
          <w:sz w:val="24"/>
          <w:szCs w:val="24"/>
        </w:rPr>
        <w:t>，并在“偏离情况”栏注明“正偏离”、“负偏离”或“无偏离”。</w:t>
      </w:r>
    </w:p>
    <w:p>
      <w:pPr>
        <w:pStyle w:val="224"/>
        <w:spacing w:line="360" w:lineRule="auto"/>
        <w:ind w:right="144" w:rightChars="4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pStyle w:val="23"/>
        <w:spacing w:line="560" w:lineRule="exact"/>
        <w:rPr>
          <w:rFonts w:hint="eastAsia" w:hAnsi="宋体" w:cs="宋体"/>
          <w:color w:val="auto"/>
          <w:sz w:val="24"/>
          <w:lang w:val="zh-CN"/>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投标人（盖单位章）：</w:t>
      </w:r>
    </w:p>
    <w:p>
      <w:pPr>
        <w:pStyle w:val="23"/>
        <w:spacing w:line="560" w:lineRule="exact"/>
        <w:rPr>
          <w:rFonts w:hint="eastAsia" w:hAnsi="宋体" w:cs="宋体"/>
          <w:color w:val="auto"/>
          <w:sz w:val="24"/>
          <w:lang w:val="zh-CN"/>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法定代表人或全权代表（盖章或签字）：</w:t>
      </w:r>
    </w:p>
    <w:p>
      <w:pPr>
        <w:pStyle w:val="23"/>
        <w:spacing w:line="560" w:lineRule="exact"/>
        <w:rPr>
          <w:rFonts w:hint="eastAsia" w:hAnsi="宋体" w:cs="宋体"/>
          <w:color w:val="auto"/>
          <w:sz w:val="24"/>
          <w:lang w:val="zh-CN"/>
        </w:rPr>
      </w:pPr>
    </w:p>
    <w:p>
      <w:pPr>
        <w:spacing w:before="60" w:after="60" w:line="360" w:lineRule="auto"/>
        <w:ind w:firstLine="480" w:firstLineChars="200"/>
        <w:rPr>
          <w:rFonts w:hint="eastAsia" w:ascii="宋体" w:hAnsi="宋体" w:cs="宋体"/>
          <w:color w:val="auto"/>
          <w:sz w:val="24"/>
          <w:lang w:val="zh-CN"/>
        </w:rPr>
        <w:sectPr>
          <w:pgSz w:w="11906" w:h="16838"/>
          <w:pgMar w:top="1440" w:right="1440" w:bottom="1440" w:left="1440" w:header="851" w:footer="992" w:gutter="0"/>
          <w:cols w:space="720" w:num="1"/>
          <w:docGrid w:linePitch="312" w:charSpace="0"/>
        </w:sectPr>
      </w:pPr>
      <w:r>
        <w:rPr>
          <w:rFonts w:hint="eastAsia" w:ascii="宋体" w:hAnsi="宋体" w:cs="宋体"/>
          <w:color w:val="auto"/>
          <w:sz w:val="24"/>
          <w:lang w:val="zh-CN"/>
        </w:rPr>
        <w:t>日 期</w:t>
      </w:r>
      <w:r>
        <w:rPr>
          <w:rFonts w:hint="eastAsia" w:ascii="宋体"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九</w:t>
      </w:r>
      <w:r>
        <w:rPr>
          <w:rFonts w:hint="eastAsia" w:ascii="宋体" w:hAnsi="宋体" w:cs="宋体"/>
          <w:b/>
          <w:bCs/>
          <w:color w:val="auto"/>
          <w:sz w:val="28"/>
          <w:szCs w:val="28"/>
        </w:rPr>
        <w:t>：</w:t>
      </w:r>
    </w:p>
    <w:p>
      <w:pPr>
        <w:spacing w:before="60" w:after="60" w:line="360" w:lineRule="auto"/>
        <w:ind w:firstLine="3855" w:firstLineChars="1200"/>
        <w:rPr>
          <w:rFonts w:hint="eastAsia" w:ascii="宋体" w:hAnsi="宋体" w:cs="宋体"/>
          <w:b/>
          <w:color w:val="auto"/>
          <w:sz w:val="32"/>
          <w:szCs w:val="32"/>
        </w:rPr>
      </w:pPr>
      <w:r>
        <w:rPr>
          <w:rFonts w:hint="eastAsia" w:ascii="宋体" w:hAnsi="宋体" w:cs="宋体"/>
          <w:b/>
          <w:color w:val="auto"/>
          <w:sz w:val="32"/>
          <w:szCs w:val="32"/>
        </w:rPr>
        <w:t>商务响应表</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2578"/>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rPr>
            </w:pPr>
            <w:r>
              <w:rPr>
                <w:rFonts w:hint="eastAsia" w:ascii="宋体" w:hAnsi="宋体" w:cs="宋体"/>
                <w:color w:val="auto"/>
                <w:sz w:val="24"/>
              </w:rPr>
              <w:t>项目</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rPr>
            </w:pPr>
            <w:r>
              <w:rPr>
                <w:rFonts w:hint="eastAsia" w:ascii="宋体" w:hAnsi="宋体" w:cs="宋体"/>
                <w:color w:val="auto"/>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rPr>
            </w:pPr>
            <w:r>
              <w:rPr>
                <w:rFonts w:hint="eastAsia" w:ascii="宋体" w:hAnsi="宋体" w:cs="宋体"/>
                <w:color w:val="auto"/>
                <w:sz w:val="24"/>
              </w:rPr>
              <w:t>是否</w:t>
            </w:r>
          </w:p>
          <w:p>
            <w:pPr>
              <w:snapToGrid w:val="0"/>
              <w:spacing w:before="120" w:beforeLines="50"/>
              <w:jc w:val="center"/>
              <w:rPr>
                <w:rFonts w:hint="eastAsia" w:ascii="宋体" w:hAnsi="宋体" w:cs="宋体"/>
                <w:color w:val="auto"/>
                <w:sz w:val="24"/>
              </w:rPr>
            </w:pPr>
            <w:r>
              <w:rPr>
                <w:rFonts w:hint="eastAsia" w:ascii="宋体" w:hAnsi="宋体" w:cs="宋体"/>
                <w:color w:val="auto"/>
                <w:sz w:val="24"/>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color w:val="auto"/>
                <w:sz w:val="24"/>
              </w:rPr>
            </w:pPr>
            <w:r>
              <w:rPr>
                <w:rFonts w:hint="eastAsia" w:ascii="宋体" w:hAnsi="宋体" w:cs="宋体"/>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r>
              <w:rPr>
                <w:rFonts w:hint="eastAsia" w:ascii="宋体" w:hAnsi="宋体"/>
                <w:color w:val="auto"/>
                <w:sz w:val="24"/>
              </w:rPr>
              <w:t>服务</w:t>
            </w:r>
            <w:r>
              <w:rPr>
                <w:rFonts w:hint="eastAsia" w:ascii="宋体" w:hAnsi="宋体"/>
                <w:color w:val="auto"/>
                <w:sz w:val="24"/>
                <w:lang w:eastAsia="zh-CN"/>
              </w:rPr>
              <w:t>质量保证</w:t>
            </w:r>
            <w:r>
              <w:rPr>
                <w:rFonts w:hint="eastAsia" w:ascii="宋体" w:hAnsi="宋体"/>
                <w:color w:val="auto"/>
                <w:sz w:val="24"/>
              </w:rPr>
              <w:t>期</w:t>
            </w:r>
          </w:p>
        </w:tc>
        <w:tc>
          <w:tcPr>
            <w:tcW w:w="25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r>
              <w:rPr>
                <w:rFonts w:hint="eastAsia" w:ascii="宋体" w:hAnsi="宋体" w:cs="宋体"/>
                <w:color w:val="auto"/>
                <w:sz w:val="24"/>
              </w:rPr>
              <w:t>付款条件</w:t>
            </w:r>
          </w:p>
        </w:tc>
        <w:tc>
          <w:tcPr>
            <w:tcW w:w="25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4"/>
                <w:lang w:val="en-US" w:eastAsia="zh-CN"/>
              </w:rPr>
            </w:pPr>
            <w:r>
              <w:rPr>
                <w:rFonts w:hint="eastAsia" w:ascii="宋体" w:hAnsi="宋体"/>
                <w:color w:val="auto"/>
                <w:sz w:val="24"/>
                <w:lang w:val="en-US" w:eastAsia="zh-CN"/>
              </w:rPr>
              <w:t>项目前期实施工期</w:t>
            </w:r>
          </w:p>
        </w:tc>
        <w:tc>
          <w:tcPr>
            <w:tcW w:w="25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r>
              <w:rPr>
                <w:rFonts w:hint="eastAsia" w:ascii="宋体" w:hAnsi="宋体" w:cs="宋体"/>
                <w:color w:val="auto"/>
                <w:sz w:val="24"/>
              </w:rPr>
              <w:t>……</w:t>
            </w:r>
          </w:p>
        </w:tc>
        <w:tc>
          <w:tcPr>
            <w:tcW w:w="25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r>
    </w:tbl>
    <w:p>
      <w:pPr>
        <w:spacing w:before="60" w:after="60" w:line="360" w:lineRule="auto"/>
        <w:ind w:firstLine="3855" w:firstLineChars="1200"/>
        <w:rPr>
          <w:rFonts w:hint="eastAsia" w:ascii="宋体" w:hAnsi="宋体" w:cs="宋体"/>
          <w:b/>
          <w:color w:val="auto"/>
          <w:sz w:val="32"/>
          <w:szCs w:val="32"/>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投标人（盖单位章）：</w:t>
      </w:r>
    </w:p>
    <w:p>
      <w:pPr>
        <w:pStyle w:val="23"/>
        <w:spacing w:line="560" w:lineRule="exact"/>
        <w:rPr>
          <w:rFonts w:hint="eastAsia" w:hAnsi="宋体" w:cs="宋体"/>
          <w:color w:val="auto"/>
          <w:sz w:val="24"/>
          <w:lang w:val="zh-CN"/>
        </w:rPr>
      </w:pPr>
    </w:p>
    <w:p>
      <w:pPr>
        <w:pStyle w:val="23"/>
        <w:spacing w:line="560" w:lineRule="exact"/>
        <w:ind w:firstLine="480" w:firstLineChars="200"/>
        <w:rPr>
          <w:rFonts w:hint="eastAsia" w:hAnsi="宋体" w:cs="宋体"/>
          <w:color w:val="auto"/>
          <w:sz w:val="24"/>
          <w:lang w:val="zh-CN"/>
        </w:rPr>
      </w:pPr>
      <w:r>
        <w:rPr>
          <w:rFonts w:hint="eastAsia" w:hAnsi="宋体" w:cs="宋体"/>
          <w:color w:val="auto"/>
          <w:sz w:val="24"/>
          <w:lang w:val="zh-CN"/>
        </w:rPr>
        <w:t>法定代表人或全权代表（盖章或签字）：</w:t>
      </w:r>
    </w:p>
    <w:p>
      <w:pPr>
        <w:pStyle w:val="23"/>
        <w:spacing w:line="560" w:lineRule="exact"/>
        <w:rPr>
          <w:rFonts w:hint="eastAsia" w:hAnsi="宋体" w:cs="宋体"/>
          <w:color w:val="auto"/>
          <w:sz w:val="24"/>
          <w:lang w:val="zh-CN"/>
        </w:rPr>
      </w:pPr>
    </w:p>
    <w:p>
      <w:pPr>
        <w:spacing w:before="60" w:after="60" w:line="360" w:lineRule="auto"/>
        <w:ind w:firstLine="480" w:firstLineChars="200"/>
        <w:rPr>
          <w:rFonts w:hint="eastAsia" w:ascii="宋体" w:hAnsi="宋体" w:cs="宋体"/>
          <w:color w:val="auto"/>
          <w:sz w:val="24"/>
          <w:lang w:val="zh-CN"/>
        </w:rPr>
        <w:sectPr>
          <w:pgSz w:w="11906" w:h="16838"/>
          <w:pgMar w:top="1440" w:right="1440" w:bottom="1440" w:left="1440" w:header="851" w:footer="992" w:gutter="0"/>
          <w:cols w:space="720" w:num="1"/>
          <w:docGrid w:linePitch="312" w:charSpace="0"/>
        </w:sectPr>
      </w:pPr>
      <w:r>
        <w:rPr>
          <w:rFonts w:hint="eastAsia" w:ascii="宋体" w:hAnsi="宋体" w:cs="宋体"/>
          <w:color w:val="auto"/>
          <w:sz w:val="24"/>
          <w:lang w:val="zh-CN"/>
        </w:rPr>
        <w:t>日 期</w:t>
      </w:r>
      <w:r>
        <w:rPr>
          <w:rFonts w:hint="eastAsia" w:ascii="宋体"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附件十：</w:t>
      </w:r>
    </w:p>
    <w:p>
      <w:pPr>
        <w:spacing w:line="360" w:lineRule="auto"/>
        <w:ind w:firstLine="7590" w:firstLineChars="2700"/>
        <w:rPr>
          <w:rFonts w:hint="eastAsia" w:ascii="宋体" w:hAnsi="宋体" w:cs="宋体"/>
          <w:b/>
          <w:color w:val="auto"/>
          <w:sz w:val="28"/>
          <w:szCs w:val="28"/>
        </w:rPr>
      </w:pPr>
    </w:p>
    <w:p>
      <w:pPr>
        <w:spacing w:line="360" w:lineRule="auto"/>
        <w:ind w:firstLine="7590" w:firstLineChars="2700"/>
        <w:rPr>
          <w:rFonts w:hint="eastAsia" w:ascii="宋体" w:hAnsi="宋体" w:cs="宋体"/>
          <w:bCs/>
          <w:color w:val="auto"/>
          <w:sz w:val="30"/>
          <w:szCs w:val="30"/>
        </w:rPr>
      </w:pPr>
      <w:r>
        <w:rPr>
          <w:rFonts w:hint="eastAsia" w:ascii="宋体" w:hAnsi="宋体" w:cs="宋体"/>
          <w:b/>
          <w:color w:val="auto"/>
          <w:sz w:val="28"/>
          <w:szCs w:val="28"/>
        </w:rPr>
        <w:t>正本或副本</w:t>
      </w:r>
      <w:r>
        <w:rPr>
          <w:rFonts w:hint="eastAsia" w:ascii="宋体" w:hAnsi="宋体" w:cs="宋体"/>
          <w:color w:val="auto"/>
          <w:sz w:val="30"/>
          <w:szCs w:val="30"/>
        </w:rPr>
        <w:t xml:space="preserve">                                           </w:t>
      </w:r>
    </w:p>
    <w:p>
      <w:pPr>
        <w:ind w:right="-110"/>
        <w:jc w:val="center"/>
        <w:rPr>
          <w:rFonts w:hint="eastAsia" w:ascii="宋体" w:hAnsi="宋体" w:cs="宋体"/>
          <w:color w:val="auto"/>
          <w:spacing w:val="40"/>
          <w:szCs w:val="36"/>
        </w:rPr>
      </w:pPr>
      <w:r>
        <w:rPr>
          <w:rFonts w:hint="eastAsia" w:ascii="宋体" w:hAnsi="宋体" w:cs="宋体"/>
          <w:color w:val="auto"/>
          <w:spacing w:val="40"/>
          <w:szCs w:val="36"/>
        </w:rPr>
        <w:t>项目名称</w:t>
      </w:r>
    </w:p>
    <w:p>
      <w:pPr>
        <w:spacing w:before="240" w:beforeLines="100" w:line="240" w:lineRule="atLeast"/>
        <w:jc w:val="center"/>
        <w:rPr>
          <w:rFonts w:hint="eastAsia" w:ascii="宋体" w:hAnsi="宋体" w:cs="宋体"/>
          <w:color w:val="auto"/>
          <w:szCs w:val="36"/>
        </w:rPr>
      </w:pPr>
      <w:r>
        <w:rPr>
          <w:rFonts w:hint="eastAsia" w:ascii="宋体" w:hAnsi="宋体" w:cs="宋体"/>
          <w:color w:val="auto"/>
          <w:szCs w:val="36"/>
        </w:rPr>
        <w:t>项目编号（标项  ）</w:t>
      </w:r>
    </w:p>
    <w:p>
      <w:pPr>
        <w:spacing w:after="100" w:afterAutospacing="1" w:line="800" w:lineRule="exact"/>
        <w:ind w:right="-108"/>
        <w:jc w:val="center"/>
        <w:rPr>
          <w:rFonts w:hint="eastAsia" w:ascii="宋体" w:hAnsi="宋体" w:cs="宋体"/>
          <w:b/>
          <w:color w:val="auto"/>
          <w:spacing w:val="40"/>
          <w:sz w:val="84"/>
          <w:szCs w:val="84"/>
        </w:rPr>
      </w:pP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报</w:t>
      </w: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价</w:t>
      </w:r>
    </w:p>
    <w:p>
      <w:pPr>
        <w:autoSpaceDE w:val="0"/>
        <w:autoSpaceDN w:val="0"/>
        <w:adjustRightInd w:val="0"/>
        <w:spacing w:line="360" w:lineRule="auto"/>
        <w:jc w:val="center"/>
        <w:rPr>
          <w:rFonts w:hint="eastAsia" w:ascii="宋体" w:hAnsi="宋体" w:cs="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hint="eastAsia" w:ascii="宋体" w:hAnsi="宋体" w:cs="宋体"/>
          <w:color w:val="auto"/>
          <w:sz w:val="84"/>
          <w:szCs w:val="84"/>
          <w:lang w:val="zh-CN"/>
        </w:rPr>
      </w:pPr>
      <w:r>
        <w:rPr>
          <w:rFonts w:hint="eastAsia" w:ascii="宋体" w:hAnsi="宋体" w:cs="宋体"/>
          <w:color w:val="auto"/>
          <w:sz w:val="84"/>
          <w:szCs w:val="84"/>
          <w:lang w:val="zh-CN"/>
        </w:rPr>
        <w:t>件</w:t>
      </w:r>
    </w:p>
    <w:p>
      <w:pPr>
        <w:spacing w:before="60" w:after="60" w:line="360" w:lineRule="auto"/>
        <w:ind w:right="532" w:firstLine="720" w:firstLineChars="200"/>
        <w:rPr>
          <w:rFonts w:hint="eastAsia" w:ascii="宋体" w:hAnsi="宋体" w:cs="宋体"/>
          <w:color w:val="auto"/>
          <w:szCs w:val="36"/>
        </w:rPr>
      </w:pPr>
    </w:p>
    <w:p>
      <w:pPr>
        <w:spacing w:before="60" w:after="60" w:line="360" w:lineRule="auto"/>
        <w:ind w:right="532" w:firstLine="720" w:firstLineChars="200"/>
        <w:rPr>
          <w:rFonts w:hint="eastAsia" w:ascii="宋体" w:hAnsi="宋体" w:cs="宋体"/>
          <w:color w:val="auto"/>
          <w:szCs w:val="36"/>
        </w:rPr>
      </w:pPr>
      <w:r>
        <w:rPr>
          <w:rFonts w:hint="eastAsia" w:ascii="宋体" w:hAnsi="宋体" w:cs="宋体"/>
          <w:color w:val="auto"/>
          <w:szCs w:val="36"/>
        </w:rPr>
        <w:t>投标人（盖单位章）：</w:t>
      </w:r>
    </w:p>
    <w:p>
      <w:pPr>
        <w:spacing w:before="60" w:after="60" w:line="360" w:lineRule="auto"/>
        <w:ind w:right="532" w:firstLine="720" w:firstLineChars="200"/>
        <w:rPr>
          <w:rFonts w:hint="eastAsia" w:ascii="宋体" w:hAnsi="宋体" w:cs="宋体"/>
          <w:color w:val="auto"/>
          <w:szCs w:val="36"/>
        </w:rPr>
      </w:pPr>
      <w:r>
        <w:rPr>
          <w:rFonts w:hint="eastAsia" w:ascii="宋体" w:hAnsi="宋体" w:cs="宋体"/>
          <w:color w:val="auto"/>
          <w:szCs w:val="36"/>
        </w:rPr>
        <w:t>地    址：</w:t>
      </w:r>
    </w:p>
    <w:p>
      <w:pPr>
        <w:spacing w:before="60" w:after="60" w:line="360" w:lineRule="auto"/>
        <w:ind w:firstLine="720" w:firstLineChars="200"/>
        <w:jc w:val="left"/>
        <w:rPr>
          <w:rFonts w:hint="eastAsia" w:ascii="宋体" w:hAnsi="宋体" w:cs="宋体"/>
          <w:b/>
          <w:color w:val="auto"/>
          <w:sz w:val="32"/>
          <w:szCs w:val="32"/>
        </w:rPr>
      </w:pPr>
      <w:r>
        <w:rPr>
          <w:rFonts w:hint="eastAsia" w:ascii="宋体" w:hAnsi="宋体" w:cs="宋体"/>
          <w:color w:val="auto"/>
          <w:szCs w:val="36"/>
        </w:rPr>
        <w:t>时    间：</w:t>
      </w:r>
      <w:r>
        <w:rPr>
          <w:rFonts w:hint="eastAsia" w:ascii="宋体" w:hAnsi="宋体" w:cs="宋体"/>
          <w:b/>
          <w:bCs/>
          <w:color w:val="auto"/>
          <w:kern w:val="0"/>
          <w:szCs w:val="36"/>
          <w:lang w:val="zh-CN"/>
        </w:rPr>
        <w:br w:type="page"/>
      </w:r>
      <w:r>
        <w:rPr>
          <w:rFonts w:hint="eastAsia" w:ascii="宋体" w:hAnsi="宋体" w:cs="宋体"/>
          <w:b/>
          <w:bCs/>
          <w:color w:val="auto"/>
          <w:kern w:val="0"/>
          <w:szCs w:val="36"/>
        </w:rPr>
        <w:t xml:space="preserve">                   </w:t>
      </w:r>
      <w:r>
        <w:rPr>
          <w:rFonts w:hint="eastAsia" w:ascii="宋体" w:hAnsi="宋体" w:cs="宋体"/>
          <w:b/>
          <w:color w:val="auto"/>
          <w:sz w:val="32"/>
          <w:szCs w:val="32"/>
        </w:rPr>
        <w:t>报价文件目录</w:t>
      </w:r>
    </w:p>
    <w:p>
      <w:pPr>
        <w:snapToGrid w:val="0"/>
        <w:spacing w:line="360" w:lineRule="auto"/>
        <w:jc w:val="left"/>
        <w:rPr>
          <w:rFonts w:hint="eastAsia" w:ascii="宋体" w:hAnsi="宋体" w:cs="宋体"/>
          <w:color w:val="auto"/>
          <w:sz w:val="24"/>
        </w:rPr>
      </w:pPr>
    </w:p>
    <w:p>
      <w:pPr>
        <w:snapToGrid w:val="0"/>
        <w:spacing w:line="360" w:lineRule="auto"/>
        <w:jc w:val="left"/>
        <w:rPr>
          <w:rFonts w:hint="eastAsia" w:ascii="宋体" w:hAnsi="宋体" w:cs="宋体"/>
          <w:color w:val="auto"/>
          <w:sz w:val="24"/>
        </w:rPr>
      </w:pPr>
      <w:r>
        <w:rPr>
          <w:rFonts w:hint="eastAsia" w:ascii="宋体" w:hAnsi="宋体" w:cs="宋体"/>
          <w:color w:val="auto"/>
          <w:sz w:val="24"/>
        </w:rPr>
        <w:t>1、开标一览表</w:t>
      </w:r>
    </w:p>
    <w:p>
      <w:pPr>
        <w:pStyle w:val="24"/>
        <w:snapToGrid w:val="0"/>
        <w:spacing w:line="360" w:lineRule="auto"/>
        <w:ind w:left="0" w:leftChars="0"/>
        <w:rPr>
          <w:rFonts w:hint="eastAsia" w:ascii="宋体" w:hAnsi="宋体" w:cs="宋体"/>
          <w:color w:val="auto"/>
          <w:sz w:val="24"/>
        </w:rPr>
      </w:pPr>
      <w:r>
        <w:rPr>
          <w:rFonts w:hint="eastAsia" w:ascii="宋体" w:hAnsi="宋体" w:cs="宋体"/>
          <w:color w:val="auto"/>
          <w:sz w:val="24"/>
        </w:rPr>
        <w:t>2、投标报价明细表</w:t>
      </w:r>
    </w:p>
    <w:p>
      <w:pPr>
        <w:snapToGrid w:val="0"/>
        <w:spacing w:line="360" w:lineRule="auto"/>
        <w:rPr>
          <w:rFonts w:hint="eastAsia" w:ascii="宋体" w:hAnsi="宋体" w:cs="宋体"/>
          <w:color w:val="auto"/>
          <w:sz w:val="24"/>
        </w:rPr>
      </w:pPr>
      <w:r>
        <w:rPr>
          <w:rFonts w:hint="eastAsia" w:ascii="宋体" w:hAnsi="宋体" w:cs="宋体"/>
          <w:color w:val="auto"/>
          <w:sz w:val="24"/>
        </w:rPr>
        <w:t>3、小微企业等声明函（如有）</w:t>
      </w:r>
    </w:p>
    <w:p>
      <w:pPr>
        <w:pStyle w:val="233"/>
        <w:spacing w:line="360" w:lineRule="auto"/>
        <w:rPr>
          <w:rFonts w:hint="eastAsia" w:hAnsi="宋体" w:cs="宋体"/>
          <w:color w:val="auto"/>
          <w:sz w:val="24"/>
        </w:rPr>
      </w:pPr>
      <w:r>
        <w:rPr>
          <w:rFonts w:hint="eastAsia" w:hAnsi="宋体" w:cs="宋体"/>
          <w:color w:val="auto"/>
          <w:sz w:val="24"/>
        </w:rPr>
        <w:t>4、</w:t>
      </w:r>
      <w:r>
        <w:rPr>
          <w:rFonts w:hint="eastAsia" w:hAnsi="宋体" w:cs="宋体"/>
          <w:color w:val="auto"/>
          <w:kern w:val="0"/>
          <w:sz w:val="24"/>
        </w:rPr>
        <w:t>产品适用政府采购政策情况表</w:t>
      </w:r>
      <w:r>
        <w:rPr>
          <w:rFonts w:hint="eastAsia" w:hAnsi="宋体" w:cs="宋体"/>
          <w:color w:val="auto"/>
          <w:sz w:val="24"/>
        </w:rPr>
        <w:t>（如有）</w:t>
      </w:r>
    </w:p>
    <w:p>
      <w:pPr>
        <w:pStyle w:val="233"/>
        <w:spacing w:line="360" w:lineRule="auto"/>
        <w:rPr>
          <w:rFonts w:hint="eastAsia" w:hAnsi="宋体" w:cs="宋体"/>
          <w:color w:val="auto"/>
          <w:sz w:val="24"/>
        </w:rPr>
      </w:pPr>
      <w:r>
        <w:rPr>
          <w:rFonts w:hint="eastAsia" w:hAnsi="宋体" w:cs="宋体"/>
          <w:color w:val="auto"/>
          <w:kern w:val="0"/>
          <w:sz w:val="24"/>
        </w:rPr>
        <w:t>5、</w:t>
      </w:r>
      <w:r>
        <w:rPr>
          <w:rFonts w:hint="eastAsia" w:hAnsi="宋体" w:cs="宋体"/>
          <w:color w:val="auto"/>
          <w:sz w:val="24"/>
        </w:rPr>
        <w:t>针对报价投标人认为需要说明的其他内容（包括政府采购优惠政策相关资料等）（如有）</w:t>
      </w:r>
    </w:p>
    <w:p>
      <w:pPr>
        <w:pStyle w:val="250"/>
        <w:spacing w:line="360" w:lineRule="auto"/>
        <w:rPr>
          <w:rFonts w:hint="eastAsia" w:ascii="宋体" w:hAnsi="宋体" w:cs="宋体"/>
          <w:b/>
          <w:bCs/>
          <w:color w:val="auto"/>
          <w:kern w:val="0"/>
          <w:szCs w:val="36"/>
          <w:lang w:val="zh-CN"/>
        </w:rPr>
        <w:sectPr>
          <w:pgSz w:w="11906" w:h="16838"/>
          <w:pgMar w:top="1440" w:right="1440" w:bottom="1440" w:left="1440" w:header="851" w:footer="992" w:gutter="0"/>
          <w:cols w:space="720" w:num="1"/>
          <w:docGrid w:linePitch="312" w:charSpace="0"/>
        </w:sectPr>
      </w:pPr>
    </w:p>
    <w:p>
      <w:pPr>
        <w:spacing w:line="360" w:lineRule="auto"/>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附件十</w:t>
      </w:r>
      <w:r>
        <w:rPr>
          <w:rFonts w:hint="eastAsia" w:ascii="宋体" w:hAnsi="宋体" w:cs="宋体"/>
          <w:b/>
          <w:bCs/>
          <w:color w:val="auto"/>
          <w:kern w:val="0"/>
          <w:sz w:val="28"/>
          <w:szCs w:val="28"/>
          <w:lang w:val="en-US" w:eastAsia="zh-CN"/>
        </w:rPr>
        <w:t>一</w:t>
      </w:r>
      <w:r>
        <w:rPr>
          <w:rFonts w:hint="eastAsia" w:ascii="宋体" w:hAnsi="宋体" w:cs="宋体"/>
          <w:b/>
          <w:bCs/>
          <w:color w:val="auto"/>
          <w:kern w:val="0"/>
          <w:sz w:val="28"/>
          <w:szCs w:val="28"/>
          <w:lang w:val="zh-CN"/>
        </w:rPr>
        <w:t>：</w:t>
      </w:r>
    </w:p>
    <w:p>
      <w:pPr>
        <w:spacing w:before="60" w:after="60" w:line="360" w:lineRule="auto"/>
        <w:jc w:val="center"/>
        <w:rPr>
          <w:rFonts w:hint="eastAsia" w:ascii="宋体" w:hAnsi="宋体" w:cs="宋体"/>
          <w:b/>
          <w:bCs/>
          <w:color w:val="auto"/>
          <w:kern w:val="0"/>
          <w:szCs w:val="36"/>
          <w:lang w:val="zh-CN"/>
        </w:rPr>
      </w:pPr>
      <w:r>
        <w:rPr>
          <w:rFonts w:hint="eastAsia" w:ascii="宋体" w:hAnsi="宋体" w:cs="宋体"/>
          <w:b/>
          <w:bCs/>
          <w:color w:val="auto"/>
          <w:kern w:val="0"/>
          <w:szCs w:val="36"/>
          <w:lang w:val="zh-CN"/>
        </w:rPr>
        <w:t>开标一览表</w:t>
      </w:r>
    </w:p>
    <w:p>
      <w:pPr>
        <w:pStyle w:val="23"/>
        <w:spacing w:line="320" w:lineRule="exact"/>
        <w:rPr>
          <w:rFonts w:hint="eastAsia" w:hAnsi="宋体" w:eastAsia="宋体" w:cs="宋体"/>
          <w:b/>
          <w:color w:val="auto"/>
          <w:sz w:val="24"/>
          <w:lang w:eastAsia="zh-CN"/>
        </w:rPr>
      </w:pPr>
      <w:r>
        <w:rPr>
          <w:rFonts w:hint="eastAsia" w:hAnsi="宋体" w:cs="宋体"/>
          <w:b/>
          <w:color w:val="auto"/>
          <w:sz w:val="24"/>
        </w:rPr>
        <w:t>项目编号：</w:t>
      </w:r>
      <w:r>
        <w:rPr>
          <w:rFonts w:hint="eastAsia" w:hAnsi="宋体" w:cs="宋体"/>
          <w:b/>
          <w:color w:val="auto"/>
          <w:sz w:val="24"/>
          <w:lang w:eastAsia="zh-CN"/>
        </w:rPr>
        <w:t>XJCG-2019-GK006</w:t>
      </w:r>
    </w:p>
    <w:p>
      <w:pPr>
        <w:pStyle w:val="23"/>
        <w:spacing w:line="320" w:lineRule="exact"/>
        <w:rPr>
          <w:rFonts w:hint="eastAsia" w:hAnsi="宋体" w:eastAsia="宋体" w:cs="宋体"/>
          <w:b/>
          <w:color w:val="auto"/>
          <w:sz w:val="24"/>
          <w:lang w:eastAsia="zh-CN"/>
        </w:rPr>
      </w:pPr>
      <w:r>
        <w:rPr>
          <w:rFonts w:hint="eastAsia" w:hAnsi="宋体" w:cs="宋体"/>
          <w:b/>
          <w:color w:val="auto"/>
          <w:sz w:val="24"/>
        </w:rPr>
        <w:t>项目名称：</w:t>
      </w:r>
      <w:r>
        <w:rPr>
          <w:rFonts w:hint="eastAsia" w:hAnsi="宋体" w:cs="宋体"/>
          <w:b/>
          <w:color w:val="auto"/>
          <w:sz w:val="24"/>
          <w:lang w:eastAsia="zh-CN"/>
        </w:rPr>
        <w:t>仙居县2019年雪亮工程服务</w:t>
      </w:r>
    </w:p>
    <w:p>
      <w:pPr>
        <w:pStyle w:val="23"/>
        <w:spacing w:line="320" w:lineRule="exact"/>
        <w:ind w:firstLine="6240" w:firstLineChars="2600"/>
        <w:rPr>
          <w:rFonts w:hint="eastAsia" w:hAnsi="宋体" w:cs="宋体"/>
          <w:color w:val="auto"/>
          <w:sz w:val="24"/>
        </w:rPr>
      </w:pPr>
      <w:r>
        <w:rPr>
          <w:rFonts w:hint="eastAsia" w:hAnsi="宋体" w:cs="宋体"/>
          <w:color w:val="auto"/>
          <w:sz w:val="24"/>
        </w:rPr>
        <w:t xml:space="preserve"> [货币单位：人民币元]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投标报价(元)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eastAsia"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bl>
    <w:p>
      <w:pPr>
        <w:pStyle w:val="12"/>
        <w:spacing w:line="360" w:lineRule="auto"/>
        <w:rPr>
          <w:rFonts w:hint="eastAsia" w:ascii="宋体" w:hAnsi="宋体" w:cs="宋体"/>
          <w:color w:val="auto"/>
          <w:sz w:val="24"/>
        </w:rPr>
      </w:pPr>
      <w:r>
        <w:rPr>
          <w:rFonts w:hint="eastAsia" w:ascii="宋体" w:hAnsi="宋体" w:cs="宋体"/>
          <w:color w:val="auto"/>
          <w:sz w:val="24"/>
        </w:rPr>
        <w:t>注：</w:t>
      </w:r>
    </w:p>
    <w:p>
      <w:pPr>
        <w:pStyle w:val="12"/>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2"/>
          <w:sz w:val="24"/>
          <w:szCs w:val="24"/>
          <w:lang w:val="en-US" w:eastAsia="zh-CN" w:bidi="ar-SA"/>
        </w:rPr>
        <w:t>1.</w:t>
      </w:r>
      <w:r>
        <w:rPr>
          <w:rFonts w:hint="eastAsia" w:ascii="宋体" w:hAnsi="宋体" w:cs="宋体"/>
          <w:color w:val="auto"/>
          <w:kern w:val="2"/>
          <w:sz w:val="24"/>
          <w:szCs w:val="24"/>
          <w:lang w:val="zh-CN" w:eastAsia="zh-CN" w:bidi="ar-SA"/>
        </w:rPr>
        <w:t>投标报价是包括与本</w:t>
      </w:r>
      <w:r>
        <w:rPr>
          <w:rFonts w:hint="eastAsia" w:ascii="宋体" w:hAnsi="宋体" w:cs="宋体"/>
          <w:color w:val="auto"/>
          <w:kern w:val="2"/>
          <w:sz w:val="24"/>
          <w:szCs w:val="24"/>
          <w:lang w:val="en-US" w:eastAsia="zh-CN" w:bidi="ar-SA"/>
        </w:rPr>
        <w:t>服务</w:t>
      </w:r>
      <w:r>
        <w:rPr>
          <w:rFonts w:hint="eastAsia" w:ascii="宋体" w:hAnsi="宋体" w:cs="宋体"/>
          <w:color w:val="auto"/>
          <w:kern w:val="2"/>
          <w:sz w:val="24"/>
          <w:szCs w:val="24"/>
          <w:lang w:val="zh-CN" w:eastAsia="zh-CN" w:bidi="ar-SA"/>
        </w:rPr>
        <w:t>项目相关的</w:t>
      </w:r>
      <w:r>
        <w:rPr>
          <w:rFonts w:hint="eastAsia" w:ascii="宋体" w:hAnsi="宋体" w:cs="宋体"/>
          <w:color w:val="auto"/>
          <w:kern w:val="2"/>
          <w:sz w:val="24"/>
          <w:szCs w:val="24"/>
          <w:lang w:val="en-US" w:eastAsia="zh-CN" w:bidi="ar-SA"/>
        </w:rPr>
        <w:t>设备</w:t>
      </w:r>
      <w:r>
        <w:rPr>
          <w:rFonts w:hint="eastAsia" w:ascii="宋体" w:hAnsi="宋体" w:cs="宋体"/>
          <w:color w:val="auto"/>
          <w:kern w:val="2"/>
          <w:sz w:val="24"/>
          <w:szCs w:val="24"/>
          <w:lang w:val="zh-CN" w:eastAsia="zh-CN" w:bidi="ar-SA"/>
        </w:rPr>
        <w:t>安装、调试、验收、培训合格之前所有含税费用、税金、光纤租赁费用、其他费用（包括各种人工费、交通费、机械及仪器使用费、管理、利润、税务费、必要的保险费用、必须的专用工具、辅助材料费、</w:t>
      </w:r>
      <w:r>
        <w:rPr>
          <w:rFonts w:hint="eastAsia" w:ascii="宋体" w:hAnsi="宋体" w:cs="宋体"/>
          <w:color w:val="auto"/>
          <w:kern w:val="2"/>
          <w:sz w:val="24"/>
          <w:szCs w:val="24"/>
          <w:lang w:val="en-US" w:eastAsia="zh-CN" w:bidi="ar-SA"/>
        </w:rPr>
        <w:t>前端设备使用电费</w:t>
      </w:r>
      <w:r>
        <w:rPr>
          <w:rFonts w:hint="eastAsia" w:ascii="宋体" w:hAnsi="宋体" w:cs="宋体"/>
          <w:color w:val="auto"/>
          <w:kern w:val="2"/>
          <w:sz w:val="24"/>
          <w:szCs w:val="24"/>
          <w:lang w:val="zh-CN" w:eastAsia="zh-CN" w:bidi="ar-SA"/>
        </w:rPr>
        <w:t>），合同包含的所有风险、责任等各项费用以及不可预见费等所需的全部费用并承担一切风险责任，全部费用已包含在开标一览表投标报价中。</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2.报价一经涂改，应在涂改处加盖单位公章，或者由法定代表人或全权代表签字或盖章，否则其投标作无效标处理。</w:t>
      </w:r>
    </w:p>
    <w:p>
      <w:pPr>
        <w:spacing w:line="400" w:lineRule="exact"/>
        <w:rPr>
          <w:rFonts w:hint="eastAsia" w:ascii="宋体" w:hAnsi="宋体" w:cs="宋体"/>
          <w:color w:val="auto"/>
          <w:sz w:val="24"/>
          <w:u w:val="single"/>
        </w:rPr>
      </w:pPr>
    </w:p>
    <w:p>
      <w:pPr>
        <w:spacing w:line="400" w:lineRule="exact"/>
        <w:rPr>
          <w:rFonts w:hint="eastAsia" w:ascii="宋体" w:hAnsi="宋体" w:cs="宋体"/>
          <w:color w:val="auto"/>
          <w:sz w:val="24"/>
          <w:u w:val="single"/>
        </w:rPr>
      </w:pPr>
    </w:p>
    <w:p>
      <w:pPr>
        <w:ind w:firstLine="4704" w:firstLineChars="1960"/>
        <w:rPr>
          <w:rFonts w:hint="eastAsia" w:ascii="宋体" w:hAnsi="宋体" w:cs="宋体"/>
          <w:color w:val="auto"/>
          <w:sz w:val="24"/>
        </w:rPr>
      </w:pPr>
      <w:r>
        <w:rPr>
          <w:rFonts w:hint="eastAsia" w:ascii="宋体" w:hAnsi="宋体" w:cs="宋体"/>
          <w:color w:val="auto"/>
          <w:sz w:val="24"/>
        </w:rPr>
        <w:t xml:space="preserve">投标人（盖单位章）：     </w:t>
      </w:r>
    </w:p>
    <w:p>
      <w:pPr>
        <w:rPr>
          <w:rFonts w:hint="eastAsia" w:ascii="宋体" w:hAnsi="宋体" w:cs="宋体"/>
          <w:color w:val="auto"/>
          <w:sz w:val="24"/>
        </w:rPr>
      </w:pPr>
    </w:p>
    <w:p>
      <w:pPr>
        <w:ind w:firstLine="2760" w:firstLineChars="1150"/>
        <w:rPr>
          <w:rFonts w:hint="eastAsia" w:ascii="宋体" w:hAnsi="宋体" w:cs="宋体"/>
          <w:color w:val="auto"/>
          <w:sz w:val="24"/>
        </w:rPr>
      </w:pPr>
      <w:r>
        <w:rPr>
          <w:rFonts w:hint="eastAsia" w:ascii="宋体" w:hAnsi="宋体" w:cs="宋体"/>
          <w:color w:val="auto"/>
          <w:sz w:val="24"/>
        </w:rPr>
        <w:t xml:space="preserve">法定代表人或全权代表（盖章或签字）： </w:t>
      </w:r>
    </w:p>
    <w:p>
      <w:pPr>
        <w:rPr>
          <w:rFonts w:hint="eastAsia" w:ascii="宋体" w:hAnsi="宋体" w:cs="宋体"/>
          <w:color w:val="auto"/>
          <w:sz w:val="24"/>
        </w:rPr>
      </w:pPr>
    </w:p>
    <w:p>
      <w:pPr>
        <w:pStyle w:val="23"/>
        <w:spacing w:line="360" w:lineRule="auto"/>
        <w:outlineLvl w:val="1"/>
        <w:rPr>
          <w:rFonts w:hint="eastAsia" w:hAnsi="宋体" w:cs="宋体"/>
          <w:color w:val="auto"/>
          <w:sz w:val="24"/>
        </w:rPr>
        <w:sectPr>
          <w:pgSz w:w="11906" w:h="16838"/>
          <w:pgMar w:top="1440" w:right="1440" w:bottom="1440" w:left="1440" w:header="851" w:footer="992" w:gutter="0"/>
          <w:cols w:space="720" w:num="1"/>
          <w:docGrid w:linePitch="312" w:charSpace="0"/>
        </w:sectPr>
      </w:pPr>
      <w:r>
        <w:rPr>
          <w:rFonts w:hint="eastAsia" w:hAnsi="宋体" w:cs="宋体"/>
          <w:color w:val="auto"/>
          <w:sz w:val="24"/>
        </w:rPr>
        <w:t xml:space="preserve">                                                日    期 ：</w:t>
      </w:r>
    </w:p>
    <w:p>
      <w:pPr>
        <w:pStyle w:val="23"/>
        <w:spacing w:line="360" w:lineRule="auto"/>
        <w:outlineLvl w:val="1"/>
        <w:rPr>
          <w:rFonts w:hint="eastAsia" w:hAnsi="宋体" w:cs="宋体"/>
          <w:b/>
          <w:color w:val="auto"/>
          <w:sz w:val="28"/>
          <w:szCs w:val="28"/>
        </w:rPr>
      </w:pPr>
      <w:r>
        <w:rPr>
          <w:rFonts w:hint="eastAsia" w:hAnsi="宋体" w:cs="宋体"/>
          <w:b/>
          <w:color w:val="auto"/>
          <w:sz w:val="28"/>
          <w:szCs w:val="28"/>
        </w:rPr>
        <w:t>附件十</w:t>
      </w:r>
      <w:r>
        <w:rPr>
          <w:rFonts w:hint="eastAsia" w:hAnsi="宋体" w:cs="宋体"/>
          <w:b/>
          <w:color w:val="auto"/>
          <w:sz w:val="28"/>
          <w:szCs w:val="28"/>
          <w:lang w:val="en-US" w:eastAsia="zh-CN"/>
        </w:rPr>
        <w:t>二</w:t>
      </w:r>
      <w:r>
        <w:rPr>
          <w:rFonts w:hint="eastAsia" w:hAnsi="宋体" w:cs="宋体"/>
          <w:b/>
          <w:color w:val="auto"/>
          <w:sz w:val="28"/>
          <w:szCs w:val="28"/>
        </w:rPr>
        <w:t>：</w:t>
      </w:r>
    </w:p>
    <w:p>
      <w:pPr>
        <w:spacing w:line="360" w:lineRule="auto"/>
        <w:jc w:val="center"/>
        <w:rPr>
          <w:rFonts w:hint="eastAsia" w:ascii="宋体" w:hAnsi="宋体" w:cs="宋体"/>
          <w:b/>
          <w:bCs/>
          <w:color w:val="auto"/>
          <w:kern w:val="0"/>
          <w:szCs w:val="36"/>
          <w:lang w:val="zh-CN"/>
        </w:rPr>
      </w:pPr>
      <w:r>
        <w:rPr>
          <w:rFonts w:hint="eastAsia" w:ascii="宋体" w:hAnsi="宋体" w:cs="宋体"/>
          <w:b/>
          <w:bCs/>
          <w:color w:val="auto"/>
          <w:kern w:val="0"/>
          <w:szCs w:val="36"/>
          <w:lang w:val="zh-CN"/>
        </w:rPr>
        <w:t>投标报价明细表</w:t>
      </w:r>
    </w:p>
    <w:p>
      <w:pPr>
        <w:jc w:val="center"/>
        <w:rPr>
          <w:rFonts w:hint="eastAsia" w:ascii="宋体" w:hAnsi="宋体" w:cs="宋体"/>
          <w:color w:val="auto"/>
          <w:sz w:val="24"/>
        </w:rPr>
      </w:pPr>
      <w:r>
        <w:rPr>
          <w:rFonts w:hint="eastAsia" w:ascii="宋体" w:hAnsi="宋体" w:cs="宋体"/>
          <w:color w:val="auto"/>
          <w:sz w:val="24"/>
        </w:rPr>
        <w:t xml:space="preserve">                                               [货币单位：人民币元]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203"/>
        <w:gridCol w:w="2898"/>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jc w:val="center"/>
        </w:trPr>
        <w:tc>
          <w:tcPr>
            <w:tcW w:w="569"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olor w:val="auto"/>
                <w:sz w:val="24"/>
                <w:lang w:eastAsia="zh-CN"/>
              </w:rPr>
            </w:pPr>
            <w:r>
              <w:rPr>
                <w:rFonts w:hint="eastAsia" w:ascii="宋体" w:hAnsi="宋体"/>
                <w:color w:val="auto"/>
                <w:sz w:val="24"/>
                <w:lang w:eastAsia="zh-CN"/>
              </w:rPr>
              <w:t>序号</w:t>
            </w:r>
          </w:p>
        </w:tc>
        <w:tc>
          <w:tcPr>
            <w:tcW w:w="320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color w:val="auto"/>
                <w:sz w:val="24"/>
              </w:rPr>
            </w:pPr>
            <w:r>
              <w:rPr>
                <w:rFonts w:hint="eastAsia" w:ascii="宋体" w:hAnsi="宋体"/>
                <w:color w:val="auto"/>
                <w:sz w:val="24"/>
                <w:lang w:val="en-US" w:eastAsia="zh-CN"/>
              </w:rPr>
              <w:t>服务</w:t>
            </w:r>
            <w:r>
              <w:rPr>
                <w:rFonts w:hint="eastAsia" w:ascii="宋体" w:hAnsi="宋体"/>
                <w:color w:val="auto"/>
                <w:sz w:val="24"/>
              </w:rPr>
              <w:t>内容</w:t>
            </w:r>
          </w:p>
        </w:tc>
        <w:tc>
          <w:tcPr>
            <w:tcW w:w="289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olor w:val="auto"/>
                <w:sz w:val="24"/>
                <w:lang w:val="en-US" w:eastAsia="zh-CN"/>
              </w:rPr>
            </w:pPr>
            <w:r>
              <w:rPr>
                <w:rFonts w:hint="eastAsia" w:ascii="宋体" w:hAnsi="宋体" w:eastAsia="宋体"/>
                <w:color w:val="auto"/>
                <w:sz w:val="24"/>
                <w:lang w:eastAsia="zh-CN"/>
              </w:rPr>
              <w:t>每月</w:t>
            </w:r>
            <w:r>
              <w:rPr>
                <w:rFonts w:hint="eastAsia" w:ascii="宋体" w:hAnsi="宋体" w:eastAsia="宋体"/>
                <w:color w:val="auto"/>
                <w:sz w:val="24"/>
                <w:lang w:val="en-US" w:eastAsia="zh-CN"/>
              </w:rPr>
              <w:t>服务费</w:t>
            </w:r>
          </w:p>
        </w:tc>
        <w:tc>
          <w:tcPr>
            <w:tcW w:w="289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color w:val="auto"/>
                <w:sz w:val="24"/>
                <w:lang w:val="en-US"/>
              </w:rPr>
            </w:pPr>
            <w:r>
              <w:rPr>
                <w:rFonts w:hint="eastAsia" w:ascii="宋体" w:hAnsi="宋体" w:eastAsia="宋体"/>
                <w:color w:val="auto"/>
                <w:sz w:val="24"/>
                <w:lang w:val="en-US" w:eastAsia="zh-CN"/>
              </w:rPr>
              <w:t>服务费（总价）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45" w:hRule="atLeast"/>
          <w:jc w:val="center"/>
        </w:trPr>
        <w:tc>
          <w:tcPr>
            <w:tcW w:w="569"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1</w:t>
            </w:r>
          </w:p>
        </w:tc>
        <w:tc>
          <w:tcPr>
            <w:tcW w:w="320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宋体" w:hAnsi="宋体" w:eastAsia="宋体"/>
                <w:color w:val="auto"/>
                <w:sz w:val="24"/>
                <w:lang w:val="en-US" w:eastAsia="zh-CN"/>
              </w:rPr>
            </w:pPr>
            <w:r>
              <w:rPr>
                <w:rFonts w:hint="eastAsia" w:ascii="宋体" w:hAnsi="宋体"/>
                <w:color w:val="auto"/>
                <w:sz w:val="24"/>
                <w:lang w:val="en-US" w:eastAsia="zh-CN"/>
              </w:rPr>
              <w:t>仙居县2019年雪亮工程服务</w:t>
            </w:r>
          </w:p>
        </w:tc>
        <w:tc>
          <w:tcPr>
            <w:tcW w:w="289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center"/>
              <w:textAlignment w:val="auto"/>
              <w:rPr>
                <w:rFonts w:hint="eastAsia" w:ascii="宋体" w:hAnsi="宋体"/>
                <w:color w:val="auto"/>
                <w:sz w:val="24"/>
              </w:rPr>
            </w:pPr>
          </w:p>
        </w:tc>
        <w:tc>
          <w:tcPr>
            <w:tcW w:w="289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center"/>
              <w:textAlignment w:val="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6" w:hRule="atLeast"/>
          <w:jc w:val="center"/>
        </w:trPr>
        <w:tc>
          <w:tcPr>
            <w:tcW w:w="6670"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center"/>
              <w:textAlignment w:val="auto"/>
              <w:rPr>
                <w:rFonts w:hint="eastAsia" w:ascii="宋体" w:hAnsi="宋体"/>
                <w:color w:val="auto"/>
                <w:sz w:val="24"/>
              </w:rPr>
            </w:pPr>
            <w:r>
              <w:rPr>
                <w:rFonts w:hint="eastAsia" w:ascii="宋体" w:hAnsi="宋体"/>
                <w:color w:val="auto"/>
                <w:sz w:val="24"/>
              </w:rPr>
              <w:t>合计投标总报价</w:t>
            </w:r>
          </w:p>
        </w:tc>
        <w:tc>
          <w:tcPr>
            <w:tcW w:w="289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ascii="宋体" w:hAnsi="宋体"/>
                <w:color w:val="auto"/>
                <w:sz w:val="24"/>
              </w:rPr>
            </w:pPr>
            <w:r>
              <w:rPr>
                <w:rFonts w:hint="eastAsia" w:ascii="宋体" w:hAnsi="宋体"/>
                <w:b/>
                <w:color w:val="auto"/>
                <w:sz w:val="24"/>
              </w:rPr>
              <w:t>￥</w:t>
            </w:r>
          </w:p>
        </w:tc>
      </w:tr>
    </w:tbl>
    <w:p>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注：</w:t>
      </w:r>
    </w:p>
    <w:p>
      <w:pPr>
        <w:numPr>
          <w:ilvl w:val="0"/>
          <w:numId w:val="37"/>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每月服务费＝服务费（总价）×60%÷36。</w:t>
      </w:r>
    </w:p>
    <w:p>
      <w:pPr>
        <w:numPr>
          <w:ilvl w:val="0"/>
          <w:numId w:val="37"/>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如项目合同服务期延长二年（24个月）的，则服务费（总价）=每月服务费×（36＋24）。</w:t>
      </w:r>
    </w:p>
    <w:p>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en-US" w:eastAsia="zh-CN"/>
        </w:rPr>
        <w:t>3.</w:t>
      </w:r>
      <w:r>
        <w:rPr>
          <w:rFonts w:hint="eastAsia" w:ascii="宋体" w:hAnsi="宋体" w:cs="宋体"/>
          <w:color w:val="auto"/>
          <w:sz w:val="24"/>
          <w:lang w:val="zh-CN"/>
        </w:rPr>
        <w:t>“投标报价明细表”中的投标总报价应与“开标一览表”中的投标总报价相一致，不一致时，以开标一览表为准。</w:t>
      </w:r>
    </w:p>
    <w:p>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zh-CN"/>
        </w:rPr>
        <w:t>如有漏报的，视同已包含在投标总价内或已作优惠处理。</w:t>
      </w:r>
      <w:r>
        <w:rPr>
          <w:rFonts w:hint="eastAsia" w:ascii="宋体" w:hAnsi="宋体" w:cs="宋体"/>
          <w:b/>
          <w:color w:val="auto"/>
          <w:sz w:val="24"/>
          <w:lang w:val="zh-CN"/>
        </w:rPr>
        <w:t>有重大缺项的将作无效标处理。</w:t>
      </w:r>
    </w:p>
    <w:p>
      <w:pPr>
        <w:ind w:firstLine="480" w:firstLineChars="200"/>
        <w:rPr>
          <w:rFonts w:hint="eastAsia" w:ascii="宋体" w:hAnsi="宋体" w:cs="宋体"/>
          <w:color w:val="auto"/>
          <w:sz w:val="24"/>
          <w:lang w:val="zh-CN"/>
        </w:rPr>
      </w:pPr>
    </w:p>
    <w:p>
      <w:pPr>
        <w:rPr>
          <w:rFonts w:hint="eastAsia" w:ascii="宋体" w:hAnsi="宋体" w:cs="宋体"/>
          <w:b/>
          <w:color w:val="auto"/>
          <w:sz w:val="24"/>
        </w:rPr>
      </w:pPr>
    </w:p>
    <w:p>
      <w:pPr>
        <w:ind w:firstLine="5040" w:firstLineChars="2100"/>
        <w:rPr>
          <w:rFonts w:hint="eastAsia" w:ascii="宋体" w:hAnsi="宋体" w:cs="宋体"/>
          <w:color w:val="auto"/>
          <w:sz w:val="24"/>
          <w:lang w:val="zh-CN"/>
        </w:rPr>
      </w:pPr>
      <w:r>
        <w:rPr>
          <w:rFonts w:hint="eastAsia" w:ascii="宋体" w:hAnsi="宋体" w:cs="宋体"/>
          <w:color w:val="auto"/>
          <w:sz w:val="24"/>
          <w:lang w:val="zh-CN"/>
        </w:rPr>
        <w:t xml:space="preserve">投标人（盖单位章）： </w:t>
      </w:r>
    </w:p>
    <w:p>
      <w:pPr>
        <w:rPr>
          <w:rFonts w:hint="eastAsia" w:ascii="宋体" w:hAnsi="宋体" w:cs="宋体"/>
          <w:color w:val="auto"/>
          <w:sz w:val="24"/>
          <w:lang w:val="zh-CN"/>
        </w:rPr>
      </w:pPr>
    </w:p>
    <w:p>
      <w:pPr>
        <w:ind w:firstLine="3120" w:firstLineChars="1300"/>
        <w:rPr>
          <w:rFonts w:hint="eastAsia" w:ascii="宋体" w:hAnsi="宋体" w:cs="宋体"/>
          <w:color w:val="auto"/>
          <w:sz w:val="24"/>
          <w:lang w:val="zh-CN"/>
        </w:rPr>
      </w:pPr>
      <w:r>
        <w:rPr>
          <w:rFonts w:hint="eastAsia" w:ascii="宋体" w:hAnsi="宋体" w:cs="宋体"/>
          <w:color w:val="auto"/>
          <w:sz w:val="24"/>
          <w:lang w:val="zh-CN"/>
        </w:rPr>
        <w:t xml:space="preserve">法定代表人或全权代表（盖章或签字）： </w:t>
      </w:r>
    </w:p>
    <w:p>
      <w:pPr>
        <w:rPr>
          <w:rFonts w:hint="eastAsia" w:ascii="宋体" w:hAnsi="宋体" w:cs="宋体"/>
          <w:color w:val="auto"/>
          <w:sz w:val="24"/>
          <w:lang w:val="zh-CN"/>
        </w:rPr>
      </w:pPr>
    </w:p>
    <w:p>
      <w:pPr>
        <w:pStyle w:val="23"/>
        <w:spacing w:line="360" w:lineRule="auto"/>
        <w:ind w:firstLine="480" w:firstLineChars="200"/>
        <w:rPr>
          <w:rFonts w:hint="eastAsia" w:hAnsi="宋体" w:cs="宋体"/>
          <w:color w:val="auto"/>
          <w:sz w:val="24"/>
          <w:lang w:val="zh-CN"/>
        </w:rPr>
        <w:sectPr>
          <w:pgSz w:w="11906" w:h="16838"/>
          <w:pgMar w:top="1440" w:right="1440" w:bottom="1440" w:left="1440" w:header="851" w:footer="992" w:gutter="0"/>
          <w:cols w:space="720" w:num="1"/>
          <w:docGrid w:linePitch="312" w:charSpace="0"/>
        </w:sectPr>
      </w:pPr>
      <w:r>
        <w:rPr>
          <w:rFonts w:hint="eastAsia" w:hAnsi="宋体" w:cs="宋体"/>
          <w:color w:val="auto"/>
          <w:sz w:val="24"/>
          <w:lang w:val="zh-CN"/>
        </w:rPr>
        <w:t xml:space="preserve">                                               日    期</w:t>
      </w:r>
      <w:r>
        <w:rPr>
          <w:rFonts w:hint="eastAsia" w:hAnsi="宋体" w:cs="宋体"/>
          <w:color w:val="auto"/>
          <w:sz w:val="24"/>
        </w:rPr>
        <w:t xml:space="preserve"> </w:t>
      </w:r>
      <w:r>
        <w:rPr>
          <w:rFonts w:hint="eastAsia" w:hAnsi="宋体" w:cs="宋体"/>
          <w:color w:val="auto"/>
          <w:sz w:val="24"/>
          <w:lang w:val="zh-CN"/>
        </w:rPr>
        <w:t>：</w:t>
      </w:r>
    </w:p>
    <w:p>
      <w:pPr>
        <w:pStyle w:val="23"/>
        <w:spacing w:line="360" w:lineRule="auto"/>
        <w:outlineLvl w:val="1"/>
        <w:rPr>
          <w:rFonts w:hint="eastAsia" w:hAnsi="宋体" w:cs="宋体"/>
          <w:b/>
          <w:color w:val="auto"/>
          <w:sz w:val="28"/>
          <w:szCs w:val="28"/>
        </w:rPr>
      </w:pPr>
      <w:r>
        <w:rPr>
          <w:rFonts w:hint="eastAsia" w:hAnsi="宋体" w:cs="宋体"/>
          <w:b/>
          <w:color w:val="auto"/>
          <w:sz w:val="28"/>
          <w:szCs w:val="28"/>
        </w:rPr>
        <w:t>附件十</w:t>
      </w:r>
      <w:r>
        <w:rPr>
          <w:rFonts w:hint="eastAsia" w:hAnsi="宋体" w:cs="宋体"/>
          <w:b/>
          <w:color w:val="auto"/>
          <w:sz w:val="28"/>
          <w:szCs w:val="28"/>
          <w:lang w:val="en-US" w:eastAsia="zh-CN"/>
        </w:rPr>
        <w:t>三</w:t>
      </w:r>
      <w:r>
        <w:rPr>
          <w:rFonts w:hint="eastAsia" w:hAnsi="宋体" w:cs="宋体"/>
          <w:b/>
          <w:color w:val="auto"/>
          <w:sz w:val="28"/>
          <w:szCs w:val="28"/>
        </w:rPr>
        <w:t>：</w:t>
      </w:r>
    </w:p>
    <w:p>
      <w:pPr>
        <w:ind w:right="-110"/>
        <w:jc w:val="center"/>
        <w:rPr>
          <w:rFonts w:hint="eastAsia" w:ascii="宋体" w:hAnsi="宋体" w:cs="宋体"/>
          <w:b/>
          <w:color w:val="auto"/>
          <w:sz w:val="32"/>
          <w:szCs w:val="32"/>
        </w:rPr>
      </w:pPr>
      <w:r>
        <w:rPr>
          <w:rFonts w:hint="eastAsia" w:ascii="宋体" w:hAnsi="宋体" w:cs="宋体"/>
          <w:b/>
          <w:color w:val="auto"/>
          <w:sz w:val="32"/>
          <w:szCs w:val="32"/>
        </w:rPr>
        <w:t>小</w:t>
      </w:r>
      <w:r>
        <w:rPr>
          <w:rFonts w:hint="eastAsia" w:ascii="宋体" w:hAnsi="宋体" w:cs="宋体"/>
          <w:b/>
          <w:color w:val="auto"/>
          <w:sz w:val="32"/>
          <w:szCs w:val="32"/>
          <w:lang w:val="en-GB"/>
        </w:rPr>
        <w:t>微</w:t>
      </w:r>
      <w:r>
        <w:rPr>
          <w:rFonts w:hint="eastAsia" w:ascii="宋体" w:hAnsi="宋体" w:cs="宋体"/>
          <w:b/>
          <w:color w:val="auto"/>
          <w:sz w:val="32"/>
          <w:szCs w:val="32"/>
        </w:rPr>
        <w:t>企业声明函</w:t>
      </w:r>
    </w:p>
    <w:p>
      <w:pPr>
        <w:ind w:right="-110"/>
        <w:jc w:val="center"/>
        <w:rPr>
          <w:rFonts w:hint="eastAsia" w:ascii="宋体" w:hAnsi="宋体" w:cs="宋体"/>
          <w:b/>
          <w:color w:val="auto"/>
          <w:sz w:val="32"/>
          <w:szCs w:val="32"/>
        </w:rPr>
      </w:pPr>
    </w:p>
    <w:p>
      <w:pPr>
        <w:pStyle w:val="220"/>
        <w:spacing w:line="360" w:lineRule="auto"/>
        <w:ind w:firstLine="480" w:firstLineChars="200"/>
        <w:rPr>
          <w:rFonts w:hint="eastAsia" w:ascii="宋体" w:hAnsi="宋体" w:cs="宋体"/>
          <w:color w:val="auto"/>
          <w:spacing w:val="6"/>
          <w:sz w:val="24"/>
        </w:rPr>
      </w:pPr>
      <w:r>
        <w:rPr>
          <w:rFonts w:hint="eastAsia" w:ascii="宋体" w:hAnsi="宋体" w:cs="宋体"/>
          <w:color w:val="auto"/>
          <w:sz w:val="24"/>
          <w:lang w:val="zh-CN"/>
        </w:rPr>
        <w:t>本公司郑重声明，根据《政府采购促进中小企业发展暂行办法》（财库[2011]181号）的规定，本公司为______（请填写：小型、微型）企业。即，本公司同时满足以下条件：</w:t>
      </w:r>
    </w:p>
    <w:p>
      <w:pPr>
        <w:pStyle w:val="220"/>
        <w:spacing w:line="360" w:lineRule="auto"/>
        <w:ind w:firstLine="480" w:firstLineChars="200"/>
        <w:rPr>
          <w:rFonts w:hint="eastAsia" w:ascii="宋体" w:hAnsi="宋体" w:cs="宋体"/>
          <w:color w:val="auto"/>
          <w:spacing w:val="6"/>
          <w:sz w:val="24"/>
        </w:rPr>
      </w:pPr>
      <w:r>
        <w:rPr>
          <w:rFonts w:hint="eastAsia" w:ascii="宋体" w:hAnsi="宋体" w:cs="宋体"/>
          <w:color w:val="auto"/>
          <w:sz w:val="24"/>
          <w:lang w:val="zh-CN"/>
        </w:rPr>
        <w:t>1.根据《工业和信息化部、国家统计局、国家发展和改革委员会、财政部关于印发中小企业划型标准规定的通知》（工信部联企业[2011]300号）规定的划分标准，本公司为______（请填写：小型、微型）企业。</w:t>
      </w:r>
    </w:p>
    <w:p>
      <w:pPr>
        <w:pStyle w:val="22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2.本公司参加仙居县政府采购中心组织</w:t>
      </w:r>
      <w:r>
        <w:rPr>
          <w:rFonts w:hint="eastAsia" w:ascii="宋体" w:hAnsi="宋体" w:cs="宋体"/>
          <w:color w:val="auto"/>
          <w:spacing w:val="6"/>
          <w:sz w:val="24"/>
        </w:rPr>
        <w:t>的</w:t>
      </w:r>
      <w:r>
        <w:rPr>
          <w:rFonts w:hint="eastAsia" w:ascii="宋体" w:hAnsi="宋体" w:cs="宋体"/>
          <w:color w:val="auto"/>
          <w:spacing w:val="6"/>
          <w:sz w:val="24"/>
          <w:u w:val="single"/>
        </w:rPr>
        <w:t xml:space="preserve">                  </w:t>
      </w:r>
      <w:r>
        <w:rPr>
          <w:rFonts w:hint="eastAsia" w:ascii="宋体" w:hAnsi="宋体" w:cs="宋体"/>
          <w:color w:val="auto"/>
          <w:sz w:val="24"/>
          <w:lang w:val="zh-CN"/>
        </w:rPr>
        <w:t>采购项目（项目编号：</w:t>
      </w:r>
      <w:r>
        <w:rPr>
          <w:rFonts w:hint="eastAsia" w:ascii="宋体" w:hAnsi="宋体" w:cs="宋体"/>
          <w:color w:val="auto"/>
          <w:spacing w:val="6"/>
          <w:sz w:val="24"/>
          <w:u w:val="single"/>
        </w:rPr>
        <w:t xml:space="preserve">         </w:t>
      </w:r>
      <w:r>
        <w:rPr>
          <w:rFonts w:hint="eastAsia" w:ascii="宋体" w:hAnsi="宋体" w:cs="宋体"/>
          <w:color w:val="auto"/>
          <w:spacing w:val="6"/>
          <w:sz w:val="24"/>
        </w:rPr>
        <w:t xml:space="preserve"> ）</w:t>
      </w:r>
      <w:r>
        <w:rPr>
          <w:rFonts w:hint="eastAsia" w:ascii="宋体" w:hAnsi="宋体" w:cs="宋体"/>
          <w:color w:val="auto"/>
          <w:sz w:val="24"/>
          <w:lang w:val="zh-CN"/>
        </w:rPr>
        <w:t>采购活动提供本企业制造的货物，由本企业承担工程、提供服务，或者提供其他</w:t>
      </w:r>
      <w:r>
        <w:rPr>
          <w:rFonts w:hint="eastAsia" w:ascii="宋体" w:hAnsi="宋体" w:cs="宋体"/>
          <w:color w:val="auto"/>
          <w:spacing w:val="6"/>
          <w:sz w:val="24"/>
        </w:rPr>
        <w:t>______</w:t>
      </w:r>
      <w:r>
        <w:rPr>
          <w:rFonts w:hint="eastAsia" w:ascii="宋体" w:hAnsi="宋体" w:cs="宋体"/>
          <w:color w:val="auto"/>
          <w:sz w:val="24"/>
          <w:lang w:val="zh-CN"/>
        </w:rPr>
        <w:t>（请填写：小型、微型）企业制造的货物。本条所称货物不包括使用大、中型企业注册商标的货物。</w:t>
      </w:r>
    </w:p>
    <w:p>
      <w:pPr>
        <w:pStyle w:val="220"/>
        <w:spacing w:line="360" w:lineRule="auto"/>
        <w:ind w:firstLine="480" w:firstLineChars="200"/>
        <w:rPr>
          <w:rFonts w:hint="eastAsia" w:ascii="宋体" w:hAnsi="宋体" w:cs="宋体"/>
          <w:color w:val="auto"/>
          <w:spacing w:val="6"/>
          <w:sz w:val="24"/>
        </w:rPr>
      </w:pPr>
      <w:r>
        <w:rPr>
          <w:rFonts w:hint="eastAsia" w:ascii="宋体" w:hAnsi="宋体" w:cs="宋体"/>
          <w:color w:val="auto"/>
          <w:sz w:val="24"/>
          <w:lang w:val="zh-CN"/>
        </w:rPr>
        <w:t>本公司对上述声明的真实性负责。如有虚假，将依法承担相应责任。</w:t>
      </w:r>
    </w:p>
    <w:p>
      <w:pPr>
        <w:pStyle w:val="220"/>
        <w:spacing w:line="360" w:lineRule="auto"/>
        <w:ind w:firstLine="504" w:firstLineChars="200"/>
        <w:rPr>
          <w:rFonts w:hint="eastAsia" w:ascii="宋体" w:hAnsi="宋体" w:cs="宋体"/>
          <w:color w:val="auto"/>
          <w:spacing w:val="6"/>
          <w:sz w:val="24"/>
        </w:rPr>
      </w:pPr>
    </w:p>
    <w:p>
      <w:pPr>
        <w:spacing w:line="360" w:lineRule="auto"/>
        <w:ind w:firstLine="4080" w:firstLineChars="1700"/>
        <w:rPr>
          <w:rFonts w:hint="eastAsia" w:ascii="宋体" w:hAnsi="宋体" w:cs="宋体"/>
          <w:color w:val="auto"/>
          <w:sz w:val="24"/>
          <w:lang w:val="zh-CN"/>
        </w:rPr>
      </w:pPr>
      <w:r>
        <w:rPr>
          <w:rFonts w:hint="eastAsia" w:ascii="宋体" w:hAnsi="宋体" w:cs="宋体"/>
          <w:color w:val="auto"/>
          <w:sz w:val="24"/>
          <w:lang w:val="zh-CN"/>
        </w:rPr>
        <w:t>投 标 人（盖单位公章）：</w:t>
      </w:r>
    </w:p>
    <w:p>
      <w:pPr>
        <w:spacing w:line="360" w:lineRule="auto"/>
        <w:ind w:firstLine="6120" w:firstLineChars="2550"/>
        <w:rPr>
          <w:rFonts w:hint="eastAsia" w:ascii="宋体" w:hAnsi="宋体" w:cs="宋体"/>
          <w:color w:val="auto"/>
          <w:sz w:val="24"/>
          <w:lang w:val="zh-CN"/>
        </w:rPr>
      </w:pPr>
      <w:r>
        <w:rPr>
          <w:rFonts w:hint="eastAsia" w:ascii="宋体" w:hAnsi="宋体" w:cs="宋体"/>
          <w:color w:val="auto"/>
          <w:sz w:val="24"/>
          <w:lang w:val="zh-CN"/>
        </w:rPr>
        <w:t>日</w:t>
      </w:r>
      <w:r>
        <w:rPr>
          <w:rFonts w:hint="eastAsia" w:ascii="宋体" w:hAnsi="宋体" w:cs="宋体"/>
          <w:color w:val="auto"/>
          <w:sz w:val="24"/>
        </w:rPr>
        <w:t xml:space="preserve"> </w:t>
      </w:r>
      <w:r>
        <w:rPr>
          <w:rFonts w:hint="eastAsia" w:ascii="宋体" w:hAnsi="宋体" w:cs="宋体"/>
          <w:color w:val="auto"/>
          <w:sz w:val="24"/>
          <w:lang w:val="zh-CN"/>
        </w:rPr>
        <w:t>期：</w:t>
      </w:r>
    </w:p>
    <w:p>
      <w:pPr>
        <w:snapToGrid w:val="0"/>
        <w:spacing w:line="312" w:lineRule="auto"/>
        <w:ind w:firstLine="602" w:firstLineChars="250"/>
        <w:rPr>
          <w:rFonts w:hint="eastAsia" w:ascii="宋体" w:hAnsi="宋体" w:cs="宋体"/>
          <w:b/>
          <w:bCs/>
          <w:color w:val="auto"/>
          <w:sz w:val="24"/>
          <w:lang w:val="zh-CN"/>
        </w:rPr>
      </w:pPr>
    </w:p>
    <w:p>
      <w:pPr>
        <w:snapToGrid w:val="0"/>
        <w:spacing w:line="312" w:lineRule="auto"/>
        <w:ind w:firstLine="482" w:firstLineChars="200"/>
        <w:rPr>
          <w:rFonts w:hint="eastAsia" w:ascii="宋体" w:hAnsi="宋体" w:cs="宋体"/>
          <w:b/>
          <w:bCs/>
          <w:color w:val="auto"/>
          <w:sz w:val="24"/>
          <w:lang w:val="zh-CN"/>
        </w:rPr>
      </w:pPr>
    </w:p>
    <w:p>
      <w:pPr>
        <w:snapToGrid w:val="0"/>
        <w:spacing w:line="312" w:lineRule="auto"/>
        <w:ind w:firstLine="482" w:firstLineChars="200"/>
        <w:rPr>
          <w:rFonts w:hint="eastAsia" w:ascii="宋体" w:hAnsi="宋体" w:cs="宋体"/>
          <w:color w:val="auto"/>
          <w:sz w:val="24"/>
          <w:lang w:val="zh-CN"/>
        </w:rPr>
      </w:pPr>
      <w:r>
        <w:rPr>
          <w:rFonts w:hint="eastAsia" w:ascii="宋体" w:hAnsi="宋体" w:cs="宋体"/>
          <w:b/>
          <w:bCs/>
          <w:color w:val="auto"/>
          <w:sz w:val="24"/>
          <w:lang w:val="zh-CN"/>
        </w:rPr>
        <w:t>备注说明：</w:t>
      </w:r>
      <w:r>
        <w:rPr>
          <w:rFonts w:hint="eastAsia" w:ascii="宋体" w:hAnsi="宋体" w:cs="宋体"/>
          <w:color w:val="auto"/>
          <w:sz w:val="24"/>
          <w:lang w:val="zh-CN"/>
        </w:rPr>
        <w:t>《小微企业声明函》中，须同时满足以上两个条件。如投标人提供非本企业制造的货物，须提供制造商“国家企业信用信息公示系统——小微企业名录”页面查询结果（查询时间为投标前一周内，并加盖投标人公章）。</w:t>
      </w:r>
    </w:p>
    <w:p>
      <w:pPr>
        <w:pStyle w:val="23"/>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GB"/>
        </w:rPr>
        <w:br w:type="page"/>
      </w:r>
      <w:r>
        <w:rPr>
          <w:rFonts w:hint="eastAsia" w:hAnsi="宋体" w:cs="宋体"/>
          <w:b/>
          <w:color w:val="auto"/>
          <w:sz w:val="32"/>
          <w:szCs w:val="32"/>
          <w:lang w:val="en-GB"/>
        </w:rPr>
        <w:t>残疾人福利性单位声明函</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rPr>
        <w:t xml:space="preserve">仙居县政府采购中心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588" w:lineRule="exact"/>
        <w:ind w:right="1560" w:firstLine="504" w:firstLineChars="200"/>
        <w:jc w:val="center"/>
        <w:rPr>
          <w:rFonts w:hint="eastAsia" w:ascii="宋体" w:hAnsi="宋体" w:cs="宋体"/>
          <w:color w:val="auto"/>
          <w:sz w:val="24"/>
        </w:rPr>
      </w:pPr>
      <w:r>
        <w:rPr>
          <w:rFonts w:hint="eastAsia" w:ascii="宋体" w:hAnsi="宋体" w:cs="宋体"/>
          <w:color w:val="auto"/>
          <w:spacing w:val="6"/>
          <w:sz w:val="24"/>
        </w:rPr>
        <w:t xml:space="preserve">       日  期：</w:t>
      </w:r>
    </w:p>
    <w:p>
      <w:pPr>
        <w:pStyle w:val="23"/>
        <w:spacing w:line="360" w:lineRule="auto"/>
        <w:outlineLvl w:val="1"/>
        <w:rPr>
          <w:rFonts w:hint="eastAsia" w:hAnsi="宋体" w:cs="宋体"/>
          <w:b/>
          <w:color w:val="auto"/>
          <w:sz w:val="24"/>
        </w:rPr>
      </w:pPr>
      <w:r>
        <w:rPr>
          <w:rFonts w:hint="eastAsia" w:hAnsi="宋体" w:cs="宋体"/>
          <w:b/>
          <w:color w:val="auto"/>
          <w:sz w:val="24"/>
        </w:rPr>
        <w:br w:type="page"/>
      </w:r>
      <w:r>
        <w:rPr>
          <w:rFonts w:hint="eastAsia" w:hAnsi="宋体" w:cs="宋体"/>
          <w:b/>
          <w:color w:val="auto"/>
          <w:sz w:val="28"/>
          <w:szCs w:val="28"/>
        </w:rPr>
        <w:t>附件十</w:t>
      </w:r>
      <w:r>
        <w:rPr>
          <w:rFonts w:hint="eastAsia" w:hAnsi="宋体" w:cs="宋体"/>
          <w:b/>
          <w:color w:val="auto"/>
          <w:sz w:val="28"/>
          <w:szCs w:val="28"/>
          <w:lang w:val="en-US" w:eastAsia="zh-CN"/>
        </w:rPr>
        <w:t>四</w:t>
      </w:r>
      <w:r>
        <w:rPr>
          <w:rFonts w:hint="eastAsia" w:hAnsi="宋体" w:cs="宋体"/>
          <w:b/>
          <w:color w:val="auto"/>
          <w:sz w:val="28"/>
          <w:szCs w:val="28"/>
        </w:rPr>
        <w:t>：</w:t>
      </w:r>
    </w:p>
    <w:p>
      <w:pPr>
        <w:pStyle w:val="250"/>
        <w:jc w:val="center"/>
        <w:rPr>
          <w:rFonts w:hint="eastAsia" w:ascii="宋体" w:hAnsi="宋体" w:cs="宋体"/>
          <w:b/>
          <w:color w:val="auto"/>
          <w:sz w:val="32"/>
          <w:szCs w:val="32"/>
          <w:lang w:val="en-GB"/>
        </w:rPr>
      </w:pPr>
      <w:r>
        <w:rPr>
          <w:rFonts w:hint="eastAsia" w:ascii="宋体" w:hAnsi="宋体" w:cs="宋体"/>
          <w:b/>
          <w:color w:val="auto"/>
          <w:sz w:val="32"/>
          <w:szCs w:val="32"/>
          <w:lang w:val="en-GB"/>
        </w:rPr>
        <w:t>产品适用政府采购政策情况表</w:t>
      </w:r>
    </w:p>
    <w:p>
      <w:pPr>
        <w:pStyle w:val="250"/>
        <w:jc w:val="center"/>
        <w:rPr>
          <w:rFonts w:hint="eastAsia" w:ascii="宋体" w:hAnsi="宋体" w:cs="宋体"/>
          <w:b/>
          <w:color w:val="auto"/>
          <w:sz w:val="36"/>
          <w:szCs w:val="36"/>
          <w:lang w:val="en-GB"/>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restart"/>
            <w:noWrap w:val="0"/>
            <w:vAlign w:val="center"/>
          </w:tcPr>
          <w:p>
            <w:pPr>
              <w:pStyle w:val="250"/>
              <w:tabs>
                <w:tab w:val="left" w:pos="1260"/>
              </w:tabs>
              <w:jc w:val="center"/>
              <w:rPr>
                <w:rFonts w:hint="eastAsia" w:ascii="宋体" w:hAnsi="宋体" w:cs="宋体"/>
                <w:color w:val="auto"/>
                <w:sz w:val="24"/>
                <w:lang w:val="en-GB"/>
              </w:rPr>
            </w:pPr>
            <w:r>
              <w:rPr>
                <w:rFonts w:hint="eastAsia" w:ascii="宋体" w:hAnsi="宋体" w:cs="宋体"/>
                <w:color w:val="auto"/>
                <w:sz w:val="24"/>
                <w:lang w:val="en-GB"/>
              </w:rPr>
              <w:t>小微企业扶持政策</w:t>
            </w:r>
          </w:p>
        </w:tc>
        <w:tc>
          <w:tcPr>
            <w:tcW w:w="8111" w:type="dxa"/>
            <w:gridSpan w:val="3"/>
            <w:noWrap w:val="0"/>
            <w:vAlign w:val="center"/>
          </w:tcPr>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8111" w:type="dxa"/>
                  <w:noWrap w:val="0"/>
                  <w:vAlign w:val="center"/>
                </w:tcPr>
                <w:p>
                  <w:pPr>
                    <w:pStyle w:val="250"/>
                    <w:tabs>
                      <w:tab w:val="left" w:pos="1260"/>
                    </w:tabs>
                    <w:spacing w:line="360" w:lineRule="auto"/>
                    <w:rPr>
                      <w:rFonts w:hint="eastAsia" w:ascii="宋体" w:hAnsi="宋体" w:cs="宋体"/>
                      <w:color w:val="auto"/>
                      <w:sz w:val="24"/>
                    </w:rPr>
                  </w:pPr>
                  <w:r>
                    <w:rPr>
                      <w:rFonts w:hint="eastAsia" w:ascii="宋体" w:hAnsi="宋体" w:cs="宋体"/>
                      <w:b/>
                      <w:bCs/>
                      <w:color w:val="auto"/>
                      <w:sz w:val="24"/>
                    </w:rPr>
                    <w:t>小型、微型企业投标且所投产品（指货物、工程、服务）由本企业制造，或者所投产品（仅指货物）含有其他小型、微型企业制造的，应</w:t>
                  </w:r>
                  <w:r>
                    <w:rPr>
                      <w:rFonts w:hint="eastAsia" w:ascii="宋体" w:hAnsi="宋体" w:cs="宋体"/>
                      <w:b/>
                      <w:bCs/>
                      <w:color w:val="auto"/>
                      <w:sz w:val="24"/>
                      <w:lang w:val="en-GB"/>
                    </w:rPr>
                    <w:t>按要求列出具体产品与金额。</w:t>
                  </w:r>
                </w:p>
              </w:tc>
            </w:tr>
          </w:tbl>
          <w:p>
            <w:pPr>
              <w:pStyle w:val="250"/>
              <w:tabs>
                <w:tab w:val="left" w:pos="1260"/>
              </w:tabs>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cs="宋体"/>
                <w:color w:val="auto"/>
                <w:sz w:val="24"/>
                <w:lang w:val="en-GB"/>
              </w:rPr>
            </w:pPr>
          </w:p>
        </w:tc>
        <w:tc>
          <w:tcPr>
            <w:tcW w:w="2679" w:type="dxa"/>
            <w:noWrap w:val="0"/>
            <w:vAlign w:val="center"/>
          </w:tcPr>
          <w:p>
            <w:pPr>
              <w:pStyle w:val="250"/>
              <w:tabs>
                <w:tab w:val="left" w:pos="1260"/>
              </w:tabs>
              <w:jc w:val="center"/>
              <w:rPr>
                <w:rFonts w:hint="eastAsia" w:ascii="宋体" w:hAnsi="宋体" w:cs="宋体"/>
                <w:color w:val="auto"/>
                <w:sz w:val="24"/>
                <w:lang w:val="en-GB"/>
              </w:rPr>
            </w:pPr>
            <w:r>
              <w:rPr>
                <w:rFonts w:hint="eastAsia" w:ascii="宋体" w:hAnsi="宋体" w:cs="宋体"/>
                <w:color w:val="auto"/>
                <w:sz w:val="24"/>
                <w:lang w:val="en-GB"/>
              </w:rPr>
              <w:t>产品名称（品牌、型号）</w:t>
            </w:r>
          </w:p>
        </w:tc>
        <w:tc>
          <w:tcPr>
            <w:tcW w:w="3811" w:type="dxa"/>
            <w:noWrap w:val="0"/>
            <w:vAlign w:val="center"/>
          </w:tcPr>
          <w:p>
            <w:pPr>
              <w:pStyle w:val="250"/>
              <w:tabs>
                <w:tab w:val="left" w:pos="1260"/>
              </w:tabs>
              <w:jc w:val="center"/>
              <w:rPr>
                <w:rFonts w:hint="eastAsia" w:ascii="宋体" w:hAnsi="宋体" w:cs="宋体"/>
                <w:color w:val="auto"/>
                <w:sz w:val="24"/>
                <w:lang w:val="en-GB"/>
              </w:rPr>
            </w:pPr>
            <w:r>
              <w:rPr>
                <w:rFonts w:hint="eastAsia" w:ascii="宋体" w:hAnsi="宋体" w:cs="宋体"/>
                <w:color w:val="auto"/>
                <w:sz w:val="24"/>
                <w:lang w:val="en-GB"/>
              </w:rPr>
              <w:t>制造企业名称</w:t>
            </w:r>
          </w:p>
        </w:tc>
        <w:tc>
          <w:tcPr>
            <w:tcW w:w="1621" w:type="dxa"/>
            <w:noWrap w:val="0"/>
            <w:vAlign w:val="center"/>
          </w:tcPr>
          <w:p>
            <w:pPr>
              <w:pStyle w:val="250"/>
              <w:tabs>
                <w:tab w:val="left" w:pos="1260"/>
              </w:tabs>
              <w:jc w:val="center"/>
              <w:rPr>
                <w:rFonts w:hint="eastAsia" w:ascii="宋体" w:hAnsi="宋体" w:cs="宋体"/>
                <w:color w:val="auto"/>
                <w:sz w:val="24"/>
                <w:lang w:val="en-GB"/>
              </w:rPr>
            </w:pPr>
            <w:r>
              <w:rPr>
                <w:rFonts w:hint="eastAsia" w:ascii="宋体" w:hAnsi="宋体" w:cs="宋体"/>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cs="宋体"/>
                <w:color w:val="auto"/>
                <w:sz w:val="24"/>
                <w:lang w:val="en-GB"/>
              </w:rPr>
            </w:pPr>
          </w:p>
        </w:tc>
        <w:tc>
          <w:tcPr>
            <w:tcW w:w="2679" w:type="dxa"/>
            <w:noWrap w:val="0"/>
            <w:vAlign w:val="center"/>
          </w:tcPr>
          <w:p>
            <w:pPr>
              <w:pStyle w:val="250"/>
              <w:tabs>
                <w:tab w:val="left" w:pos="1260"/>
              </w:tabs>
              <w:jc w:val="center"/>
              <w:rPr>
                <w:rFonts w:hint="eastAsia" w:ascii="宋体" w:hAnsi="宋体" w:cs="宋体"/>
                <w:color w:val="auto"/>
                <w:sz w:val="24"/>
                <w:lang w:val="en-GB"/>
              </w:rPr>
            </w:pPr>
          </w:p>
        </w:tc>
        <w:tc>
          <w:tcPr>
            <w:tcW w:w="3811" w:type="dxa"/>
            <w:noWrap w:val="0"/>
            <w:vAlign w:val="center"/>
          </w:tcPr>
          <w:p>
            <w:pPr>
              <w:pStyle w:val="250"/>
              <w:tabs>
                <w:tab w:val="left" w:pos="1260"/>
              </w:tabs>
              <w:jc w:val="center"/>
              <w:rPr>
                <w:rFonts w:hint="eastAsia" w:ascii="宋体" w:hAnsi="宋体" w:cs="宋体"/>
                <w:color w:val="auto"/>
                <w:sz w:val="24"/>
                <w:lang w:val="en-GB"/>
              </w:rPr>
            </w:pPr>
          </w:p>
        </w:tc>
        <w:tc>
          <w:tcPr>
            <w:tcW w:w="1621" w:type="dxa"/>
            <w:noWrap w:val="0"/>
            <w:vAlign w:val="center"/>
          </w:tcPr>
          <w:p>
            <w:pPr>
              <w:pStyle w:val="250"/>
              <w:tabs>
                <w:tab w:val="left" w:pos="1260"/>
              </w:tabs>
              <w:jc w:val="center"/>
              <w:rPr>
                <w:rFonts w:hint="eastAsia"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cs="宋体"/>
                <w:color w:val="auto"/>
                <w:sz w:val="24"/>
                <w:lang w:val="en-GB"/>
              </w:rPr>
            </w:pPr>
          </w:p>
        </w:tc>
        <w:tc>
          <w:tcPr>
            <w:tcW w:w="2679" w:type="dxa"/>
            <w:noWrap w:val="0"/>
            <w:vAlign w:val="center"/>
          </w:tcPr>
          <w:p>
            <w:pPr>
              <w:pStyle w:val="250"/>
              <w:tabs>
                <w:tab w:val="left" w:pos="1260"/>
              </w:tabs>
              <w:jc w:val="center"/>
              <w:rPr>
                <w:rFonts w:hint="eastAsia" w:ascii="宋体" w:hAnsi="宋体" w:cs="宋体"/>
                <w:color w:val="auto"/>
                <w:sz w:val="24"/>
                <w:lang w:val="en-GB"/>
              </w:rPr>
            </w:pPr>
          </w:p>
        </w:tc>
        <w:tc>
          <w:tcPr>
            <w:tcW w:w="3811" w:type="dxa"/>
            <w:noWrap w:val="0"/>
            <w:vAlign w:val="center"/>
          </w:tcPr>
          <w:p>
            <w:pPr>
              <w:pStyle w:val="250"/>
              <w:tabs>
                <w:tab w:val="left" w:pos="1260"/>
              </w:tabs>
              <w:jc w:val="center"/>
              <w:rPr>
                <w:rFonts w:hint="eastAsia" w:ascii="宋体" w:hAnsi="宋体" w:cs="宋体"/>
                <w:color w:val="auto"/>
                <w:sz w:val="24"/>
                <w:lang w:val="en-GB"/>
              </w:rPr>
            </w:pPr>
          </w:p>
        </w:tc>
        <w:tc>
          <w:tcPr>
            <w:tcW w:w="1621" w:type="dxa"/>
            <w:noWrap w:val="0"/>
            <w:vAlign w:val="center"/>
          </w:tcPr>
          <w:p>
            <w:pPr>
              <w:pStyle w:val="250"/>
              <w:tabs>
                <w:tab w:val="left" w:pos="1260"/>
              </w:tabs>
              <w:jc w:val="center"/>
              <w:rPr>
                <w:rFonts w:hint="eastAsia"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cs="宋体"/>
                <w:color w:val="auto"/>
                <w:sz w:val="24"/>
                <w:lang w:val="en-GB"/>
              </w:rPr>
            </w:pPr>
          </w:p>
        </w:tc>
        <w:tc>
          <w:tcPr>
            <w:tcW w:w="2679" w:type="dxa"/>
            <w:noWrap w:val="0"/>
            <w:vAlign w:val="center"/>
          </w:tcPr>
          <w:p>
            <w:pPr>
              <w:pStyle w:val="250"/>
              <w:tabs>
                <w:tab w:val="left" w:pos="1260"/>
              </w:tabs>
              <w:jc w:val="center"/>
              <w:rPr>
                <w:rFonts w:hint="eastAsia" w:ascii="宋体" w:hAnsi="宋体" w:cs="宋体"/>
                <w:color w:val="auto"/>
                <w:sz w:val="24"/>
                <w:lang w:val="en-GB"/>
              </w:rPr>
            </w:pPr>
          </w:p>
        </w:tc>
        <w:tc>
          <w:tcPr>
            <w:tcW w:w="3811" w:type="dxa"/>
            <w:noWrap w:val="0"/>
            <w:vAlign w:val="center"/>
          </w:tcPr>
          <w:p>
            <w:pPr>
              <w:pStyle w:val="250"/>
              <w:tabs>
                <w:tab w:val="left" w:pos="1260"/>
              </w:tabs>
              <w:jc w:val="center"/>
              <w:rPr>
                <w:rFonts w:hint="eastAsia" w:ascii="宋体" w:hAnsi="宋体" w:cs="宋体"/>
                <w:color w:val="auto"/>
                <w:sz w:val="24"/>
                <w:lang w:val="en-GB"/>
              </w:rPr>
            </w:pPr>
          </w:p>
        </w:tc>
        <w:tc>
          <w:tcPr>
            <w:tcW w:w="1621" w:type="dxa"/>
            <w:noWrap w:val="0"/>
            <w:vAlign w:val="center"/>
          </w:tcPr>
          <w:p>
            <w:pPr>
              <w:pStyle w:val="250"/>
              <w:tabs>
                <w:tab w:val="left" w:pos="1260"/>
              </w:tabs>
              <w:jc w:val="center"/>
              <w:rPr>
                <w:rFonts w:hint="eastAsia"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cs="宋体"/>
                <w:color w:val="auto"/>
                <w:sz w:val="24"/>
                <w:lang w:val="en-GB"/>
              </w:rPr>
            </w:pPr>
          </w:p>
        </w:tc>
        <w:tc>
          <w:tcPr>
            <w:tcW w:w="6490" w:type="dxa"/>
            <w:gridSpan w:val="2"/>
            <w:noWrap w:val="0"/>
            <w:vAlign w:val="center"/>
          </w:tcPr>
          <w:p>
            <w:pPr>
              <w:pStyle w:val="250"/>
              <w:tabs>
                <w:tab w:val="left" w:pos="1260"/>
              </w:tabs>
              <w:jc w:val="center"/>
              <w:rPr>
                <w:rFonts w:hint="eastAsia" w:ascii="宋体" w:hAnsi="宋体" w:cs="宋体"/>
                <w:color w:val="auto"/>
                <w:sz w:val="24"/>
                <w:lang w:val="en-GB"/>
              </w:rPr>
            </w:pPr>
            <w:r>
              <w:rPr>
                <w:rFonts w:hint="eastAsia" w:ascii="宋体" w:hAnsi="宋体" w:cs="宋体"/>
                <w:color w:val="auto"/>
                <w:sz w:val="24"/>
              </w:rPr>
              <w:t>小型、微型企业产品</w:t>
            </w:r>
            <w:r>
              <w:rPr>
                <w:rFonts w:hint="eastAsia" w:ascii="宋体" w:hAnsi="宋体" w:cs="宋体"/>
                <w:color w:val="auto"/>
                <w:sz w:val="24"/>
                <w:lang w:val="en-GB"/>
              </w:rPr>
              <w:t>金额合计（元）</w:t>
            </w:r>
          </w:p>
        </w:tc>
        <w:tc>
          <w:tcPr>
            <w:tcW w:w="1621" w:type="dxa"/>
            <w:noWrap w:val="0"/>
            <w:vAlign w:val="center"/>
          </w:tcPr>
          <w:p>
            <w:pPr>
              <w:pStyle w:val="250"/>
              <w:tabs>
                <w:tab w:val="left" w:pos="1260"/>
              </w:tabs>
              <w:jc w:val="center"/>
              <w:rPr>
                <w:rFonts w:hint="eastAsia" w:ascii="宋体" w:hAnsi="宋体" w:cs="宋体"/>
                <w:color w:val="auto"/>
                <w:sz w:val="24"/>
                <w:lang w:val="en-GB"/>
              </w:rPr>
            </w:pPr>
          </w:p>
        </w:tc>
      </w:tr>
    </w:tbl>
    <w:p>
      <w:pPr>
        <w:pStyle w:val="250"/>
        <w:spacing w:line="460" w:lineRule="exact"/>
        <w:ind w:firstLine="422" w:firstLineChars="200"/>
        <w:rPr>
          <w:rFonts w:hint="eastAsia" w:ascii="宋体" w:hAnsi="宋体" w:cs="宋体"/>
          <w:b/>
          <w:bCs/>
          <w:color w:val="auto"/>
          <w:szCs w:val="21"/>
          <w:lang w:val="en-GB"/>
        </w:rPr>
      </w:pPr>
      <w:r>
        <w:rPr>
          <w:rFonts w:hint="eastAsia" w:ascii="宋体" w:hAnsi="宋体" w:cs="宋体"/>
          <w:b/>
          <w:bCs/>
          <w:color w:val="auto"/>
          <w:szCs w:val="21"/>
        </w:rPr>
        <w:t>1.</w:t>
      </w:r>
      <w:r>
        <w:rPr>
          <w:rFonts w:hint="eastAsia" w:ascii="宋体" w:hAnsi="宋体" w:cs="宋体"/>
          <w:b/>
          <w:bCs/>
          <w:color w:val="auto"/>
          <w:szCs w:val="21"/>
          <w:lang w:val="en-GB"/>
        </w:rPr>
        <w:t>请投标人正确填写本表，所填内容将作为评分依据（表中所填内容必须与政府采购优惠政策需提供的相关资料相符，如出现不相符或提供资料不全的，该小型、微型企业产品合计金额将不予以享受小微企业扶持政策优惠），</w:t>
      </w:r>
      <w:r>
        <w:rPr>
          <w:rFonts w:hint="eastAsia" w:ascii="宋体" w:hAnsi="宋体" w:cs="宋体"/>
          <w:b/>
          <w:bCs/>
          <w:color w:val="auto"/>
          <w:szCs w:val="21"/>
        </w:rPr>
        <w:t>评审小组评分时</w:t>
      </w:r>
      <w:r>
        <w:rPr>
          <w:rFonts w:hint="eastAsia" w:ascii="宋体" w:hAnsi="宋体" w:cs="宋体"/>
          <w:b/>
          <w:bCs/>
          <w:color w:val="auto"/>
          <w:szCs w:val="21"/>
          <w:lang w:val="en-GB"/>
        </w:rPr>
        <w:t>以“小型、微型企业产品金额合计”为准进行价格折扣；</w:t>
      </w:r>
    </w:p>
    <w:p>
      <w:pPr>
        <w:pStyle w:val="250"/>
        <w:spacing w:line="460" w:lineRule="exact"/>
        <w:ind w:firstLine="422" w:firstLineChars="200"/>
        <w:rPr>
          <w:rFonts w:hint="eastAsia" w:ascii="宋体" w:hAnsi="宋体" w:cs="宋体"/>
          <w:b/>
          <w:bCs/>
          <w:color w:val="auto"/>
          <w:szCs w:val="21"/>
          <w:lang w:val="en-GB"/>
        </w:rPr>
      </w:pPr>
      <w:r>
        <w:rPr>
          <w:rFonts w:hint="eastAsia" w:ascii="宋体" w:hAnsi="宋体" w:cs="宋体"/>
          <w:b/>
          <w:bCs/>
          <w:color w:val="auto"/>
          <w:szCs w:val="21"/>
        </w:rPr>
        <w:t>2.</w:t>
      </w:r>
      <w:r>
        <w:rPr>
          <w:rFonts w:hint="eastAsia" w:ascii="宋体" w:hAnsi="宋体" w:cs="宋体"/>
          <w:b/>
          <w:bCs/>
          <w:color w:val="auto"/>
          <w:szCs w:val="21"/>
          <w:lang w:val="en-GB"/>
        </w:rPr>
        <w:t>本表的产品名称、品牌和型号、金额要与《投标报价明细表》一致。</w:t>
      </w:r>
    </w:p>
    <w:p>
      <w:pPr>
        <w:spacing w:line="360" w:lineRule="auto"/>
        <w:jc w:val="left"/>
        <w:outlineLvl w:val="1"/>
        <w:rPr>
          <w:rFonts w:hint="eastAsia" w:ascii="宋体" w:hAnsi="宋体" w:cs="宋体"/>
          <w:b/>
          <w:bCs/>
          <w:color w:val="auto"/>
          <w:sz w:val="28"/>
          <w:szCs w:val="28"/>
        </w:rPr>
      </w:pPr>
      <w:r>
        <w:rPr>
          <w:rFonts w:hint="eastAsia" w:ascii="宋体" w:hAnsi="宋体" w:cs="宋体"/>
          <w:b/>
          <w:color w:val="auto"/>
          <w:sz w:val="24"/>
        </w:rPr>
        <w:br w:type="page"/>
      </w:r>
      <w:bookmarkEnd w:id="260"/>
      <w:bookmarkEnd w:id="261"/>
      <w:bookmarkEnd w:id="262"/>
      <w:bookmarkEnd w:id="263"/>
      <w:bookmarkEnd w:id="264"/>
      <w:bookmarkEnd w:id="265"/>
      <w:bookmarkEnd w:id="266"/>
      <w:r>
        <w:rPr>
          <w:rFonts w:hint="eastAsia" w:ascii="宋体" w:hAnsi="宋体" w:cs="宋体"/>
          <w:b/>
          <w:color w:val="auto"/>
          <w:sz w:val="28"/>
          <w:szCs w:val="28"/>
        </w:rPr>
        <w:t>附件</w:t>
      </w:r>
      <w:r>
        <w:rPr>
          <w:rFonts w:hint="eastAsia" w:ascii="宋体" w:hAnsi="宋体" w:cs="宋体"/>
          <w:b/>
          <w:color w:val="auto"/>
          <w:sz w:val="28"/>
          <w:szCs w:val="28"/>
          <w:lang w:val="en-US" w:eastAsia="zh-CN"/>
        </w:rPr>
        <w:t>十五</w:t>
      </w:r>
      <w:r>
        <w:rPr>
          <w:rFonts w:hint="eastAsia" w:ascii="宋体" w:hAnsi="宋体" w:cs="宋体"/>
          <w:b/>
          <w:color w:val="auto"/>
          <w:sz w:val="28"/>
          <w:szCs w:val="28"/>
        </w:rPr>
        <w:t>：外包装封面</w:t>
      </w:r>
    </w:p>
    <w:p>
      <w:pPr>
        <w:spacing w:line="360" w:lineRule="auto"/>
        <w:jc w:val="left"/>
        <w:rPr>
          <w:rFonts w:hint="eastAsia" w:ascii="宋体" w:hAnsi="宋体" w:cs="宋体"/>
          <w:b/>
          <w:color w:val="auto"/>
          <w:sz w:val="30"/>
          <w:szCs w:val="30"/>
        </w:rPr>
      </w:pPr>
    </w:p>
    <w:p>
      <w:pPr>
        <w:spacing w:line="360" w:lineRule="auto"/>
        <w:jc w:val="left"/>
        <w:rPr>
          <w:rFonts w:hint="eastAsia" w:ascii="宋体" w:hAnsi="宋体" w:cs="宋体"/>
          <w:b/>
          <w:bCs/>
          <w:color w:val="auto"/>
        </w:rPr>
      </w:pPr>
    </w:p>
    <w:p>
      <w:pPr>
        <w:spacing w:line="360" w:lineRule="auto"/>
        <w:rPr>
          <w:rFonts w:hint="eastAsia" w:ascii="宋体" w:hAnsi="宋体" w:cs="宋体"/>
          <w:color w:val="auto"/>
          <w:sz w:val="24"/>
          <w:lang w:val="en-GB"/>
        </w:rPr>
      </w:pPr>
    </w:p>
    <w:tbl>
      <w:tblPr>
        <w:tblStyle w:val="39"/>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wBefore w:w="0" w:type="dxa"/>
          <w:trHeight w:val="429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pacing w:line="440" w:lineRule="exact"/>
              <w:jc w:val="center"/>
              <w:rPr>
                <w:rFonts w:hint="eastAsia" w:ascii="宋体" w:hAnsi="宋体" w:cs="宋体"/>
                <w:b/>
                <w:bCs/>
                <w:color w:val="auto"/>
                <w:sz w:val="28"/>
                <w:szCs w:val="28"/>
              </w:rPr>
            </w:pPr>
          </w:p>
          <w:p>
            <w:pPr>
              <w:spacing w:line="44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仙居县2019年雪亮工程服务</w:t>
            </w:r>
          </w:p>
          <w:p>
            <w:pPr>
              <w:spacing w:line="44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XJCG-2019-GK006</w:t>
            </w:r>
          </w:p>
          <w:p>
            <w:pPr>
              <w:spacing w:line="440" w:lineRule="exact"/>
              <w:jc w:val="center"/>
              <w:rPr>
                <w:rFonts w:hint="eastAsia" w:ascii="宋体" w:hAnsi="宋体" w:cs="宋体"/>
                <w:b/>
                <w:color w:val="auto"/>
                <w:sz w:val="28"/>
                <w:szCs w:val="28"/>
              </w:rPr>
            </w:pPr>
          </w:p>
          <w:p>
            <w:pPr>
              <w:spacing w:line="440" w:lineRule="exact"/>
              <w:jc w:val="center"/>
              <w:rPr>
                <w:rFonts w:hint="eastAsia" w:ascii="宋体" w:hAnsi="宋体" w:cs="宋体"/>
                <w:b/>
                <w:bCs/>
                <w:color w:val="auto"/>
                <w:sz w:val="28"/>
                <w:szCs w:val="28"/>
                <w:lang w:val="en-GB"/>
              </w:rPr>
            </w:pPr>
            <w:r>
              <w:rPr>
                <w:rFonts w:hint="eastAsia" w:ascii="宋体" w:hAnsi="宋体" w:cs="宋体"/>
                <w:b/>
                <w:bCs/>
                <w:color w:val="auto"/>
                <w:sz w:val="28"/>
                <w:szCs w:val="28"/>
                <w:lang w:val="en-GB"/>
              </w:rPr>
              <w:t>内容：</w:t>
            </w:r>
            <w:r>
              <w:rPr>
                <w:rFonts w:hint="eastAsia" w:ascii="宋体" w:hAnsi="宋体" w:cs="宋体"/>
                <w:b/>
                <w:color w:val="auto"/>
                <w:sz w:val="28"/>
                <w:szCs w:val="22"/>
                <w:lang w:val="zh-CN"/>
              </w:rPr>
              <w:t>“</w:t>
            </w:r>
            <w:r>
              <w:rPr>
                <w:rFonts w:hint="eastAsia" w:ascii="宋体" w:hAnsi="宋体" w:cs="宋体"/>
                <w:b/>
                <w:color w:val="auto"/>
                <w:sz w:val="28"/>
                <w:szCs w:val="22"/>
              </w:rPr>
              <w:t>资格证明文件”或</w:t>
            </w:r>
            <w:r>
              <w:rPr>
                <w:rFonts w:hint="eastAsia" w:ascii="宋体" w:hAnsi="宋体" w:cs="宋体"/>
                <w:b/>
                <w:color w:val="auto"/>
                <w:sz w:val="28"/>
                <w:szCs w:val="22"/>
                <w:lang w:val="zh-CN"/>
              </w:rPr>
              <w:t>“</w:t>
            </w:r>
            <w:r>
              <w:rPr>
                <w:rFonts w:hint="eastAsia" w:ascii="宋体" w:hAnsi="宋体" w:cs="宋体"/>
                <w:b/>
                <w:color w:val="auto"/>
                <w:sz w:val="28"/>
                <w:szCs w:val="22"/>
              </w:rPr>
              <w:t>商务与技术文件”或“报价文件”</w:t>
            </w:r>
            <w:r>
              <w:rPr>
                <w:rFonts w:hint="eastAsia" w:ascii="宋体" w:hAnsi="宋体" w:cs="宋体"/>
                <w:b/>
                <w:color w:val="auto"/>
                <w:sz w:val="28"/>
                <w:szCs w:val="28"/>
              </w:rPr>
              <w:t>（请选择）</w:t>
            </w:r>
          </w:p>
          <w:p>
            <w:pPr>
              <w:spacing w:line="360" w:lineRule="auto"/>
              <w:jc w:val="center"/>
              <w:rPr>
                <w:rFonts w:hint="eastAsia" w:ascii="宋体" w:hAnsi="宋体" w:cs="宋体"/>
                <w:b/>
                <w:bCs/>
                <w:color w:val="auto"/>
                <w:sz w:val="28"/>
                <w:szCs w:val="28"/>
              </w:rPr>
            </w:pPr>
          </w:p>
          <w:p>
            <w:pPr>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 xml:space="preserve">  正本或副本或正副本</w:t>
            </w:r>
            <w:r>
              <w:rPr>
                <w:rFonts w:hint="eastAsia" w:ascii="宋体" w:hAnsi="宋体" w:cs="宋体"/>
                <w:b/>
                <w:color w:val="auto"/>
                <w:sz w:val="28"/>
                <w:szCs w:val="28"/>
              </w:rPr>
              <w:t>（请选择）</w:t>
            </w:r>
          </w:p>
          <w:p>
            <w:pPr>
              <w:spacing w:line="360" w:lineRule="auto"/>
              <w:ind w:left="302" w:leftChars="84" w:firstLine="2670" w:firstLineChars="950"/>
              <w:rPr>
                <w:rFonts w:hint="eastAsia" w:ascii="宋体" w:hAnsi="宋体" w:cs="宋体"/>
                <w:b/>
                <w:color w:val="auto"/>
                <w:sz w:val="28"/>
                <w:szCs w:val="28"/>
              </w:rPr>
            </w:pPr>
            <w:r>
              <w:rPr>
                <w:rFonts w:hint="eastAsia" w:ascii="宋体" w:hAnsi="宋体" w:cs="宋体"/>
                <w:b/>
                <w:color w:val="auto"/>
                <w:sz w:val="28"/>
                <w:szCs w:val="28"/>
              </w:rPr>
              <w:t>标项号（如有）</w:t>
            </w:r>
          </w:p>
          <w:p>
            <w:pPr>
              <w:spacing w:line="360" w:lineRule="auto"/>
              <w:ind w:left="302" w:leftChars="84" w:firstLine="2670" w:firstLineChars="950"/>
              <w:rPr>
                <w:rFonts w:hint="eastAsia" w:ascii="宋体" w:hAnsi="宋体" w:cs="宋体"/>
                <w:b/>
                <w:color w:val="auto"/>
                <w:sz w:val="28"/>
                <w:szCs w:val="28"/>
              </w:rPr>
            </w:pPr>
          </w:p>
          <w:p>
            <w:pPr>
              <w:spacing w:line="360" w:lineRule="auto"/>
              <w:ind w:firstLine="703" w:firstLineChars="250"/>
              <w:rPr>
                <w:rFonts w:hint="eastAsia" w:ascii="宋体" w:hAnsi="宋体" w:cs="宋体"/>
                <w:b/>
                <w:color w:val="auto"/>
                <w:sz w:val="28"/>
                <w:szCs w:val="28"/>
                <w:u w:val="single"/>
              </w:rPr>
            </w:pPr>
            <w:r>
              <w:rPr>
                <w:rFonts w:hint="eastAsia" w:ascii="宋体" w:hAnsi="宋体" w:cs="宋体"/>
                <w:b/>
                <w:color w:val="auto"/>
                <w:sz w:val="28"/>
                <w:szCs w:val="28"/>
              </w:rPr>
              <w:t>投标人名称：</w:t>
            </w:r>
            <w:r>
              <w:rPr>
                <w:rFonts w:hint="eastAsia" w:ascii="宋体" w:hAnsi="宋体" w:cs="宋体"/>
                <w:b/>
                <w:color w:val="auto"/>
                <w:sz w:val="28"/>
                <w:szCs w:val="28"/>
                <w:u w:val="single"/>
              </w:rPr>
              <w:t xml:space="preserve">                                         </w:t>
            </w:r>
          </w:p>
          <w:p>
            <w:pPr>
              <w:spacing w:line="360" w:lineRule="auto"/>
              <w:rPr>
                <w:rFonts w:hint="eastAsia" w:ascii="宋体" w:hAnsi="宋体" w:cs="宋体"/>
                <w:color w:val="auto"/>
                <w:sz w:val="28"/>
                <w:szCs w:val="28"/>
                <w:u w:val="single"/>
              </w:rPr>
            </w:pPr>
          </w:p>
          <w:p>
            <w:pPr>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开标时启封</w:t>
            </w:r>
          </w:p>
          <w:p>
            <w:pPr>
              <w:adjustRightInd w:val="0"/>
              <w:snapToGrid w:val="0"/>
              <w:spacing w:line="360" w:lineRule="auto"/>
              <w:rPr>
                <w:rFonts w:hint="eastAsia" w:ascii="宋体" w:hAnsi="宋体" w:cs="宋体"/>
                <w:color w:val="auto"/>
                <w:sz w:val="28"/>
              </w:rPr>
            </w:pPr>
            <w:r>
              <w:rPr>
                <w:rFonts w:hint="eastAsia" w:ascii="宋体" w:hAnsi="宋体" w:cs="宋体"/>
                <w:b/>
                <w:bCs/>
                <w:color w:val="auto"/>
                <w:sz w:val="28"/>
                <w:szCs w:val="28"/>
              </w:rPr>
              <w:t>提交地点：仙居县公共资源交易中心开标室（仙居县南峰街道环城南路886号县政府办事大厅四楼）</w:t>
            </w:r>
          </w:p>
        </w:tc>
      </w:tr>
    </w:tbl>
    <w:p>
      <w:pPr>
        <w:spacing w:line="360" w:lineRule="auto"/>
        <w:jc w:val="left"/>
        <w:outlineLvl w:val="1"/>
        <w:rPr>
          <w:rFonts w:hint="eastAsia" w:ascii="宋体" w:hAnsi="宋体" w:cs="宋体"/>
          <w:b/>
          <w:bCs/>
          <w:color w:val="auto"/>
          <w:sz w:val="28"/>
          <w:szCs w:val="28"/>
        </w:rPr>
        <w:sectPr>
          <w:pgSz w:w="11906" w:h="16838"/>
          <w:pgMar w:top="1440" w:right="1440" w:bottom="1440" w:left="1440" w:header="851" w:footer="992" w:gutter="0"/>
          <w:cols w:space="720" w:num="1"/>
          <w:docGrid w:linePitch="312" w:charSpace="0"/>
        </w:sectPr>
      </w:pPr>
    </w:p>
    <w:p>
      <w:pPr>
        <w:rPr>
          <w:rFonts w:hint="eastAsia" w:ascii="宋体" w:hAnsi="宋体" w:cs="宋体"/>
          <w:b/>
          <w:color w:val="auto"/>
          <w:sz w:val="28"/>
          <w:szCs w:val="28"/>
        </w:rPr>
      </w:pPr>
      <w:r>
        <w:rPr>
          <w:rFonts w:hint="eastAsia" w:ascii="宋体" w:hAnsi="宋体" w:cs="宋体"/>
          <w:b/>
          <w:color w:val="auto"/>
          <w:sz w:val="28"/>
          <w:szCs w:val="28"/>
        </w:rPr>
        <w:t>（以下附件在递交投标文件时单独提供即可，无需密封进投标文件）</w:t>
      </w:r>
    </w:p>
    <w:p>
      <w:pPr>
        <w:pStyle w:val="23"/>
        <w:spacing w:line="560" w:lineRule="exact"/>
        <w:rPr>
          <w:rFonts w:hint="eastAsia" w:hAnsi="宋体" w:cs="宋体"/>
          <w:b/>
          <w:color w:val="auto"/>
          <w:sz w:val="28"/>
          <w:szCs w:val="28"/>
        </w:rPr>
      </w:pPr>
      <w:r>
        <w:rPr>
          <w:rFonts w:hint="eastAsia" w:hAnsi="宋体" w:cs="宋体"/>
          <w:b/>
          <w:color w:val="auto"/>
          <w:sz w:val="28"/>
          <w:szCs w:val="28"/>
        </w:rPr>
        <w:t>附件</w:t>
      </w:r>
      <w:r>
        <w:rPr>
          <w:rFonts w:hint="eastAsia" w:hAnsi="宋体" w:cs="宋体"/>
          <w:b/>
          <w:color w:val="auto"/>
          <w:sz w:val="28"/>
          <w:szCs w:val="28"/>
          <w:lang w:val="en-US" w:eastAsia="zh-CN"/>
        </w:rPr>
        <w:t>十六</w:t>
      </w:r>
      <w:r>
        <w:rPr>
          <w:rFonts w:hint="eastAsia" w:hAnsi="宋体" w:cs="宋体"/>
          <w:b/>
          <w:color w:val="auto"/>
          <w:sz w:val="28"/>
          <w:szCs w:val="28"/>
        </w:rPr>
        <w:t>：</w:t>
      </w:r>
    </w:p>
    <w:p>
      <w:pPr>
        <w:spacing w:line="588" w:lineRule="exact"/>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投标文件接收回执</w:t>
      </w:r>
    </w:p>
    <w:p>
      <w:pPr>
        <w:spacing w:line="360" w:lineRule="auto"/>
        <w:rPr>
          <w:rFonts w:hint="eastAsia" w:ascii="宋体" w:hAnsi="宋体" w:cs="宋体"/>
          <w:color w:val="auto"/>
          <w:sz w:val="24"/>
          <w:u w:val="single"/>
        </w:rPr>
      </w:pPr>
    </w:p>
    <w:p>
      <w:pPr>
        <w:spacing w:line="360" w:lineRule="auto"/>
        <w:rPr>
          <w:rFonts w:hint="eastAsia" w:ascii="宋体" w:hAnsi="宋体" w:cs="宋体"/>
          <w:b/>
          <w:color w:val="auto"/>
          <w:spacing w:val="6"/>
          <w:sz w:val="24"/>
        </w:rPr>
      </w:pP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（投标人全称）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rPr>
        <w:t>：</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你单位递交的以下项目投标文件，经查验，投标文件的包装、密封情况符合招标文件要求，已于</w:t>
      </w:r>
      <w:r>
        <w:rPr>
          <w:rFonts w:hint="eastAsia" w:ascii="宋体" w:hAnsi="宋体" w:cs="宋体"/>
          <w:color w:val="auto"/>
          <w:sz w:val="24"/>
          <w:u w:val="single"/>
        </w:rPr>
        <w:t xml:space="preserve"> 2019年   月    日    时    分</w:t>
      </w:r>
      <w:r>
        <w:rPr>
          <w:rFonts w:hint="eastAsia" w:ascii="宋体" w:hAnsi="宋体" w:cs="宋体"/>
          <w:color w:val="auto"/>
          <w:sz w:val="24"/>
        </w:rPr>
        <w:t>由我中心工作人员接</w:t>
      </w:r>
      <w:r>
        <w:rPr>
          <w:rFonts w:hint="eastAsia" w:ascii="宋体" w:hAnsi="宋体" w:cs="宋体"/>
          <w:color w:val="auto"/>
          <w:sz w:val="24"/>
          <w:lang w:val="en-US" w:eastAsia="zh-CN"/>
        </w:rPr>
        <w:t>收</w:t>
      </w:r>
      <w:r>
        <w:rPr>
          <w:rFonts w:hint="eastAsia" w:ascii="宋体" w:hAnsi="宋体" w:cs="宋体"/>
          <w:color w:val="auto"/>
          <w:sz w:val="24"/>
        </w:rPr>
        <w:t>。</w:t>
      </w:r>
    </w:p>
    <w:p>
      <w:pPr>
        <w:snapToGrid w:val="0"/>
        <w:spacing w:line="360" w:lineRule="auto"/>
        <w:ind w:firstLine="480" w:firstLineChars="200"/>
        <w:rPr>
          <w:rFonts w:hint="eastAsia" w:ascii="宋体" w:hAnsi="宋体" w:cs="宋体"/>
          <w:color w:val="auto"/>
          <w:sz w:val="24"/>
        </w:rPr>
      </w:pPr>
    </w:p>
    <w:tbl>
      <w:tblPr>
        <w:tblStyle w:val="39"/>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669"/>
        <w:gridCol w:w="1080"/>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 w:val="24"/>
              </w:rPr>
            </w:pPr>
            <w:r>
              <w:rPr>
                <w:rFonts w:hint="eastAsia" w:ascii="宋体" w:hAnsi="宋体" w:cs="宋体"/>
                <w:color w:val="auto"/>
                <w:sz w:val="24"/>
              </w:rPr>
              <w:t>项目编号</w:t>
            </w:r>
          </w:p>
        </w:tc>
        <w:tc>
          <w:tcPr>
            <w:tcW w:w="36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firstLineChars="200"/>
              <w:rPr>
                <w:rFonts w:hint="eastAsia" w:ascii="宋体" w:hAnsi="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 w:val="24"/>
              </w:rPr>
            </w:pPr>
            <w:r>
              <w:rPr>
                <w:rFonts w:hint="eastAsia" w:ascii="宋体" w:hAnsi="宋体" w:cs="宋体"/>
                <w:color w:val="auto"/>
                <w:sz w:val="24"/>
              </w:rPr>
              <w:t>标 项</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 w:val="24"/>
              </w:rPr>
            </w:pPr>
            <w:r>
              <w:rPr>
                <w:rFonts w:hint="eastAsia" w:ascii="宋体" w:hAnsi="宋体" w:cs="宋体"/>
                <w:color w:val="auto"/>
                <w:sz w:val="24"/>
              </w:rPr>
              <w:t>项目名称</w:t>
            </w:r>
          </w:p>
        </w:tc>
        <w:tc>
          <w:tcPr>
            <w:tcW w:w="76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firstLineChars="200"/>
              <w:rPr>
                <w:rFonts w:hint="eastAsia" w:ascii="宋体" w:hAnsi="宋体" w:cs="宋体"/>
                <w:color w:val="auto"/>
                <w:sz w:val="24"/>
              </w:rPr>
            </w:pPr>
          </w:p>
        </w:tc>
      </w:tr>
    </w:tbl>
    <w:p>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请仔细阅读以下内容：</w:t>
      </w:r>
    </w:p>
    <w:p>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1、本回执中除接收时间、接收人签名以外均为必填，如因信息填写错误、疏漏等造成投标文件接收出现任何问题，责任由投标单位自负。</w:t>
      </w:r>
    </w:p>
    <w:p>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2、标项填写方式：如该项目只有一个标项填“1”，多个标项请填写投标的完整标项号。</w:t>
      </w:r>
    </w:p>
    <w:p>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3、本回执投标单位按要求填写打印后，由授权代表携带至投标现场，与投标文件一并交至仙居县政府采购中心现场工作人员。如投标人递交投标文件时未提供回执，视同不需要回执。</w:t>
      </w:r>
    </w:p>
    <w:p>
      <w:pPr>
        <w:snapToGrid w:val="0"/>
        <w:spacing w:line="360" w:lineRule="auto"/>
        <w:ind w:firstLine="480" w:firstLineChars="200"/>
        <w:rPr>
          <w:rFonts w:hint="eastAsia" w:ascii="宋体" w:hAnsi="宋体" w:cs="宋体"/>
          <w:color w:val="auto"/>
          <w:sz w:val="24"/>
        </w:rPr>
      </w:pPr>
    </w:p>
    <w:p>
      <w:pPr>
        <w:spacing w:line="588" w:lineRule="exact"/>
        <w:ind w:firstLine="504" w:firstLineChars="200"/>
        <w:rPr>
          <w:rFonts w:hint="eastAsia" w:ascii="宋体" w:hAnsi="宋体" w:cs="宋体"/>
          <w:color w:val="auto"/>
          <w:spacing w:val="6"/>
          <w:sz w:val="24"/>
        </w:rPr>
      </w:pPr>
    </w:p>
    <w:p>
      <w:pPr>
        <w:snapToGrid w:val="0"/>
        <w:spacing w:line="360" w:lineRule="auto"/>
        <w:ind w:firstLine="4560" w:firstLineChars="1900"/>
        <w:rPr>
          <w:rFonts w:hint="eastAsia" w:ascii="宋体" w:hAnsi="宋体" w:cs="宋体"/>
          <w:color w:val="auto"/>
          <w:sz w:val="24"/>
        </w:rPr>
      </w:pPr>
      <w:r>
        <w:rPr>
          <w:rFonts w:hint="eastAsia" w:ascii="宋体" w:hAnsi="宋体" w:cs="宋体"/>
          <w:color w:val="auto"/>
          <w:sz w:val="24"/>
        </w:rPr>
        <w:t>仙居县政府采购中心</w:t>
      </w:r>
    </w:p>
    <w:p>
      <w:pPr>
        <w:pStyle w:val="23"/>
        <w:spacing w:line="560" w:lineRule="exact"/>
        <w:rPr>
          <w:rFonts w:hAnsi="宋体" w:cs="宋体"/>
          <w:b/>
          <w:color w:val="auto"/>
          <w:sz w:val="28"/>
          <w:szCs w:val="28"/>
        </w:rPr>
      </w:pPr>
      <w:r>
        <w:rPr>
          <w:rFonts w:hint="eastAsia" w:hAnsi="宋体" w:cs="宋体"/>
          <w:b/>
          <w:color w:val="auto"/>
          <w:sz w:val="28"/>
          <w:szCs w:val="28"/>
        </w:rPr>
        <w:br w:type="page"/>
      </w:r>
      <w:r>
        <w:rPr>
          <w:rFonts w:hint="eastAsia" w:hAnsi="宋体" w:cs="宋体"/>
          <w:b/>
          <w:color w:val="auto"/>
          <w:sz w:val="28"/>
          <w:szCs w:val="28"/>
        </w:rPr>
        <w:t>附件</w:t>
      </w:r>
      <w:r>
        <w:rPr>
          <w:rFonts w:hint="eastAsia" w:hAnsi="宋体" w:cs="宋体"/>
          <w:b/>
          <w:color w:val="auto"/>
          <w:sz w:val="28"/>
          <w:szCs w:val="28"/>
          <w:lang w:val="en-US" w:eastAsia="zh-CN"/>
        </w:rPr>
        <w:t>十七</w:t>
      </w:r>
      <w:r>
        <w:rPr>
          <w:rFonts w:hint="eastAsia" w:hAnsi="宋体" w:cs="宋体"/>
          <w:b/>
          <w:color w:val="auto"/>
          <w:sz w:val="28"/>
          <w:szCs w:val="28"/>
        </w:rPr>
        <w:t>：</w:t>
      </w:r>
    </w:p>
    <w:p>
      <w:pPr>
        <w:spacing w:after="240" w:afterLines="100" w:line="600" w:lineRule="exact"/>
        <w:jc w:val="center"/>
        <w:rPr>
          <w:rFonts w:hint="eastAsia" w:ascii="宋体" w:hAnsi="宋体" w:cs="宋体"/>
          <w:b/>
          <w:bCs/>
          <w:color w:val="auto"/>
          <w:szCs w:val="36"/>
        </w:rPr>
      </w:pPr>
      <w:r>
        <w:rPr>
          <w:rFonts w:hint="eastAsia" w:ascii="宋体" w:hAnsi="宋体" w:cs="宋体"/>
          <w:b/>
          <w:bCs/>
          <w:color w:val="auto"/>
          <w:szCs w:val="36"/>
        </w:rPr>
        <w:t>中标供应商公告内容</w:t>
      </w:r>
    </w:p>
    <w:p>
      <w:pPr>
        <w:spacing w:line="360" w:lineRule="auto"/>
        <w:rPr>
          <w:rFonts w:hint="eastAsia" w:ascii="宋体" w:hAnsi="宋体" w:cs="宋体"/>
          <w:color w:val="auto"/>
          <w:sz w:val="24"/>
        </w:rPr>
      </w:pPr>
      <w:r>
        <w:rPr>
          <w:rFonts w:hint="eastAsia" w:ascii="宋体" w:hAnsi="宋体" w:cs="宋体"/>
          <w:color w:val="auto"/>
          <w:sz w:val="24"/>
        </w:rPr>
        <w:t>项目名称及编号：                                            标项：</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中标供应商名称</w:t>
            </w:r>
          </w:p>
        </w:tc>
        <w:tc>
          <w:tcPr>
            <w:tcW w:w="2310" w:type="dxa"/>
            <w:noWrap w:val="0"/>
            <w:vAlign w:val="center"/>
          </w:tcPr>
          <w:p>
            <w:pPr>
              <w:spacing w:line="360" w:lineRule="auto"/>
              <w:jc w:val="center"/>
              <w:rPr>
                <w:rFonts w:hint="eastAsia" w:ascii="宋体" w:hAnsi="宋体" w:cs="宋体"/>
                <w:color w:val="auto"/>
                <w:sz w:val="24"/>
              </w:rPr>
            </w:pPr>
          </w:p>
        </w:tc>
        <w:tc>
          <w:tcPr>
            <w:tcW w:w="2311"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法定代表人（或营业执照中的负责人）</w:t>
            </w:r>
          </w:p>
        </w:tc>
        <w:tc>
          <w:tcPr>
            <w:tcW w:w="2311" w:type="dxa"/>
            <w:gridSpan w:val="2"/>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供应商地址</w:t>
            </w:r>
          </w:p>
        </w:tc>
        <w:tc>
          <w:tcPr>
            <w:tcW w:w="6932" w:type="dxa"/>
            <w:gridSpan w:val="5"/>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42" w:type="dxa"/>
            <w:gridSpan w:val="6"/>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产品名称</w:t>
            </w:r>
          </w:p>
        </w:tc>
        <w:tc>
          <w:tcPr>
            <w:tcW w:w="3045"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规格型号</w:t>
            </w:r>
          </w:p>
        </w:tc>
        <w:tc>
          <w:tcPr>
            <w:tcW w:w="15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数量</w:t>
            </w:r>
          </w:p>
        </w:tc>
        <w:tc>
          <w:tcPr>
            <w:tcW w:w="1155"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单价</w:t>
            </w:r>
          </w:p>
        </w:tc>
        <w:tc>
          <w:tcPr>
            <w:tcW w:w="115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hAnsi="宋体" w:cs="宋体"/>
                <w:color w:val="auto"/>
                <w:sz w:val="24"/>
              </w:rPr>
            </w:pPr>
          </w:p>
        </w:tc>
        <w:tc>
          <w:tcPr>
            <w:tcW w:w="3045" w:type="dxa"/>
            <w:gridSpan w:val="2"/>
            <w:noWrap w:val="0"/>
            <w:vAlign w:val="center"/>
          </w:tcPr>
          <w:p>
            <w:pPr>
              <w:spacing w:line="360" w:lineRule="auto"/>
              <w:jc w:val="center"/>
              <w:rPr>
                <w:rFonts w:hint="eastAsia" w:ascii="宋体" w:hAnsi="宋体" w:cs="宋体"/>
                <w:color w:val="auto"/>
                <w:sz w:val="24"/>
              </w:rPr>
            </w:pPr>
          </w:p>
        </w:tc>
        <w:tc>
          <w:tcPr>
            <w:tcW w:w="1576" w:type="dxa"/>
            <w:noWrap w:val="0"/>
            <w:vAlign w:val="center"/>
          </w:tcPr>
          <w:p>
            <w:pPr>
              <w:spacing w:line="360" w:lineRule="auto"/>
              <w:jc w:val="center"/>
              <w:rPr>
                <w:rFonts w:hint="eastAsia" w:ascii="宋体" w:hAnsi="宋体" w:cs="宋体"/>
                <w:color w:val="auto"/>
                <w:sz w:val="24"/>
              </w:rPr>
            </w:pPr>
          </w:p>
        </w:tc>
        <w:tc>
          <w:tcPr>
            <w:tcW w:w="1155" w:type="dxa"/>
            <w:noWrap w:val="0"/>
            <w:vAlign w:val="center"/>
          </w:tcPr>
          <w:p>
            <w:pPr>
              <w:spacing w:line="360" w:lineRule="auto"/>
              <w:jc w:val="center"/>
              <w:rPr>
                <w:rFonts w:hint="eastAsia" w:ascii="宋体" w:hAnsi="宋体" w:cs="宋体"/>
                <w:color w:val="auto"/>
                <w:sz w:val="24"/>
              </w:rPr>
            </w:pPr>
          </w:p>
        </w:tc>
        <w:tc>
          <w:tcPr>
            <w:tcW w:w="1156"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hAnsi="宋体" w:cs="宋体"/>
                <w:color w:val="auto"/>
                <w:sz w:val="24"/>
              </w:rPr>
            </w:pPr>
          </w:p>
        </w:tc>
        <w:tc>
          <w:tcPr>
            <w:tcW w:w="3045" w:type="dxa"/>
            <w:gridSpan w:val="2"/>
            <w:noWrap w:val="0"/>
            <w:vAlign w:val="center"/>
          </w:tcPr>
          <w:p>
            <w:pPr>
              <w:spacing w:line="360" w:lineRule="auto"/>
              <w:jc w:val="center"/>
              <w:rPr>
                <w:rFonts w:hint="eastAsia" w:ascii="宋体" w:hAnsi="宋体" w:cs="宋体"/>
                <w:color w:val="auto"/>
                <w:sz w:val="24"/>
              </w:rPr>
            </w:pPr>
          </w:p>
        </w:tc>
        <w:tc>
          <w:tcPr>
            <w:tcW w:w="1576" w:type="dxa"/>
            <w:noWrap w:val="0"/>
            <w:vAlign w:val="center"/>
          </w:tcPr>
          <w:p>
            <w:pPr>
              <w:spacing w:line="360" w:lineRule="auto"/>
              <w:jc w:val="center"/>
              <w:rPr>
                <w:rFonts w:hint="eastAsia" w:ascii="宋体" w:hAnsi="宋体" w:cs="宋体"/>
                <w:color w:val="auto"/>
                <w:sz w:val="24"/>
              </w:rPr>
            </w:pPr>
          </w:p>
        </w:tc>
        <w:tc>
          <w:tcPr>
            <w:tcW w:w="1155" w:type="dxa"/>
            <w:noWrap w:val="0"/>
            <w:vAlign w:val="center"/>
          </w:tcPr>
          <w:p>
            <w:pPr>
              <w:spacing w:line="360" w:lineRule="auto"/>
              <w:jc w:val="center"/>
              <w:rPr>
                <w:rFonts w:hint="eastAsia" w:ascii="宋体" w:hAnsi="宋体" w:cs="宋体"/>
                <w:color w:val="auto"/>
                <w:sz w:val="24"/>
              </w:rPr>
            </w:pPr>
          </w:p>
        </w:tc>
        <w:tc>
          <w:tcPr>
            <w:tcW w:w="1156"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hAnsi="宋体" w:cs="宋体"/>
                <w:color w:val="auto"/>
                <w:sz w:val="24"/>
              </w:rPr>
            </w:pPr>
          </w:p>
        </w:tc>
        <w:tc>
          <w:tcPr>
            <w:tcW w:w="3045" w:type="dxa"/>
            <w:gridSpan w:val="2"/>
            <w:noWrap w:val="0"/>
            <w:vAlign w:val="center"/>
          </w:tcPr>
          <w:p>
            <w:pPr>
              <w:spacing w:line="360" w:lineRule="auto"/>
              <w:jc w:val="center"/>
              <w:rPr>
                <w:rFonts w:hint="eastAsia" w:ascii="宋体" w:hAnsi="宋体" w:cs="宋体"/>
                <w:color w:val="auto"/>
                <w:sz w:val="24"/>
              </w:rPr>
            </w:pPr>
          </w:p>
        </w:tc>
        <w:tc>
          <w:tcPr>
            <w:tcW w:w="1576" w:type="dxa"/>
            <w:noWrap w:val="0"/>
            <w:vAlign w:val="center"/>
          </w:tcPr>
          <w:p>
            <w:pPr>
              <w:spacing w:line="360" w:lineRule="auto"/>
              <w:jc w:val="center"/>
              <w:rPr>
                <w:rFonts w:hint="eastAsia" w:ascii="宋体" w:hAnsi="宋体" w:cs="宋体"/>
                <w:color w:val="auto"/>
                <w:sz w:val="24"/>
              </w:rPr>
            </w:pPr>
          </w:p>
        </w:tc>
        <w:tc>
          <w:tcPr>
            <w:tcW w:w="1155" w:type="dxa"/>
            <w:noWrap w:val="0"/>
            <w:vAlign w:val="center"/>
          </w:tcPr>
          <w:p>
            <w:pPr>
              <w:spacing w:line="360" w:lineRule="auto"/>
              <w:jc w:val="center"/>
              <w:rPr>
                <w:rFonts w:hint="eastAsia" w:ascii="宋体" w:hAnsi="宋体" w:cs="宋体"/>
                <w:color w:val="auto"/>
                <w:sz w:val="24"/>
              </w:rPr>
            </w:pPr>
          </w:p>
        </w:tc>
        <w:tc>
          <w:tcPr>
            <w:tcW w:w="1156"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086" w:type="dxa"/>
            <w:gridSpan w:val="5"/>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中标金额合计</w:t>
            </w:r>
          </w:p>
        </w:tc>
        <w:tc>
          <w:tcPr>
            <w:tcW w:w="1156" w:type="dxa"/>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5" w:hRule="atLeast"/>
        </w:trPr>
        <w:tc>
          <w:tcPr>
            <w:tcW w:w="9242" w:type="dxa"/>
            <w:gridSpan w:val="6"/>
            <w:noWrap w:val="0"/>
            <w:vAlign w:val="top"/>
          </w:tcPr>
          <w:p>
            <w:pPr>
              <w:spacing w:line="360" w:lineRule="auto"/>
              <w:rPr>
                <w:rFonts w:hint="eastAsia" w:ascii="宋体" w:hAnsi="宋体" w:cs="宋体"/>
                <w:color w:val="auto"/>
                <w:sz w:val="24"/>
              </w:rPr>
            </w:pPr>
            <w:r>
              <w:rPr>
                <w:rFonts w:hint="eastAsia" w:ascii="宋体" w:hAnsi="宋体" w:cs="宋体"/>
                <w:color w:val="auto"/>
                <w:sz w:val="24"/>
              </w:rPr>
              <w:t>服务要求：</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tc>
      </w:tr>
    </w:tbl>
    <w:p>
      <w:pPr>
        <w:spacing w:line="360" w:lineRule="auto"/>
        <w:rPr>
          <w:rFonts w:hint="eastAsia" w:ascii="宋体" w:hAnsi="宋体" w:cs="宋体"/>
          <w:color w:val="auto"/>
          <w:sz w:val="24"/>
        </w:rPr>
      </w:pPr>
      <w:r>
        <w:rPr>
          <w:rFonts w:hint="eastAsia" w:ascii="宋体" w:hAnsi="宋体" w:cs="宋体"/>
          <w:color w:val="auto"/>
          <w:sz w:val="24"/>
        </w:rPr>
        <w:t>注：1.供应商应根据其投标情况填写该表，并保证其与投标文件内容的一致性、正确性和真实性；</w:t>
      </w:r>
    </w:p>
    <w:p>
      <w:pPr>
        <w:spacing w:line="360" w:lineRule="auto"/>
        <w:ind w:firstLine="470" w:firstLineChars="196"/>
        <w:rPr>
          <w:rFonts w:hint="eastAsia" w:ascii="宋体" w:hAnsi="宋体" w:cs="宋体"/>
          <w:color w:val="auto"/>
          <w:sz w:val="24"/>
        </w:rPr>
      </w:pPr>
      <w:r>
        <w:rPr>
          <w:rFonts w:hint="eastAsia" w:ascii="宋体" w:hAnsi="宋体" w:cs="宋体"/>
          <w:color w:val="auto"/>
          <w:sz w:val="24"/>
        </w:rPr>
        <w:t>2.填写该表不代表供应商已具有中标人资格。本表只作为中标结果公告内容的一部分，进行公告使用；</w:t>
      </w:r>
    </w:p>
    <w:p>
      <w:pPr>
        <w:spacing w:line="360" w:lineRule="auto"/>
        <w:ind w:firstLine="470" w:firstLineChars="196"/>
        <w:rPr>
          <w:rFonts w:hint="eastAsia" w:ascii="宋体" w:hAnsi="宋体" w:cs="宋体"/>
          <w:color w:val="auto"/>
          <w:sz w:val="24"/>
        </w:rPr>
      </w:pPr>
      <w:r>
        <w:rPr>
          <w:rFonts w:hint="eastAsia" w:ascii="宋体" w:hAnsi="宋体" w:cs="宋体"/>
          <w:color w:val="auto"/>
          <w:sz w:val="24"/>
        </w:rPr>
        <w:t>3.本表内容涉及较多，供应商可以适当增减表格行数，以保证表格内容的完整；</w:t>
      </w:r>
    </w:p>
    <w:p>
      <w:pPr>
        <w:spacing w:line="360" w:lineRule="auto"/>
        <w:ind w:firstLine="470" w:firstLineChars="196"/>
        <w:rPr>
          <w:rFonts w:hint="eastAsia" w:ascii="宋体" w:hAnsi="宋体" w:cs="宋体"/>
          <w:color w:val="auto"/>
          <w:sz w:val="24"/>
        </w:rPr>
      </w:pPr>
      <w:r>
        <w:rPr>
          <w:rFonts w:hint="eastAsia" w:ascii="宋体" w:hAnsi="宋体" w:cs="宋体"/>
          <w:color w:val="auto"/>
          <w:sz w:val="24"/>
        </w:rPr>
        <w:t>4.评审结果排名第一的中标候选人在评审结束后1个工作日内将招标文件附件《中标供应商公告内容》填写完整后，以电子文档形式提交给采购代理机构项目负责人（或者发送至电子邮箱：XJCG2009@163.COM）。未按时提供所造成的后果由供应商自行承担。</w:t>
      </w:r>
    </w:p>
    <w:p>
      <w:pPr>
        <w:spacing w:line="360" w:lineRule="auto"/>
        <w:ind w:firstLine="480" w:firstLineChars="200"/>
        <w:jc w:val="left"/>
        <w:outlineLvl w:val="1"/>
        <w:rPr>
          <w:rFonts w:hint="eastAsia" w:ascii="宋体" w:hAnsi="宋体" w:eastAsia="宋体"/>
          <w:b/>
          <w:bCs/>
          <w:color w:val="auto"/>
          <w:sz w:val="28"/>
          <w:szCs w:val="28"/>
          <w:lang w:eastAsia="zh-CN"/>
        </w:rPr>
      </w:pPr>
      <w:r>
        <w:rPr>
          <w:rFonts w:hint="eastAsia" w:ascii="宋体" w:hAnsi="宋体" w:cs="宋体"/>
          <w:color w:val="auto"/>
          <w:sz w:val="24"/>
        </w:rPr>
        <w:t>5.中标结果公告内容如涉及供应商的商业秘密等法律法规规定可以不予公告的情形，供应商应另附书面说明，如未事前书面说明造成的后果由供应商自行承担</w:t>
      </w:r>
      <w:r>
        <w:rPr>
          <w:rFonts w:hint="eastAsia" w:ascii="宋体" w:hAnsi="宋体" w:cs="宋体"/>
          <w:color w:val="auto"/>
          <w:sz w:val="24"/>
          <w:lang w:eastAsia="zh-CN"/>
        </w:rPr>
        <w:t>。</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源淏窪极潠极2.">
    <w:altName w:val="MingLiU-ExtB"/>
    <w:panose1 w:val="00000000000000000000"/>
    <w:charset w:val="88"/>
    <w:family w:val="swiss"/>
    <w:pitch w:val="default"/>
    <w:sig w:usb0="00000001" w:usb1="08080000" w:usb2="00000010" w:usb3="00000000" w:csb0="00100000" w:csb1="00000000"/>
  </w:font>
  <w:font w:name="Helvetica">
    <w:altName w:val="Arial"/>
    <w:panose1 w:val="020B0604020202020204"/>
    <w:charset w:val="00"/>
    <w:family w:val="swiss"/>
    <w:pitch w:val="default"/>
    <w:sig w:usb0="E0002AFF" w:usb1="C0007843" w:usb2="00000009"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6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rPr>
                              <w:rFonts w:hint="eastAsia"/>
                            </w:rPr>
                          </w:pP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xb2OHSAQAApAMAAA4AAABkcnMvZTJvRG9jLnhtbK1TzY7TMBC+ I/EOlu802UgLIWq6WlQtQkKAtPAArmM3lvwnj9ukLwBvwIkLd56rz8HYSbpouexhL86MZ/zNfN9M 1jej0eQoAihnW3q1KikRlrtO2X1Lv329e1VTApHZjmlnRUtPAujN5uWL9eAbUbne6U4EgiAWmsG3 tI/RN0UBvBeGwcp5YTEoXTAsohv2RRfYgOhGF1VZvi4GFzofHBcAeLudgnRGDE8BdFIqLraOH4yw cUINQrOIlKBXHugmdyul4PGzlCAi0S1FpjGfWATtXTqLzZo1+8B8r/jcAntKC484GaYsFr1AbVlk 5BDUf1BG8eDAybjizhQTkawIsrgqH2lz3zMvMheUGvxFdHg+WP7p+CUQ1bW0osQygwM///xx/vXn /Ps7qd4mfQYPDabde0yM4zs34tYs94CXifYog0lfJEQwjuqeLuqKMRKeHtVVXZcY4hhbHMQvHp77 APG9cIYko6UBx5dVZcePEKfUJSVVs+5OaZ1HqC0ZEPW6fnOdX1xCiK4tFkkspm6TFcfdOFPbue6E zAbcgZZaXHlK9AeLEqd1WYywGLvFOPig9n3ep9QK+NtDxHZyl6nCBDsXxuFlnvOipe34189ZDz/X 5i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fFvY4dIBAACkAwAADgAAAAAAAAABACAAAAAi AQAAZHJzL2Uyb0RvYy54bWxQSwUGAAAAAAYABgBZAQAAZgUAAAAA ">
              <v:fill on="f" focussize="0,0"/>
              <v:stroke on="f" weight="1.25pt"/>
              <v:imagedata o:title=""/>
              <o:lock v:ext="edit" aspectratio="f"/>
              <v:textbox inset="0mm,0mm,0mm,0mm" style="mso-fit-shape-to-text:t;">
                <w:txbxContent>
                  <w:p>
                    <w:pPr>
                      <w:pStyle w:val="27"/>
                      <w:rPr>
                        <w:rFonts w:hint="eastAsia"/>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rFonts w:hint="eastAsia"/>
        <w:u w:val="single"/>
      </w:rPr>
    </w:pPr>
    <w:r>
      <w:rPr>
        <w:rFonts w:hint="eastAsia"/>
        <w:u w:val="single"/>
      </w:rPr>
      <w:t xml:space="preserve">                                                                                                                                                   </w:t>
    </w:r>
  </w:p>
  <w:p>
    <w:pPr>
      <w:pStyle w:val="27"/>
      <w:jc w:val="center"/>
      <w:rPr>
        <w:rFonts w:hint="eastAsia"/>
      </w:rPr>
    </w:pPr>
    <w:r>
      <w:rPr>
        <w:rFonts w:hint="eastAsia"/>
      </w:rPr>
      <w:t>仙居县政府采购中心编制</w:t>
    </w:r>
    <w:r>
      <w:rPr>
        <w:rFonts w:hint="eastAsia"/>
        <w:lang/>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ffoU3TAQAApAMAAA4AAABkcnMvZTJvRG9jLnhtbK1TS27bMBDd F8gdCO5jKW7TCoLloIWRokDRFkhyAJoiLQL8gUNb8gXaG3TVTfc9l8+RISU5RbrJohtqhjN8M+/N aHUzGE0OIoBytqFXi5ISYblrld019OH+9rKiBCKzLdPOioYeBdCb9cWrVe9rsXSd060IBEEs1L1v aBejr4sCeCcMg4XzwmJQumBYRDfsijawHtGNLpZl+bboXWh9cFwA4O1mDNIJMbwE0EmpuNg4vjfC xhE1CM0iUoJOeaDr3K2UgsevUoKIRDcUmcZ8YhG0t+ks1itW7wLzneJTC+wlLTzjZJiyWPQMtWGR kX1Q/0AZxYMDJ+OCO1OMRLIiyOKqfKbNXce8yFxQavBn0eH/wfIvh2+BqLahrymxzODATz9/nH79 Of3+Tt4skz69hxrT7jwmxuGDG3Br5nvAy0R7kMGkLxIiGEd1j2d1xRAJT4+qZVWVGOIYmx3EL56e +wDxo3CGJKOhAceXVWWHzxDH1DklVbPuVmmdR6gt6RH1unp3nV+cQ4iuLRZJLMZukxWH7TBR27r2 iMx63IGGWlx5SvQnixKndZmNMBvb2dj7oHZd3qfUCvj3+4jt5C5ThRF2KozDyzynRUvb8befs55+ rvUj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NffoU3TAQAApAMAAA4AAAAAAAAAAQAgAAAA IgEAAGRycy9lMm9Eb2MueG1sUEsFBgAAAAAGAAYAWQEAAGcFAAAAAA== ">
              <v:fill on="f" focussize="0,0"/>
              <v:stroke on="f" weight="1.25pt"/>
              <v:imagedata o:title=""/>
              <o:lock v:ext="edit" aspectratio="f"/>
              <v:textbox inset="0mm,0mm,0mm,0mm" style="mso-fit-shape-to-text:t;">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67</w:t>
                    </w:r>
                    <w:r>
                      <w:rPr>
                        <w:rFonts w:hint="eastAsia"/>
                      </w:rPr>
                      <w:fldChar w:fldCharType="end"/>
                    </w:r>
                    <w:r>
                      <w:rPr>
                        <w:rFonts w:hint="eastAsia"/>
                      </w:rPr>
                      <w:t xml:space="preserve"> 页</w:t>
                    </w:r>
                  </w:p>
                </w:txbxContent>
              </v:textbox>
            </v:shape>
          </w:pict>
        </mc:Fallback>
      </mc:AlternateContent>
    </w:r>
    <w:r>
      <w:rPr>
        <w:rFonts w:hint="eastAsia"/>
      </w:rPr>
      <w:t>仙居县政府采购招标文件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left"/>
      <w:rPr>
        <w:rFonts w:hint="eastAsia"/>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e46XPTAQAApAMAAA4AAABkcnMvZTJvRG9jLnhtbK1TS27bMBDd F+gdCO5jKU7SCoLloIWRokDRFkhzAJoiLQL8gUNb8gXaG3TVTfc9l8/RISU5QbrJohtqhjN8M+/N aHU7GE0OIoBytqGXi5ISYblrld019OHb3UVFCURmW6adFQ09CqC369evVr2vxdJ1TrciEASxUPe+ oV2Mvi4K4J0wDBbOC4tB6YJhEd2wK9rAekQ3uliW5Zuid6H1wXEBgLebMUgnxPASQCel4mLj+N4I G0fUIDSLSAk65YGuc7dSCh6/SAkiEt1QZBrziUXQ3qazWK9YvQvMd4pPLbCXtPCMk2HKYtEz1IZF RvZB/QNlFA8OnIwL7kwxEsmKIIvL8pk29x3zInNBqcGfRYf/B8s/H74GotqGXlNimcGBn37+OP36 c/r9nVxfJX16DzWm3XtMjMN7N+DWzPeAl4n2IINJXyREMI7qHs/qiiESnh5Vy6oqMcQxNjuIXzw+ 9wHiB+EMSUZDA44vq8oOnyCOqXNKqmbdndI6j1Bb0iPqTfX2Jr84hxBdWyySWIzdJisO22GitnXt EZn1uAMNtbjylOiPFiVO6zIbYTa2s7H3Qe26vE+pFfDv9hHbyV2mCiPsVBiHl3lOi5a246mfsx5/ rvVf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De46XPTAQAApAMAAA4AAAAAAAAAAQAgAAAA IgEAAGRycy9lMm9Eb2MueG1sUEsFBgAAAAAGAAYAWQEAAGcFAAAAAA== ">
              <v:fill on="f" focussize="0,0"/>
              <v:stroke on="f" weight="1.25pt"/>
              <v:imagedata o:title=""/>
              <o:lock v:ext="edit" aspectratio="f"/>
              <v:textbox inset="0mm,0mm,0mm,0mm" style="mso-fit-shape-to-text:t;">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80</w:t>
                    </w:r>
                    <w:r>
                      <w:rPr>
                        <w:rFonts w:hint="eastAsia"/>
                      </w:rPr>
                      <w:fldChar w:fldCharType="end"/>
                    </w:r>
                    <w:r>
                      <w:rPr>
                        <w:rFonts w:hint="eastAsia"/>
                      </w:rPr>
                      <w:t xml:space="preserve"> 页</w:t>
                    </w:r>
                  </w:p>
                </w:txbxContent>
              </v:textbox>
            </v:shape>
          </w:pict>
        </mc:Fallback>
      </mc:AlternateContent>
    </w:r>
    <w:r>
      <w:rPr>
        <w:rFonts w:hint="eastAsia"/>
      </w:rPr>
      <w:t>仙居县政府采购招标文件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RpdhDRAQAApAMAAA4AAABkcnMvZTJvRG9jLnhtbK1TzY7TMBC+ I/EOlu802UqFKGq6WlQtQkKAtOwDuI7dWPKfPG6TvgC8AScu3HmuPgdjJ2nRctnDXpwZz/ib+b6Z rG8Ho8lRBFDONvRmUVIiLHetsvuGPn67f1NRApHZlmlnRUNPAujt5vWrde9rsXSd060IBEEs1L1v aBejr4sCeCcMg4XzwmJQumBYRDfsizawHtGNLpZl+bboXWh9cFwA4O12DNIJMTwH0EmpuNg6fjDC xhE1CM0iUoJOeaCb3K2UgscvUoKIRDcUmcZ8YhG0d+ksNmtW7wPzneJTC+w5LTzhZJiyWPQCtWWR kUNQ/0EZxYMDJ+OCO1OMRLIiyOKmfKLNQ8e8yFxQavAX0eHlYPnn49dAVNvQFSWWGRz4+eeP868/ 59/fySrr03uoMe3BY2Ic3rsBtybplu4BLxPtQQaTvkiIYBzVPV3UFUMkPD2qllVVYohjbHYQp7g+ 9wHiB+EMSUZDA44vq8qOnyCOqXNKqmbdvdI6j1Bb0iPqqnq3yi8uIUTXFotcu01WHHbDRGHn2hMy 63EHGmpx5SnRHy1KnNZlNsJs7Gbj4IPad3mfUivg7w4R28ldpgoj7FQYh5d5TouWtuNfP2ddf67N X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C0aXYQ0QEAAKQDAAAOAAAAAAAAAAEAIAAAACIB AABkcnMvZTJvRG9jLnhtbFBLBQYAAAAABgAGAFkBAABlBQAAAAA= ">
              <v:fill on="f" focussize="0,0"/>
              <v:stroke on="f" weight="1.25pt"/>
              <v:imagedata o:title=""/>
              <o:lock v:ext="edit" aspectratio="f"/>
              <v:textbox inset="0mm,0mm,0mm,0mm" style="mso-fit-shape-to-text:t;">
                <w:txbxContent>
                  <w:p>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80</w:t>
                    </w:r>
                    <w:r>
                      <w:rPr>
                        <w:rFonts w:hint="eastAsia"/>
                      </w:rPr>
                      <w:fldChar w:fldCharType="end"/>
                    </w:r>
                    <w:r>
                      <w:rPr>
                        <w:rFonts w:hint="eastAsia"/>
                      </w:rPr>
                      <w:t xml:space="preserve"> 页</w:t>
                    </w:r>
                  </w:p>
                </w:txbxContent>
              </v:textbox>
            </v:shape>
          </w:pict>
        </mc:Fallback>
      </mc:AlternateContent>
    </w:r>
    <w:r>
      <w:rPr>
        <w:rFonts w:hint="eastAsia"/>
      </w:rPr>
      <w:t>仙居县政府采购招标文件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rPr>
        <w:rFonts w:hint="eastAsia"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ascii="宋体" w:hAnsi="宋体" w:cs="宋体"/>
        <w:b/>
        <w:bCs/>
        <w:color w:val="000000"/>
        <w:kern w:val="0"/>
        <w:sz w:val="21"/>
        <w:szCs w:val="21"/>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rPr>
                            <w:t>31</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lang/>
                            </w:rPr>
                            <w:t>80</w:t>
                          </w:r>
                          <w:r>
                            <w:rPr>
                              <w:rFonts w:hint="eastAsia" w:ascii="宋体" w:hAnsi="宋体" w:cs="宋体"/>
                            </w:rPr>
                            <w:fldChar w:fldCharType="end"/>
                          </w:r>
                          <w:r>
                            <w:rPr>
                              <w:rFonts w:hint="eastAsia" w:ascii="宋体" w:hAnsi="宋体" w:cs="宋体"/>
                            </w:rPr>
                            <w:t xml:space="preserve"> 页</w:t>
                          </w:r>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ilBC/TAQAApAMAAA4AAABkcnMvZTJvRG9jLnhtbK1TS27bMBDd F8gdCO5jKQacCoLloIWRIEDRFkh7AJoiLQL8gUNb8gXaG3TVTfc9l8/RISU5RbrJohtqhjN8M+/N aH03GE2OIoBytqE3i5ISYblrld039OuX++uKEojMtkw7Kxp6EkDvNldv1r2vxdJ1TrciEASxUPe+ oV2Mvi4K4J0wDBbOC4tB6YJhEd2wL9rAekQ3uliW5W3Ru9D64LgAwNvtGKQTYngNoJNScbF1/GCE jSNqEJpFpASd8kA3uVspBY+fpAQRiW4oMo35xCJo79JZbNas3gfmO8WnFthrWnjByTBlsegFassi I4eg/oEyigcHTsYFd6YYiWRFkMVN+UKbp455kbmg1OAvosP/g+Ufj58DUW1DbymxzODAzz++n3/+ Pv/6RlbLpE/voca0J4+JcXjvBtya+R7wMtEeZDDpi4QIxlHd00VdMUTC06NqWVUlhjjGZgfxi+fn PkB8EM6QZDQ04Piyquz4AeKYOqekatbdK63zCLUlPaKuqrer/OISQnRtsUhiMXabrDjshonazrUn ZNbjDjTU4spToh8tSpzWZTbCbOxm4+CD2nd5n1Ir4N8dIraTu0wVRtipMA4v85wWLW3H337Oev65 Nn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LilBC/TAQAApAMAAA4AAAAAAAAAAQAgAAAA IgEAAGRycy9lMm9Eb2MueG1sUEsFBgAAAAAGAAYAWQEAAGcFAAAAAA== ">
              <v:fill on="f" focussize="0,0"/>
              <v:stroke on="f" weight="1.25pt"/>
              <v:imagedata o:title=""/>
              <o:lock v:ext="edit" aspectratio="f"/>
              <v:textbox inset="0mm,0mm,0mm,0mm" style="mso-fit-shape-to-text:t;">
                <w:txbxContent>
                  <w:p>
                    <w:pPr>
                      <w:pStyle w:val="28"/>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rPr>
                      <w:t>31</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lang/>
                      </w:rPr>
                      <w:t>80</w:t>
                    </w:r>
                    <w:r>
                      <w:rPr>
                        <w:rFonts w:hint="eastAsia" w:ascii="宋体" w:hAnsi="宋体" w:cs="宋体"/>
                      </w:rPr>
                      <w:fldChar w:fldCharType="end"/>
                    </w:r>
                    <w:r>
                      <w:rPr>
                        <w:rFonts w:hint="eastAsia" w:ascii="宋体" w:hAnsi="宋体" w:cs="宋体"/>
                      </w:rPr>
                      <w:t xml:space="preserve"> 页</w:t>
                    </w:r>
                  </w:p>
                </w:txbxContent>
              </v:textbox>
            </v:shape>
          </w:pict>
        </mc:Fallback>
      </mc:AlternateContent>
    </w:r>
    <w:r>
      <w:rPr>
        <w:rFonts w:hint="eastAsia" w:ascii="宋体" w:hAnsi="宋体" w:cs="宋体"/>
      </w:rPr>
      <w:t>仙居县政府采购招标文件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53"/>
      <w:lvlText w:val="%1）"/>
      <w:lvlJc w:val="left"/>
      <w:pPr>
        <w:tabs>
          <w:tab w:val="left" w:pos="865"/>
        </w:tabs>
        <w:ind w:left="865" w:hanging="360"/>
      </w:pPr>
      <w:rPr>
        <w:rFonts w:hint="eastAsia" w:ascii="宋体" w:hAnsi="宋体" w:eastAsia="宋体"/>
      </w:rPr>
    </w:lvl>
    <w:lvl w:ilvl="1" w:tentative="0">
      <w:start w:val="1"/>
      <w:numFmt w:val="bullet"/>
      <w:pStyle w:val="216"/>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lvl>
    <w:lvl w:ilvl="3" w:tentative="0">
      <w:start w:val="1"/>
      <w:numFmt w:val="decimal"/>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abstractNum w:abstractNumId="1">
    <w:nsid w:val="13D057CD"/>
    <w:multiLevelType w:val="multilevel"/>
    <w:tmpl w:val="13D057CD"/>
    <w:lvl w:ilvl="0" w:tentative="0">
      <w:start w:val="1"/>
      <w:numFmt w:val="japaneseCounting"/>
      <w:lvlText w:val="%1、"/>
      <w:lvlJc w:val="left"/>
      <w:pPr>
        <w:tabs>
          <w:tab w:val="left" w:pos="1202"/>
        </w:tabs>
        <w:ind w:left="1202"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pStyle w:val="228"/>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
    <w:nsid w:val="19C29579"/>
    <w:multiLevelType w:val="singleLevel"/>
    <w:tmpl w:val="19C29579"/>
    <w:lvl w:ilvl="0" w:tentative="0">
      <w:start w:val="1"/>
      <w:numFmt w:val="chineseCounting"/>
      <w:suff w:val="nothing"/>
      <w:lvlText w:val="%1、"/>
      <w:lvlJc w:val="left"/>
      <w:rPr>
        <w:rFonts w:hint="eastAsia"/>
      </w:rPr>
    </w:lvl>
  </w:abstractNum>
  <w:abstractNum w:abstractNumId="3">
    <w:nsid w:val="23688833"/>
    <w:multiLevelType w:val="singleLevel"/>
    <w:tmpl w:val="23688833"/>
    <w:lvl w:ilvl="0" w:tentative="0">
      <w:start w:val="1"/>
      <w:numFmt w:val="decimal"/>
      <w:lvlText w:val="%1."/>
      <w:lvlJc w:val="left"/>
      <w:pPr>
        <w:tabs>
          <w:tab w:val="left" w:pos="312"/>
        </w:tabs>
      </w:pPr>
    </w:lvl>
  </w:abstractNum>
  <w:abstractNum w:abstractNumId="4">
    <w:nsid w:val="365D4C61"/>
    <w:multiLevelType w:val="multilevel"/>
    <w:tmpl w:val="365D4C6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9ADC500"/>
    <w:multiLevelType w:val="singleLevel"/>
    <w:tmpl w:val="39ADC500"/>
    <w:lvl w:ilvl="0" w:tentative="0">
      <w:start w:val="4"/>
      <w:numFmt w:val="chineseCounting"/>
      <w:suff w:val="space"/>
      <w:lvlText w:val="第%1章"/>
      <w:lvlJc w:val="left"/>
      <w:rPr>
        <w:rFonts w:hint="eastAsia"/>
      </w:rPr>
    </w:lvl>
  </w:abstractNum>
  <w:abstractNum w:abstractNumId="6">
    <w:nsid w:val="4CA75A52"/>
    <w:multiLevelType w:val="multilevel"/>
    <w:tmpl w:val="4CA75A52"/>
    <w:lvl w:ilvl="0" w:tentative="0">
      <w:start w:val="1"/>
      <w:numFmt w:val="decimal"/>
      <w:pStyle w:val="88"/>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4E37518A"/>
    <w:multiLevelType w:val="multilevel"/>
    <w:tmpl w:val="4E37518A"/>
    <w:lvl w:ilvl="0" w:tentative="0">
      <w:start w:val="1"/>
      <w:numFmt w:val="bullet"/>
      <w:pStyle w:val="231"/>
      <w:lvlText w:val=""/>
      <w:lvlJc w:val="left"/>
      <w:pPr>
        <w:tabs>
          <w:tab w:val="left" w:pos="1134"/>
        </w:tabs>
        <w:ind w:left="1134" w:hanging="510"/>
      </w:pPr>
      <w:rPr>
        <w:rFonts w:hint="default" w:ascii="Symbol" w:hAnsi="Symbol"/>
        <w:b/>
        <w:bCs w:val="0"/>
        <w:i w:val="0"/>
        <w:iCs w:val="0"/>
        <w:color w:val="auto"/>
        <w:sz w:val="20"/>
        <w:szCs w:val="20"/>
      </w:rPr>
    </w:lvl>
    <w:lvl w:ilvl="1" w:tentative="0">
      <w:start w:val="1"/>
      <w:numFmt w:val="bullet"/>
      <w:lvlText w:val=""/>
      <w:lvlJc w:val="left"/>
      <w:pPr>
        <w:tabs>
          <w:tab w:val="left" w:pos="1418"/>
        </w:tabs>
        <w:ind w:left="1418" w:hanging="284"/>
      </w:pPr>
      <w:rPr>
        <w:rFonts w:hint="default" w:ascii="Wingdings" w:hAnsi="Wingdings"/>
        <w:b w:val="0"/>
        <w:bCs w:val="0"/>
        <w:i w:val="0"/>
        <w:iCs w:val="0"/>
        <w:color w:val="auto"/>
        <w:sz w:val="12"/>
        <w:szCs w:val="20"/>
      </w:rPr>
    </w:lvl>
    <w:lvl w:ilvl="2" w:tentative="0">
      <w:start w:val="1"/>
      <w:numFmt w:val="bullet"/>
      <w:lvlText w:val=""/>
      <w:lvlJc w:val="left"/>
      <w:pPr>
        <w:tabs>
          <w:tab w:val="left" w:pos="1701"/>
        </w:tabs>
        <w:ind w:left="1701" w:hanging="283"/>
      </w:pPr>
      <w:rPr>
        <w:rFonts w:hint="default" w:ascii="Symbol" w:hAnsi="Symbol"/>
        <w:b w:val="0"/>
        <w:bCs w:val="0"/>
        <w:i w:val="0"/>
        <w:iCs w:val="0"/>
        <w:color w:val="auto"/>
        <w:sz w:val="20"/>
        <w:szCs w:val="20"/>
      </w:rPr>
    </w:lvl>
    <w:lvl w:ilvl="3" w:tentative="0">
      <w:start w:val="1"/>
      <w:numFmt w:val="bullet"/>
      <w:lvlRestart w:val="0"/>
      <w:lvlText w:val=""/>
      <w:lvlJc w:val="left"/>
      <w:pPr>
        <w:tabs>
          <w:tab w:val="left" w:pos="284"/>
        </w:tabs>
        <w:ind w:left="284" w:hanging="284"/>
      </w:pPr>
      <w:rPr>
        <w:rFonts w:hint="default" w:ascii="Symbol" w:hAnsi="Symbol"/>
        <w:b w:val="0"/>
        <w:bCs w:val="0"/>
        <w:i w:val="0"/>
        <w:iCs w:val="0"/>
        <w:color w:val="auto"/>
        <w:sz w:val="20"/>
        <w:szCs w:val="20"/>
      </w:rPr>
    </w:lvl>
    <w:lvl w:ilvl="4" w:tentative="0">
      <w:start w:val="1"/>
      <w:numFmt w:val="bullet"/>
      <w:lvlText w:val=""/>
      <w:lvlJc w:val="left"/>
      <w:pPr>
        <w:tabs>
          <w:tab w:val="left" w:pos="510"/>
        </w:tabs>
        <w:ind w:left="510" w:hanging="226"/>
      </w:pPr>
      <w:rPr>
        <w:rFonts w:hint="default" w:ascii="Wingdings" w:hAnsi="Wingdings"/>
        <w:b w:val="0"/>
        <w:bCs w:val="0"/>
        <w:i w:val="0"/>
        <w:iCs w:val="0"/>
        <w:color w:val="auto"/>
        <w:sz w:val="10"/>
        <w:szCs w:val="20"/>
      </w:rPr>
    </w:lvl>
    <w:lvl w:ilvl="5" w:tentative="0">
      <w:start w:val="1"/>
      <w:numFmt w:val="bullet"/>
      <w:lvlRestart w:val="0"/>
      <w:lvlText w:val=""/>
      <w:lvlJc w:val="left"/>
      <w:pPr>
        <w:tabs>
          <w:tab w:val="left" w:pos="284"/>
        </w:tabs>
        <w:ind w:left="284" w:hanging="284"/>
      </w:pPr>
      <w:rPr>
        <w:rFonts w:hint="default" w:ascii="Symbol" w:hAnsi="Symbol"/>
        <w:color w:val="auto"/>
        <w:sz w:val="20"/>
        <w:szCs w:val="20"/>
      </w:rPr>
    </w:lvl>
    <w:lvl w:ilvl="6" w:tentative="0">
      <w:start w:val="1"/>
      <w:numFmt w:val="none"/>
      <w:lvlText w:val="%7"/>
      <w:lvlJc w:val="left"/>
      <w:pPr>
        <w:tabs>
          <w:tab w:val="left" w:pos="323"/>
        </w:tabs>
        <w:ind w:left="323" w:firstLine="920"/>
      </w:pPr>
      <w:rPr>
        <w:rFonts w:hint="default"/>
        <w:color w:val="auto"/>
      </w:rPr>
    </w:lvl>
    <w:lvl w:ilvl="7" w:tentative="0">
      <w:start w:val="1"/>
      <w:numFmt w:val="none"/>
      <w:lvlText w:val="%8"/>
      <w:lvlJc w:val="left"/>
      <w:pPr>
        <w:tabs>
          <w:tab w:val="left" w:pos="323"/>
        </w:tabs>
        <w:ind w:left="323" w:firstLine="920"/>
      </w:pPr>
      <w:rPr>
        <w:rFonts w:hint="default"/>
      </w:rPr>
    </w:lvl>
    <w:lvl w:ilvl="8" w:tentative="0">
      <w:start w:val="1"/>
      <w:numFmt w:val="none"/>
      <w:lvlText w:val="%9"/>
      <w:lvlJc w:val="left"/>
      <w:pPr>
        <w:tabs>
          <w:tab w:val="left" w:pos="323"/>
        </w:tabs>
        <w:ind w:left="323" w:firstLine="920"/>
      </w:pPr>
      <w:rPr>
        <w:rFonts w:hint="default"/>
      </w:rPr>
    </w:lvl>
  </w:abstractNum>
  <w:abstractNum w:abstractNumId="8">
    <w:nsid w:val="50FD5DAA"/>
    <w:multiLevelType w:val="singleLevel"/>
    <w:tmpl w:val="50FD5DAA"/>
    <w:lvl w:ilvl="0" w:tentative="0">
      <w:start w:val="1"/>
      <w:numFmt w:val="decimal"/>
      <w:suff w:val="nothing"/>
      <w:lvlText w:val="%1、"/>
      <w:lvlJc w:val="left"/>
    </w:lvl>
  </w:abstractNum>
  <w:abstractNum w:abstractNumId="9">
    <w:nsid w:val="58C0FE36"/>
    <w:multiLevelType w:val="singleLevel"/>
    <w:tmpl w:val="58C0FE36"/>
    <w:lvl w:ilvl="0" w:tentative="0">
      <w:start w:val="1"/>
      <w:numFmt w:val="chineseCounting"/>
      <w:suff w:val="nothing"/>
      <w:lvlText w:val="%1、"/>
      <w:lvlJc w:val="left"/>
    </w:lvl>
  </w:abstractNum>
  <w:abstractNum w:abstractNumId="10">
    <w:nsid w:val="5C12674D"/>
    <w:multiLevelType w:val="multilevel"/>
    <w:tmpl w:val="5C12674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D43DA09"/>
    <w:multiLevelType w:val="singleLevel"/>
    <w:tmpl w:val="5D43DA09"/>
    <w:lvl w:ilvl="0" w:tentative="0">
      <w:start w:val="1"/>
      <w:numFmt w:val="decimal"/>
      <w:suff w:val="nothing"/>
      <w:lvlText w:val="%1、"/>
      <w:lvlJc w:val="left"/>
    </w:lvl>
  </w:abstractNum>
  <w:abstractNum w:abstractNumId="12">
    <w:nsid w:val="5D43DA86"/>
    <w:multiLevelType w:val="singleLevel"/>
    <w:tmpl w:val="5D43DA86"/>
    <w:lvl w:ilvl="0" w:tentative="0">
      <w:start w:val="1"/>
      <w:numFmt w:val="decimal"/>
      <w:suff w:val="nothing"/>
      <w:lvlText w:val="%1、"/>
      <w:lvlJc w:val="left"/>
    </w:lvl>
  </w:abstractNum>
  <w:abstractNum w:abstractNumId="13">
    <w:nsid w:val="5D43DC91"/>
    <w:multiLevelType w:val="singleLevel"/>
    <w:tmpl w:val="5D43DC91"/>
    <w:lvl w:ilvl="0" w:tentative="0">
      <w:start w:val="1"/>
      <w:numFmt w:val="decimal"/>
      <w:suff w:val="nothing"/>
      <w:lvlText w:val="%1、"/>
      <w:lvlJc w:val="left"/>
    </w:lvl>
  </w:abstractNum>
  <w:abstractNum w:abstractNumId="14">
    <w:nsid w:val="5D43DCDA"/>
    <w:multiLevelType w:val="singleLevel"/>
    <w:tmpl w:val="5D43DCDA"/>
    <w:lvl w:ilvl="0" w:tentative="0">
      <w:start w:val="1"/>
      <w:numFmt w:val="decimal"/>
      <w:suff w:val="nothing"/>
      <w:lvlText w:val="%1、"/>
      <w:lvlJc w:val="left"/>
    </w:lvl>
  </w:abstractNum>
  <w:abstractNum w:abstractNumId="15">
    <w:nsid w:val="5D43DD4F"/>
    <w:multiLevelType w:val="singleLevel"/>
    <w:tmpl w:val="5D43DD4F"/>
    <w:lvl w:ilvl="0" w:tentative="0">
      <w:start w:val="1"/>
      <w:numFmt w:val="decimal"/>
      <w:suff w:val="nothing"/>
      <w:lvlText w:val="%1、"/>
      <w:lvlJc w:val="left"/>
    </w:lvl>
  </w:abstractNum>
  <w:abstractNum w:abstractNumId="16">
    <w:nsid w:val="5D43DDAA"/>
    <w:multiLevelType w:val="singleLevel"/>
    <w:tmpl w:val="5D43DDAA"/>
    <w:lvl w:ilvl="0" w:tentative="0">
      <w:start w:val="1"/>
      <w:numFmt w:val="decimal"/>
      <w:suff w:val="nothing"/>
      <w:lvlText w:val="%1、"/>
      <w:lvlJc w:val="left"/>
    </w:lvl>
  </w:abstractNum>
  <w:abstractNum w:abstractNumId="17">
    <w:nsid w:val="5D43DE30"/>
    <w:multiLevelType w:val="singleLevel"/>
    <w:tmpl w:val="5D43DE30"/>
    <w:lvl w:ilvl="0" w:tentative="0">
      <w:start w:val="1"/>
      <w:numFmt w:val="decimal"/>
      <w:suff w:val="nothing"/>
      <w:lvlText w:val="%1、"/>
      <w:lvlJc w:val="left"/>
    </w:lvl>
  </w:abstractNum>
  <w:abstractNum w:abstractNumId="18">
    <w:nsid w:val="5D43E021"/>
    <w:multiLevelType w:val="singleLevel"/>
    <w:tmpl w:val="5D43E021"/>
    <w:lvl w:ilvl="0" w:tentative="0">
      <w:start w:val="1"/>
      <w:numFmt w:val="decimal"/>
      <w:suff w:val="nothing"/>
      <w:lvlText w:val="%1、"/>
      <w:lvlJc w:val="left"/>
    </w:lvl>
  </w:abstractNum>
  <w:abstractNum w:abstractNumId="19">
    <w:nsid w:val="5D43E5A4"/>
    <w:multiLevelType w:val="singleLevel"/>
    <w:tmpl w:val="5D43E5A4"/>
    <w:lvl w:ilvl="0" w:tentative="0">
      <w:start w:val="1"/>
      <w:numFmt w:val="decimal"/>
      <w:suff w:val="nothing"/>
      <w:lvlText w:val="%1、"/>
      <w:lvlJc w:val="left"/>
      <w:pPr>
        <w:tabs>
          <w:tab w:val="left" w:pos="0"/>
        </w:tabs>
      </w:pPr>
      <w:rPr>
        <w:rFonts w:hint="default"/>
      </w:rPr>
    </w:lvl>
  </w:abstractNum>
  <w:abstractNum w:abstractNumId="20">
    <w:nsid w:val="5D43E5DB"/>
    <w:multiLevelType w:val="singleLevel"/>
    <w:tmpl w:val="5D43E5DB"/>
    <w:lvl w:ilvl="0" w:tentative="0">
      <w:start w:val="1"/>
      <w:numFmt w:val="decimal"/>
      <w:suff w:val="nothing"/>
      <w:lvlText w:val="%1、"/>
      <w:lvlJc w:val="left"/>
      <w:pPr>
        <w:tabs>
          <w:tab w:val="left" w:pos="0"/>
        </w:tabs>
      </w:pPr>
      <w:rPr>
        <w:rFonts w:hint="default"/>
      </w:rPr>
    </w:lvl>
  </w:abstractNum>
  <w:abstractNum w:abstractNumId="21">
    <w:nsid w:val="5D43E5F1"/>
    <w:multiLevelType w:val="singleLevel"/>
    <w:tmpl w:val="5D43E5F1"/>
    <w:lvl w:ilvl="0" w:tentative="0">
      <w:start w:val="1"/>
      <w:numFmt w:val="decimal"/>
      <w:suff w:val="nothing"/>
      <w:lvlText w:val="%1、"/>
      <w:lvlJc w:val="left"/>
      <w:pPr>
        <w:tabs>
          <w:tab w:val="left" w:pos="0"/>
        </w:tabs>
      </w:pPr>
      <w:rPr>
        <w:rFonts w:hint="default"/>
      </w:rPr>
    </w:lvl>
  </w:abstractNum>
  <w:abstractNum w:abstractNumId="22">
    <w:nsid w:val="5D43E6A1"/>
    <w:multiLevelType w:val="singleLevel"/>
    <w:tmpl w:val="5D43E6A1"/>
    <w:lvl w:ilvl="0" w:tentative="0">
      <w:start w:val="1"/>
      <w:numFmt w:val="decimal"/>
      <w:suff w:val="nothing"/>
      <w:lvlText w:val="%1、"/>
      <w:lvlJc w:val="left"/>
      <w:pPr>
        <w:tabs>
          <w:tab w:val="left" w:pos="0"/>
        </w:tabs>
      </w:pPr>
      <w:rPr>
        <w:rFonts w:hint="default"/>
      </w:rPr>
    </w:lvl>
  </w:abstractNum>
  <w:abstractNum w:abstractNumId="23">
    <w:nsid w:val="5D43E6B0"/>
    <w:multiLevelType w:val="singleLevel"/>
    <w:tmpl w:val="5D43E6B0"/>
    <w:lvl w:ilvl="0" w:tentative="0">
      <w:start w:val="1"/>
      <w:numFmt w:val="decimal"/>
      <w:suff w:val="nothing"/>
      <w:lvlText w:val="%1、"/>
      <w:lvlJc w:val="left"/>
      <w:pPr>
        <w:tabs>
          <w:tab w:val="left" w:pos="0"/>
        </w:tabs>
      </w:pPr>
      <w:rPr>
        <w:rFonts w:hint="default"/>
      </w:rPr>
    </w:lvl>
  </w:abstractNum>
  <w:abstractNum w:abstractNumId="24">
    <w:nsid w:val="5D43E6CC"/>
    <w:multiLevelType w:val="singleLevel"/>
    <w:tmpl w:val="5D43E6CC"/>
    <w:lvl w:ilvl="0" w:tentative="0">
      <w:start w:val="1"/>
      <w:numFmt w:val="decimal"/>
      <w:suff w:val="nothing"/>
      <w:lvlText w:val="%1、"/>
      <w:lvlJc w:val="left"/>
      <w:pPr>
        <w:tabs>
          <w:tab w:val="left" w:pos="0"/>
        </w:tabs>
      </w:pPr>
      <w:rPr>
        <w:rFonts w:hint="default"/>
      </w:rPr>
    </w:lvl>
  </w:abstractNum>
  <w:abstractNum w:abstractNumId="25">
    <w:nsid w:val="5D43E6DC"/>
    <w:multiLevelType w:val="singleLevel"/>
    <w:tmpl w:val="5D43E6DC"/>
    <w:lvl w:ilvl="0" w:tentative="0">
      <w:start w:val="1"/>
      <w:numFmt w:val="decimal"/>
      <w:suff w:val="nothing"/>
      <w:lvlText w:val="%1、"/>
      <w:lvlJc w:val="left"/>
      <w:pPr>
        <w:tabs>
          <w:tab w:val="left" w:pos="0"/>
        </w:tabs>
      </w:pPr>
      <w:rPr>
        <w:rFonts w:hint="default"/>
      </w:rPr>
    </w:lvl>
  </w:abstractNum>
  <w:abstractNum w:abstractNumId="26">
    <w:nsid w:val="5D43E721"/>
    <w:multiLevelType w:val="singleLevel"/>
    <w:tmpl w:val="5D43E721"/>
    <w:lvl w:ilvl="0" w:tentative="0">
      <w:start w:val="1"/>
      <w:numFmt w:val="decimal"/>
      <w:suff w:val="nothing"/>
      <w:lvlText w:val="%1、"/>
      <w:lvlJc w:val="left"/>
      <w:pPr>
        <w:tabs>
          <w:tab w:val="left" w:pos="0"/>
        </w:tabs>
      </w:pPr>
      <w:rPr>
        <w:rFonts w:hint="default"/>
      </w:rPr>
    </w:lvl>
  </w:abstractNum>
  <w:abstractNum w:abstractNumId="27">
    <w:nsid w:val="5D43E72F"/>
    <w:multiLevelType w:val="singleLevel"/>
    <w:tmpl w:val="5D43E72F"/>
    <w:lvl w:ilvl="0" w:tentative="0">
      <w:start w:val="1"/>
      <w:numFmt w:val="decimal"/>
      <w:suff w:val="nothing"/>
      <w:lvlText w:val="%1、"/>
      <w:lvlJc w:val="left"/>
      <w:pPr>
        <w:tabs>
          <w:tab w:val="left" w:pos="0"/>
        </w:tabs>
      </w:pPr>
      <w:rPr>
        <w:rFonts w:hint="default"/>
      </w:rPr>
    </w:lvl>
  </w:abstractNum>
  <w:abstractNum w:abstractNumId="28">
    <w:nsid w:val="5D43E8FA"/>
    <w:multiLevelType w:val="singleLevel"/>
    <w:tmpl w:val="5D43E8FA"/>
    <w:lvl w:ilvl="0" w:tentative="0">
      <w:start w:val="1"/>
      <w:numFmt w:val="decimal"/>
      <w:suff w:val="nothing"/>
      <w:lvlText w:val="%1、"/>
      <w:lvlJc w:val="left"/>
      <w:pPr>
        <w:tabs>
          <w:tab w:val="left" w:pos="0"/>
        </w:tabs>
      </w:pPr>
      <w:rPr>
        <w:rFonts w:hint="default"/>
      </w:rPr>
    </w:lvl>
  </w:abstractNum>
  <w:abstractNum w:abstractNumId="29">
    <w:nsid w:val="5D43EA1E"/>
    <w:multiLevelType w:val="singleLevel"/>
    <w:tmpl w:val="5D43EA1E"/>
    <w:lvl w:ilvl="0" w:tentative="0">
      <w:start w:val="1"/>
      <w:numFmt w:val="decimal"/>
      <w:suff w:val="nothing"/>
      <w:lvlText w:val="%1、"/>
      <w:lvlJc w:val="left"/>
    </w:lvl>
  </w:abstractNum>
  <w:abstractNum w:abstractNumId="30">
    <w:nsid w:val="5D43EABC"/>
    <w:multiLevelType w:val="singleLevel"/>
    <w:tmpl w:val="5D43EABC"/>
    <w:lvl w:ilvl="0" w:tentative="0">
      <w:start w:val="3"/>
      <w:numFmt w:val="decimal"/>
      <w:suff w:val="nothing"/>
      <w:lvlText w:val="%1、"/>
      <w:lvlJc w:val="left"/>
    </w:lvl>
  </w:abstractNum>
  <w:abstractNum w:abstractNumId="31">
    <w:nsid w:val="5D43EC7F"/>
    <w:multiLevelType w:val="singleLevel"/>
    <w:tmpl w:val="5D43EC7F"/>
    <w:lvl w:ilvl="0" w:tentative="0">
      <w:start w:val="1"/>
      <w:numFmt w:val="decimal"/>
      <w:suff w:val="nothing"/>
      <w:lvlText w:val="%1、"/>
      <w:lvlJc w:val="left"/>
    </w:lvl>
  </w:abstractNum>
  <w:abstractNum w:abstractNumId="32">
    <w:nsid w:val="5D43ED7A"/>
    <w:multiLevelType w:val="singleLevel"/>
    <w:tmpl w:val="5D43ED7A"/>
    <w:lvl w:ilvl="0" w:tentative="0">
      <w:start w:val="1"/>
      <w:numFmt w:val="decimal"/>
      <w:suff w:val="nothing"/>
      <w:lvlText w:val="%1、"/>
      <w:lvlJc w:val="left"/>
    </w:lvl>
  </w:abstractNum>
  <w:abstractNum w:abstractNumId="33">
    <w:nsid w:val="5D43EDAA"/>
    <w:multiLevelType w:val="singleLevel"/>
    <w:tmpl w:val="5D43EDAA"/>
    <w:lvl w:ilvl="0" w:tentative="0">
      <w:start w:val="1"/>
      <w:numFmt w:val="decimal"/>
      <w:suff w:val="nothing"/>
      <w:lvlText w:val="%1、"/>
      <w:lvlJc w:val="left"/>
    </w:lvl>
  </w:abstractNum>
  <w:abstractNum w:abstractNumId="34">
    <w:nsid w:val="5D43EF15"/>
    <w:multiLevelType w:val="singleLevel"/>
    <w:tmpl w:val="5D43EF15"/>
    <w:lvl w:ilvl="0" w:tentative="0">
      <w:start w:val="1"/>
      <w:numFmt w:val="decimal"/>
      <w:suff w:val="nothing"/>
      <w:lvlText w:val="%1、"/>
      <w:lvlJc w:val="left"/>
    </w:lvl>
  </w:abstractNum>
  <w:abstractNum w:abstractNumId="35">
    <w:nsid w:val="5D43F0D0"/>
    <w:multiLevelType w:val="singleLevel"/>
    <w:tmpl w:val="5D43F0D0"/>
    <w:lvl w:ilvl="0" w:tentative="0">
      <w:start w:val="1"/>
      <w:numFmt w:val="decimal"/>
      <w:suff w:val="nothing"/>
      <w:lvlText w:val="%1、"/>
      <w:lvlJc w:val="left"/>
      <w:pPr>
        <w:tabs>
          <w:tab w:val="left" w:pos="0"/>
        </w:tabs>
      </w:pPr>
      <w:rPr>
        <w:rFonts w:hint="default"/>
      </w:rPr>
    </w:lvl>
  </w:abstractNum>
  <w:abstractNum w:abstractNumId="36">
    <w:nsid w:val="739F5B09"/>
    <w:multiLevelType w:val="multilevel"/>
    <w:tmpl w:val="739F5B09"/>
    <w:lvl w:ilvl="0" w:tentative="0">
      <w:start w:val="1"/>
      <w:numFmt w:val="decimal"/>
      <w:lvlText w:val="%1"/>
      <w:lvlJc w:val="left"/>
      <w:pPr>
        <w:ind w:left="425" w:hanging="425"/>
      </w:pPr>
    </w:lvl>
    <w:lvl w:ilvl="1" w:tentative="0">
      <w:start w:val="1"/>
      <w:numFmt w:val="decimal"/>
      <w:lvlText w:val="%1.%2"/>
      <w:lvlJc w:val="left"/>
      <w:pPr>
        <w:ind w:left="127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6"/>
    <w:lvlOverride w:ilvl="0">
      <w:startOverride w:val="1"/>
    </w:lvlOverride>
  </w:num>
  <w:num w:numId="3">
    <w:abstractNumId w:val="1"/>
  </w:num>
  <w:num w:numId="4">
    <w:abstractNumId w:val="7"/>
  </w:num>
  <w:num w:numId="5">
    <w:abstractNumId w:val="9"/>
  </w:num>
  <w:num w:numId="6">
    <w:abstractNumId w:val="2"/>
  </w:num>
  <w:num w:numId="7">
    <w:abstractNumId w:val="8"/>
  </w:num>
  <w:num w:numId="8">
    <w:abstractNumId w:val="5"/>
  </w:num>
  <w:num w:numId="9">
    <w:abstractNumId w:val="36"/>
  </w:num>
  <w:num w:numId="10">
    <w:abstractNumId w:val="35"/>
  </w:num>
  <w:num w:numId="11">
    <w:abstractNumId w:val="20"/>
  </w:num>
  <w:num w:numId="12">
    <w:abstractNumId w:val="22"/>
  </w:num>
  <w:num w:numId="13">
    <w:abstractNumId w:val="24"/>
  </w:num>
  <w:num w:numId="14">
    <w:abstractNumId w:val="26"/>
  </w:num>
  <w:num w:numId="15">
    <w:abstractNumId w:val="28"/>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1"/>
  </w:num>
  <w:num w:numId="25">
    <w:abstractNumId w:val="23"/>
  </w:num>
  <w:num w:numId="26">
    <w:abstractNumId w:val="25"/>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11"/>
  </w:num>
  <w:num w:numId="35">
    <w:abstractNumId w:val="10"/>
  </w:num>
  <w:num w:numId="36">
    <w:abstractNumId w:val="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E2"/>
    <w:rsid w:val="0000110A"/>
    <w:rsid w:val="000016AE"/>
    <w:rsid w:val="00002804"/>
    <w:rsid w:val="00002AB6"/>
    <w:rsid w:val="00002AD0"/>
    <w:rsid w:val="00003F01"/>
    <w:rsid w:val="00003FD3"/>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CB2"/>
    <w:rsid w:val="00024BB8"/>
    <w:rsid w:val="0002545B"/>
    <w:rsid w:val="00027437"/>
    <w:rsid w:val="000277B4"/>
    <w:rsid w:val="00027B22"/>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5AD"/>
    <w:rsid w:val="000546A5"/>
    <w:rsid w:val="00054728"/>
    <w:rsid w:val="00054733"/>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599"/>
    <w:rsid w:val="00081235"/>
    <w:rsid w:val="0008133F"/>
    <w:rsid w:val="00081780"/>
    <w:rsid w:val="000819B8"/>
    <w:rsid w:val="00081B19"/>
    <w:rsid w:val="0008261D"/>
    <w:rsid w:val="000826D3"/>
    <w:rsid w:val="000836BE"/>
    <w:rsid w:val="00083D81"/>
    <w:rsid w:val="00083EF6"/>
    <w:rsid w:val="00084A6E"/>
    <w:rsid w:val="00085794"/>
    <w:rsid w:val="0008628F"/>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DD"/>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5364"/>
    <w:rsid w:val="000D54DC"/>
    <w:rsid w:val="000D6796"/>
    <w:rsid w:val="000D6CA3"/>
    <w:rsid w:val="000D71E6"/>
    <w:rsid w:val="000E0713"/>
    <w:rsid w:val="000E159A"/>
    <w:rsid w:val="000E1D80"/>
    <w:rsid w:val="000E2C29"/>
    <w:rsid w:val="000E38DA"/>
    <w:rsid w:val="000E38F3"/>
    <w:rsid w:val="000E3A57"/>
    <w:rsid w:val="000E4577"/>
    <w:rsid w:val="000E4B5A"/>
    <w:rsid w:val="000E4F33"/>
    <w:rsid w:val="000E5505"/>
    <w:rsid w:val="000E6391"/>
    <w:rsid w:val="000E65F0"/>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4067"/>
    <w:rsid w:val="00124855"/>
    <w:rsid w:val="00124FD8"/>
    <w:rsid w:val="00125872"/>
    <w:rsid w:val="00125963"/>
    <w:rsid w:val="00125F2A"/>
    <w:rsid w:val="00125F76"/>
    <w:rsid w:val="00126146"/>
    <w:rsid w:val="00127892"/>
    <w:rsid w:val="00127B69"/>
    <w:rsid w:val="00130176"/>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6BAF"/>
    <w:rsid w:val="00166D06"/>
    <w:rsid w:val="00166D3F"/>
    <w:rsid w:val="00166FCA"/>
    <w:rsid w:val="00167014"/>
    <w:rsid w:val="00167161"/>
    <w:rsid w:val="00167B84"/>
    <w:rsid w:val="0017011B"/>
    <w:rsid w:val="00170880"/>
    <w:rsid w:val="00170F0F"/>
    <w:rsid w:val="001712E8"/>
    <w:rsid w:val="00171D5E"/>
    <w:rsid w:val="00173A05"/>
    <w:rsid w:val="00174625"/>
    <w:rsid w:val="00174A07"/>
    <w:rsid w:val="001755F5"/>
    <w:rsid w:val="00175648"/>
    <w:rsid w:val="00175FAE"/>
    <w:rsid w:val="00176DDB"/>
    <w:rsid w:val="0017758B"/>
    <w:rsid w:val="00177CC3"/>
    <w:rsid w:val="00180D75"/>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2B2E"/>
    <w:rsid w:val="001D3505"/>
    <w:rsid w:val="001D45CB"/>
    <w:rsid w:val="001D46EF"/>
    <w:rsid w:val="001D48AB"/>
    <w:rsid w:val="001D5996"/>
    <w:rsid w:val="001D5D1F"/>
    <w:rsid w:val="001D6E75"/>
    <w:rsid w:val="001E04F1"/>
    <w:rsid w:val="001E060E"/>
    <w:rsid w:val="001E0DBA"/>
    <w:rsid w:val="001E1512"/>
    <w:rsid w:val="001E1770"/>
    <w:rsid w:val="001E19D6"/>
    <w:rsid w:val="001E1AD6"/>
    <w:rsid w:val="001E1BD5"/>
    <w:rsid w:val="001E1DDB"/>
    <w:rsid w:val="001E2ABA"/>
    <w:rsid w:val="001E304B"/>
    <w:rsid w:val="001E3637"/>
    <w:rsid w:val="001E3797"/>
    <w:rsid w:val="001E3ABA"/>
    <w:rsid w:val="001E4F7E"/>
    <w:rsid w:val="001E510E"/>
    <w:rsid w:val="001E58E3"/>
    <w:rsid w:val="001E66F7"/>
    <w:rsid w:val="001E7303"/>
    <w:rsid w:val="001E7514"/>
    <w:rsid w:val="001F03BB"/>
    <w:rsid w:val="001F0559"/>
    <w:rsid w:val="001F0BC3"/>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C98"/>
    <w:rsid w:val="00204E32"/>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81E"/>
    <w:rsid w:val="00233BB6"/>
    <w:rsid w:val="00233E4B"/>
    <w:rsid w:val="00234318"/>
    <w:rsid w:val="002353C4"/>
    <w:rsid w:val="00235968"/>
    <w:rsid w:val="00235D0A"/>
    <w:rsid w:val="00236EA5"/>
    <w:rsid w:val="0024059D"/>
    <w:rsid w:val="002412A4"/>
    <w:rsid w:val="002412E4"/>
    <w:rsid w:val="0024140C"/>
    <w:rsid w:val="00241CC3"/>
    <w:rsid w:val="00242587"/>
    <w:rsid w:val="00242AF1"/>
    <w:rsid w:val="00242B42"/>
    <w:rsid w:val="00242FB5"/>
    <w:rsid w:val="00243812"/>
    <w:rsid w:val="0024412E"/>
    <w:rsid w:val="0024514C"/>
    <w:rsid w:val="0024698D"/>
    <w:rsid w:val="00246D20"/>
    <w:rsid w:val="0024722A"/>
    <w:rsid w:val="0024762A"/>
    <w:rsid w:val="002505CA"/>
    <w:rsid w:val="002511C7"/>
    <w:rsid w:val="00251702"/>
    <w:rsid w:val="00251B5D"/>
    <w:rsid w:val="0025280F"/>
    <w:rsid w:val="00253263"/>
    <w:rsid w:val="0025378B"/>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891"/>
    <w:rsid w:val="002705EB"/>
    <w:rsid w:val="00270D47"/>
    <w:rsid w:val="0027112B"/>
    <w:rsid w:val="002712EE"/>
    <w:rsid w:val="00271E22"/>
    <w:rsid w:val="00273C1C"/>
    <w:rsid w:val="00273DDD"/>
    <w:rsid w:val="002753D2"/>
    <w:rsid w:val="00275464"/>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7CCD"/>
    <w:rsid w:val="002B03F3"/>
    <w:rsid w:val="002B09EC"/>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7825"/>
    <w:rsid w:val="002B7B30"/>
    <w:rsid w:val="002B7BDB"/>
    <w:rsid w:val="002B7EA4"/>
    <w:rsid w:val="002C0E9F"/>
    <w:rsid w:val="002C1250"/>
    <w:rsid w:val="002C17A6"/>
    <w:rsid w:val="002C2C86"/>
    <w:rsid w:val="002C35AB"/>
    <w:rsid w:val="002C422B"/>
    <w:rsid w:val="002C4335"/>
    <w:rsid w:val="002C443C"/>
    <w:rsid w:val="002C5935"/>
    <w:rsid w:val="002C67B6"/>
    <w:rsid w:val="002C6E87"/>
    <w:rsid w:val="002C773F"/>
    <w:rsid w:val="002C78AB"/>
    <w:rsid w:val="002D0CAE"/>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67C2"/>
    <w:rsid w:val="002F685D"/>
    <w:rsid w:val="002F6C3A"/>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9C1"/>
    <w:rsid w:val="0032516D"/>
    <w:rsid w:val="0032561D"/>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964"/>
    <w:rsid w:val="003502AB"/>
    <w:rsid w:val="003516A6"/>
    <w:rsid w:val="00351C58"/>
    <w:rsid w:val="00351D32"/>
    <w:rsid w:val="00352EB5"/>
    <w:rsid w:val="00353C51"/>
    <w:rsid w:val="00353EB1"/>
    <w:rsid w:val="00354971"/>
    <w:rsid w:val="00354ADC"/>
    <w:rsid w:val="003563D0"/>
    <w:rsid w:val="00357726"/>
    <w:rsid w:val="00357B18"/>
    <w:rsid w:val="00360B48"/>
    <w:rsid w:val="00361BCF"/>
    <w:rsid w:val="00361D46"/>
    <w:rsid w:val="0036249C"/>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F6C"/>
    <w:rsid w:val="00371291"/>
    <w:rsid w:val="00372422"/>
    <w:rsid w:val="00373144"/>
    <w:rsid w:val="00373A18"/>
    <w:rsid w:val="00373CD5"/>
    <w:rsid w:val="00373E6E"/>
    <w:rsid w:val="0037521D"/>
    <w:rsid w:val="00375600"/>
    <w:rsid w:val="00376209"/>
    <w:rsid w:val="0037624B"/>
    <w:rsid w:val="00376CA9"/>
    <w:rsid w:val="00376D29"/>
    <w:rsid w:val="00377E5E"/>
    <w:rsid w:val="00377F3D"/>
    <w:rsid w:val="00380A57"/>
    <w:rsid w:val="00381403"/>
    <w:rsid w:val="00381E31"/>
    <w:rsid w:val="0038242C"/>
    <w:rsid w:val="00382501"/>
    <w:rsid w:val="0038289D"/>
    <w:rsid w:val="00382B78"/>
    <w:rsid w:val="00382BBD"/>
    <w:rsid w:val="00383583"/>
    <w:rsid w:val="00383CED"/>
    <w:rsid w:val="003856CB"/>
    <w:rsid w:val="00386100"/>
    <w:rsid w:val="003862F4"/>
    <w:rsid w:val="00386AD3"/>
    <w:rsid w:val="00386DA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6AE"/>
    <w:rsid w:val="00397764"/>
    <w:rsid w:val="00397796"/>
    <w:rsid w:val="00397B10"/>
    <w:rsid w:val="00397B91"/>
    <w:rsid w:val="003A047F"/>
    <w:rsid w:val="003A1196"/>
    <w:rsid w:val="003A18A9"/>
    <w:rsid w:val="003A1A91"/>
    <w:rsid w:val="003A1E83"/>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368F"/>
    <w:rsid w:val="003C40DB"/>
    <w:rsid w:val="003C5074"/>
    <w:rsid w:val="003C53A9"/>
    <w:rsid w:val="003C63BD"/>
    <w:rsid w:val="003C67A3"/>
    <w:rsid w:val="003C6AAC"/>
    <w:rsid w:val="003C718D"/>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31C9"/>
    <w:rsid w:val="003E4C01"/>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6B"/>
    <w:rsid w:val="00433939"/>
    <w:rsid w:val="004343FB"/>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9C4"/>
    <w:rsid w:val="00461CA1"/>
    <w:rsid w:val="0046234A"/>
    <w:rsid w:val="00462CE5"/>
    <w:rsid w:val="00462E1A"/>
    <w:rsid w:val="0046315B"/>
    <w:rsid w:val="0046435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AFF"/>
    <w:rsid w:val="00493BDB"/>
    <w:rsid w:val="004947EA"/>
    <w:rsid w:val="0049483B"/>
    <w:rsid w:val="00494A55"/>
    <w:rsid w:val="00494A77"/>
    <w:rsid w:val="00495482"/>
    <w:rsid w:val="00495FC1"/>
    <w:rsid w:val="0049623F"/>
    <w:rsid w:val="00496263"/>
    <w:rsid w:val="004A1857"/>
    <w:rsid w:val="004A2082"/>
    <w:rsid w:val="004A2130"/>
    <w:rsid w:val="004A3366"/>
    <w:rsid w:val="004A3A40"/>
    <w:rsid w:val="004A3DCF"/>
    <w:rsid w:val="004A471C"/>
    <w:rsid w:val="004A562A"/>
    <w:rsid w:val="004A5BB7"/>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DF3"/>
    <w:rsid w:val="004C4499"/>
    <w:rsid w:val="004C4C5C"/>
    <w:rsid w:val="004C4E70"/>
    <w:rsid w:val="004C5B4A"/>
    <w:rsid w:val="004C63CB"/>
    <w:rsid w:val="004C6531"/>
    <w:rsid w:val="004C6658"/>
    <w:rsid w:val="004C67DC"/>
    <w:rsid w:val="004C6932"/>
    <w:rsid w:val="004D066D"/>
    <w:rsid w:val="004D0CE5"/>
    <w:rsid w:val="004D1E57"/>
    <w:rsid w:val="004D1F34"/>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D5B"/>
    <w:rsid w:val="004F2E81"/>
    <w:rsid w:val="004F3375"/>
    <w:rsid w:val="004F39BF"/>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7175"/>
    <w:rsid w:val="0052726A"/>
    <w:rsid w:val="00527D32"/>
    <w:rsid w:val="00530505"/>
    <w:rsid w:val="00530F4D"/>
    <w:rsid w:val="005310BA"/>
    <w:rsid w:val="005312B4"/>
    <w:rsid w:val="005335D1"/>
    <w:rsid w:val="00533615"/>
    <w:rsid w:val="00533F21"/>
    <w:rsid w:val="0053411E"/>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2763"/>
    <w:rsid w:val="0055306F"/>
    <w:rsid w:val="0055336C"/>
    <w:rsid w:val="00553464"/>
    <w:rsid w:val="005535A5"/>
    <w:rsid w:val="00553D83"/>
    <w:rsid w:val="00554416"/>
    <w:rsid w:val="00554F5C"/>
    <w:rsid w:val="00555048"/>
    <w:rsid w:val="0055508B"/>
    <w:rsid w:val="0055632E"/>
    <w:rsid w:val="005564D4"/>
    <w:rsid w:val="00556F80"/>
    <w:rsid w:val="00557F59"/>
    <w:rsid w:val="0056004D"/>
    <w:rsid w:val="0056047F"/>
    <w:rsid w:val="0056078C"/>
    <w:rsid w:val="005610BF"/>
    <w:rsid w:val="00561F41"/>
    <w:rsid w:val="00562915"/>
    <w:rsid w:val="00562E8D"/>
    <w:rsid w:val="005640F0"/>
    <w:rsid w:val="005643B2"/>
    <w:rsid w:val="005643C6"/>
    <w:rsid w:val="005645BB"/>
    <w:rsid w:val="005645CB"/>
    <w:rsid w:val="00564C67"/>
    <w:rsid w:val="00564DAD"/>
    <w:rsid w:val="00565586"/>
    <w:rsid w:val="005657C7"/>
    <w:rsid w:val="00566656"/>
    <w:rsid w:val="00567156"/>
    <w:rsid w:val="005677B4"/>
    <w:rsid w:val="005701EA"/>
    <w:rsid w:val="005704C3"/>
    <w:rsid w:val="00570514"/>
    <w:rsid w:val="005711C1"/>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C87"/>
    <w:rsid w:val="00584047"/>
    <w:rsid w:val="005861F9"/>
    <w:rsid w:val="005864B8"/>
    <w:rsid w:val="00587048"/>
    <w:rsid w:val="00587B1A"/>
    <w:rsid w:val="00587EA0"/>
    <w:rsid w:val="00590722"/>
    <w:rsid w:val="00590E14"/>
    <w:rsid w:val="005912C3"/>
    <w:rsid w:val="005922E9"/>
    <w:rsid w:val="005923EE"/>
    <w:rsid w:val="00592EAF"/>
    <w:rsid w:val="005942BB"/>
    <w:rsid w:val="00595B2C"/>
    <w:rsid w:val="00595B6D"/>
    <w:rsid w:val="00595E5B"/>
    <w:rsid w:val="00596560"/>
    <w:rsid w:val="00596E6D"/>
    <w:rsid w:val="00597D61"/>
    <w:rsid w:val="005A1F32"/>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9AB"/>
    <w:rsid w:val="005B2A18"/>
    <w:rsid w:val="005B2BC8"/>
    <w:rsid w:val="005B2D46"/>
    <w:rsid w:val="005B2DD9"/>
    <w:rsid w:val="005B2FCA"/>
    <w:rsid w:val="005B30AA"/>
    <w:rsid w:val="005B3419"/>
    <w:rsid w:val="005B37B0"/>
    <w:rsid w:val="005B3B15"/>
    <w:rsid w:val="005B4423"/>
    <w:rsid w:val="005B4884"/>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5FC7"/>
    <w:rsid w:val="005F6793"/>
    <w:rsid w:val="005F6B74"/>
    <w:rsid w:val="00600058"/>
    <w:rsid w:val="006007B0"/>
    <w:rsid w:val="00600ADE"/>
    <w:rsid w:val="006018AB"/>
    <w:rsid w:val="00601B46"/>
    <w:rsid w:val="00602547"/>
    <w:rsid w:val="00602D48"/>
    <w:rsid w:val="00602E41"/>
    <w:rsid w:val="00603F3F"/>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AAF"/>
    <w:rsid w:val="00613EDF"/>
    <w:rsid w:val="006154D1"/>
    <w:rsid w:val="00615666"/>
    <w:rsid w:val="006156F5"/>
    <w:rsid w:val="00615D22"/>
    <w:rsid w:val="00615E79"/>
    <w:rsid w:val="006162F8"/>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7CA"/>
    <w:rsid w:val="00662884"/>
    <w:rsid w:val="00663174"/>
    <w:rsid w:val="006631FF"/>
    <w:rsid w:val="0066416D"/>
    <w:rsid w:val="006645D4"/>
    <w:rsid w:val="006646F8"/>
    <w:rsid w:val="0066496A"/>
    <w:rsid w:val="00664ADB"/>
    <w:rsid w:val="006650A0"/>
    <w:rsid w:val="00666562"/>
    <w:rsid w:val="006666BB"/>
    <w:rsid w:val="00666E06"/>
    <w:rsid w:val="00666E28"/>
    <w:rsid w:val="006676F1"/>
    <w:rsid w:val="00667FFB"/>
    <w:rsid w:val="00671904"/>
    <w:rsid w:val="006720BE"/>
    <w:rsid w:val="00672EA8"/>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ECA"/>
    <w:rsid w:val="006B63CE"/>
    <w:rsid w:val="006C044E"/>
    <w:rsid w:val="006C0B65"/>
    <w:rsid w:val="006C1028"/>
    <w:rsid w:val="006C14D9"/>
    <w:rsid w:val="006C14F1"/>
    <w:rsid w:val="006C2016"/>
    <w:rsid w:val="006C2362"/>
    <w:rsid w:val="006C4440"/>
    <w:rsid w:val="006C4FF3"/>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C7B"/>
    <w:rsid w:val="006E20EF"/>
    <w:rsid w:val="006E272A"/>
    <w:rsid w:val="006E37AE"/>
    <w:rsid w:val="006E3F8F"/>
    <w:rsid w:val="006E409D"/>
    <w:rsid w:val="006E43E7"/>
    <w:rsid w:val="006E524A"/>
    <w:rsid w:val="006E552C"/>
    <w:rsid w:val="006E5970"/>
    <w:rsid w:val="006E60AC"/>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A1B"/>
    <w:rsid w:val="00705F6C"/>
    <w:rsid w:val="00707E43"/>
    <w:rsid w:val="00710594"/>
    <w:rsid w:val="00710D55"/>
    <w:rsid w:val="00710E24"/>
    <w:rsid w:val="00710E40"/>
    <w:rsid w:val="00712067"/>
    <w:rsid w:val="007133EE"/>
    <w:rsid w:val="00713E03"/>
    <w:rsid w:val="00714405"/>
    <w:rsid w:val="007145BE"/>
    <w:rsid w:val="00714A21"/>
    <w:rsid w:val="00714B12"/>
    <w:rsid w:val="00714FC2"/>
    <w:rsid w:val="00715366"/>
    <w:rsid w:val="007160DF"/>
    <w:rsid w:val="00716689"/>
    <w:rsid w:val="0071779E"/>
    <w:rsid w:val="0072126F"/>
    <w:rsid w:val="00721538"/>
    <w:rsid w:val="007223FB"/>
    <w:rsid w:val="00722D8A"/>
    <w:rsid w:val="00722E84"/>
    <w:rsid w:val="0072336F"/>
    <w:rsid w:val="0072337E"/>
    <w:rsid w:val="00723993"/>
    <w:rsid w:val="00723A86"/>
    <w:rsid w:val="00723DE0"/>
    <w:rsid w:val="0072494E"/>
    <w:rsid w:val="00724C38"/>
    <w:rsid w:val="00724EDF"/>
    <w:rsid w:val="00725843"/>
    <w:rsid w:val="00725B4D"/>
    <w:rsid w:val="00726565"/>
    <w:rsid w:val="00726B2E"/>
    <w:rsid w:val="00727293"/>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8E7"/>
    <w:rsid w:val="00737C66"/>
    <w:rsid w:val="00740DE2"/>
    <w:rsid w:val="007417CC"/>
    <w:rsid w:val="00741899"/>
    <w:rsid w:val="00742220"/>
    <w:rsid w:val="00742373"/>
    <w:rsid w:val="0074277B"/>
    <w:rsid w:val="007433E1"/>
    <w:rsid w:val="00744AC0"/>
    <w:rsid w:val="00744B3D"/>
    <w:rsid w:val="00746F0C"/>
    <w:rsid w:val="007471D8"/>
    <w:rsid w:val="0075046E"/>
    <w:rsid w:val="007505F7"/>
    <w:rsid w:val="00751C60"/>
    <w:rsid w:val="00751ED4"/>
    <w:rsid w:val="00752743"/>
    <w:rsid w:val="007528D3"/>
    <w:rsid w:val="00753AD8"/>
    <w:rsid w:val="007542DD"/>
    <w:rsid w:val="0075480A"/>
    <w:rsid w:val="007550A9"/>
    <w:rsid w:val="00756734"/>
    <w:rsid w:val="00756F71"/>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12FE"/>
    <w:rsid w:val="00771490"/>
    <w:rsid w:val="00771620"/>
    <w:rsid w:val="00771A3D"/>
    <w:rsid w:val="007723C4"/>
    <w:rsid w:val="007725BF"/>
    <w:rsid w:val="00773001"/>
    <w:rsid w:val="00774210"/>
    <w:rsid w:val="00774F5F"/>
    <w:rsid w:val="00774FC4"/>
    <w:rsid w:val="0077537C"/>
    <w:rsid w:val="00775FD5"/>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79E5"/>
    <w:rsid w:val="007903FE"/>
    <w:rsid w:val="0079105C"/>
    <w:rsid w:val="007916AF"/>
    <w:rsid w:val="007918D6"/>
    <w:rsid w:val="00791B50"/>
    <w:rsid w:val="00791C1B"/>
    <w:rsid w:val="00792197"/>
    <w:rsid w:val="007927F7"/>
    <w:rsid w:val="007928DF"/>
    <w:rsid w:val="0079343E"/>
    <w:rsid w:val="007943FE"/>
    <w:rsid w:val="00794596"/>
    <w:rsid w:val="00794E64"/>
    <w:rsid w:val="0079514B"/>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C0891"/>
    <w:rsid w:val="007C0E04"/>
    <w:rsid w:val="007C119F"/>
    <w:rsid w:val="007C250F"/>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10F9"/>
    <w:rsid w:val="007F2A78"/>
    <w:rsid w:val="007F2F7D"/>
    <w:rsid w:val="007F30EA"/>
    <w:rsid w:val="007F36C4"/>
    <w:rsid w:val="007F55DB"/>
    <w:rsid w:val="007F5BC4"/>
    <w:rsid w:val="007F5F8F"/>
    <w:rsid w:val="007F66B3"/>
    <w:rsid w:val="007F70A5"/>
    <w:rsid w:val="007F7EFB"/>
    <w:rsid w:val="00802FA3"/>
    <w:rsid w:val="00803BEB"/>
    <w:rsid w:val="0080430D"/>
    <w:rsid w:val="00804B62"/>
    <w:rsid w:val="0080574E"/>
    <w:rsid w:val="008058F0"/>
    <w:rsid w:val="00805DA8"/>
    <w:rsid w:val="00805F66"/>
    <w:rsid w:val="008067A9"/>
    <w:rsid w:val="00806A47"/>
    <w:rsid w:val="00806F0A"/>
    <w:rsid w:val="00807048"/>
    <w:rsid w:val="00810770"/>
    <w:rsid w:val="00810785"/>
    <w:rsid w:val="00810B46"/>
    <w:rsid w:val="00811512"/>
    <w:rsid w:val="00811913"/>
    <w:rsid w:val="008120E8"/>
    <w:rsid w:val="0081224B"/>
    <w:rsid w:val="00812723"/>
    <w:rsid w:val="00812AD1"/>
    <w:rsid w:val="008138DA"/>
    <w:rsid w:val="008148C8"/>
    <w:rsid w:val="0081532A"/>
    <w:rsid w:val="00816F4C"/>
    <w:rsid w:val="008172BF"/>
    <w:rsid w:val="008173CE"/>
    <w:rsid w:val="00820028"/>
    <w:rsid w:val="00822983"/>
    <w:rsid w:val="00822ABF"/>
    <w:rsid w:val="0082377C"/>
    <w:rsid w:val="00823AA9"/>
    <w:rsid w:val="00824358"/>
    <w:rsid w:val="00824635"/>
    <w:rsid w:val="00824B23"/>
    <w:rsid w:val="00824D8A"/>
    <w:rsid w:val="00825AE7"/>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7E54"/>
    <w:rsid w:val="00847F31"/>
    <w:rsid w:val="008505B4"/>
    <w:rsid w:val="00852046"/>
    <w:rsid w:val="00852237"/>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6355"/>
    <w:rsid w:val="00866C89"/>
    <w:rsid w:val="00867BDD"/>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BAE"/>
    <w:rsid w:val="008B6097"/>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D7E"/>
    <w:rsid w:val="008C31FC"/>
    <w:rsid w:val="008C3674"/>
    <w:rsid w:val="008C3D20"/>
    <w:rsid w:val="008C4166"/>
    <w:rsid w:val="008C496A"/>
    <w:rsid w:val="008C5369"/>
    <w:rsid w:val="008C5F13"/>
    <w:rsid w:val="008C6393"/>
    <w:rsid w:val="008C6958"/>
    <w:rsid w:val="008C6E36"/>
    <w:rsid w:val="008C6EEB"/>
    <w:rsid w:val="008C71F1"/>
    <w:rsid w:val="008C7546"/>
    <w:rsid w:val="008C77BF"/>
    <w:rsid w:val="008C7B66"/>
    <w:rsid w:val="008C7D17"/>
    <w:rsid w:val="008D0789"/>
    <w:rsid w:val="008D12FC"/>
    <w:rsid w:val="008D175D"/>
    <w:rsid w:val="008D1C4B"/>
    <w:rsid w:val="008D28B1"/>
    <w:rsid w:val="008D2B30"/>
    <w:rsid w:val="008D444C"/>
    <w:rsid w:val="008D4BD3"/>
    <w:rsid w:val="008D5032"/>
    <w:rsid w:val="008D6083"/>
    <w:rsid w:val="008D6394"/>
    <w:rsid w:val="008D6C8C"/>
    <w:rsid w:val="008D6FCF"/>
    <w:rsid w:val="008D7585"/>
    <w:rsid w:val="008D770E"/>
    <w:rsid w:val="008D7EE4"/>
    <w:rsid w:val="008E1EFD"/>
    <w:rsid w:val="008E2911"/>
    <w:rsid w:val="008E37B4"/>
    <w:rsid w:val="008E3927"/>
    <w:rsid w:val="008E40DB"/>
    <w:rsid w:val="008E4B4F"/>
    <w:rsid w:val="008E4D58"/>
    <w:rsid w:val="008E5184"/>
    <w:rsid w:val="008E53C2"/>
    <w:rsid w:val="008E5504"/>
    <w:rsid w:val="008E5774"/>
    <w:rsid w:val="008E5A32"/>
    <w:rsid w:val="008E5CFC"/>
    <w:rsid w:val="008E5DA3"/>
    <w:rsid w:val="008E689C"/>
    <w:rsid w:val="008E795F"/>
    <w:rsid w:val="008E7E07"/>
    <w:rsid w:val="008F0360"/>
    <w:rsid w:val="008F0626"/>
    <w:rsid w:val="008F0694"/>
    <w:rsid w:val="008F0C8D"/>
    <w:rsid w:val="008F1052"/>
    <w:rsid w:val="008F1835"/>
    <w:rsid w:val="008F2962"/>
    <w:rsid w:val="008F44D9"/>
    <w:rsid w:val="008F48BE"/>
    <w:rsid w:val="008F4FE2"/>
    <w:rsid w:val="008F6176"/>
    <w:rsid w:val="008F6875"/>
    <w:rsid w:val="008F7070"/>
    <w:rsid w:val="008F70E2"/>
    <w:rsid w:val="008F7D19"/>
    <w:rsid w:val="00900143"/>
    <w:rsid w:val="009006F7"/>
    <w:rsid w:val="00900789"/>
    <w:rsid w:val="00900BEF"/>
    <w:rsid w:val="00900E75"/>
    <w:rsid w:val="009018C4"/>
    <w:rsid w:val="0090194D"/>
    <w:rsid w:val="0090252A"/>
    <w:rsid w:val="00902633"/>
    <w:rsid w:val="00902C28"/>
    <w:rsid w:val="009037FB"/>
    <w:rsid w:val="00904092"/>
    <w:rsid w:val="00904889"/>
    <w:rsid w:val="00904A59"/>
    <w:rsid w:val="009059FC"/>
    <w:rsid w:val="0090660E"/>
    <w:rsid w:val="0090695F"/>
    <w:rsid w:val="00906FB8"/>
    <w:rsid w:val="009072B6"/>
    <w:rsid w:val="00907632"/>
    <w:rsid w:val="00907960"/>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940"/>
    <w:rsid w:val="00937E7E"/>
    <w:rsid w:val="00940AF2"/>
    <w:rsid w:val="00940B97"/>
    <w:rsid w:val="00940E75"/>
    <w:rsid w:val="00942610"/>
    <w:rsid w:val="00942A38"/>
    <w:rsid w:val="00942A94"/>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23F"/>
    <w:rsid w:val="00960D77"/>
    <w:rsid w:val="009640C9"/>
    <w:rsid w:val="00964A3D"/>
    <w:rsid w:val="00965EB6"/>
    <w:rsid w:val="00965F60"/>
    <w:rsid w:val="0096648B"/>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F53"/>
    <w:rsid w:val="009A04A9"/>
    <w:rsid w:val="009A06E1"/>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4A22"/>
    <w:rsid w:val="009C4EC1"/>
    <w:rsid w:val="009C5760"/>
    <w:rsid w:val="009C59E8"/>
    <w:rsid w:val="009C6BD9"/>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15BB"/>
    <w:rsid w:val="009F1F69"/>
    <w:rsid w:val="009F4F9C"/>
    <w:rsid w:val="009F7F6A"/>
    <w:rsid w:val="00A00AD3"/>
    <w:rsid w:val="00A00F3E"/>
    <w:rsid w:val="00A01C54"/>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353"/>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3DAE"/>
    <w:rsid w:val="00A4479A"/>
    <w:rsid w:val="00A44A25"/>
    <w:rsid w:val="00A44F78"/>
    <w:rsid w:val="00A45F09"/>
    <w:rsid w:val="00A4637B"/>
    <w:rsid w:val="00A468F3"/>
    <w:rsid w:val="00A46D63"/>
    <w:rsid w:val="00A47938"/>
    <w:rsid w:val="00A47A82"/>
    <w:rsid w:val="00A508AA"/>
    <w:rsid w:val="00A519BC"/>
    <w:rsid w:val="00A52110"/>
    <w:rsid w:val="00A5275F"/>
    <w:rsid w:val="00A52AA0"/>
    <w:rsid w:val="00A53142"/>
    <w:rsid w:val="00A53656"/>
    <w:rsid w:val="00A53980"/>
    <w:rsid w:val="00A54399"/>
    <w:rsid w:val="00A5583F"/>
    <w:rsid w:val="00A55BC1"/>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DC8"/>
    <w:rsid w:val="00A674DE"/>
    <w:rsid w:val="00A67F49"/>
    <w:rsid w:val="00A70024"/>
    <w:rsid w:val="00A71C8E"/>
    <w:rsid w:val="00A71F77"/>
    <w:rsid w:val="00A7237F"/>
    <w:rsid w:val="00A72476"/>
    <w:rsid w:val="00A72A95"/>
    <w:rsid w:val="00A734AB"/>
    <w:rsid w:val="00A7380F"/>
    <w:rsid w:val="00A739FB"/>
    <w:rsid w:val="00A74BC4"/>
    <w:rsid w:val="00A75843"/>
    <w:rsid w:val="00A75DB0"/>
    <w:rsid w:val="00A76C62"/>
    <w:rsid w:val="00A77649"/>
    <w:rsid w:val="00A77909"/>
    <w:rsid w:val="00A80242"/>
    <w:rsid w:val="00A80676"/>
    <w:rsid w:val="00A821BE"/>
    <w:rsid w:val="00A8268E"/>
    <w:rsid w:val="00A8274A"/>
    <w:rsid w:val="00A82EDB"/>
    <w:rsid w:val="00A839B8"/>
    <w:rsid w:val="00A83B1F"/>
    <w:rsid w:val="00A85B37"/>
    <w:rsid w:val="00A86D74"/>
    <w:rsid w:val="00A86F9D"/>
    <w:rsid w:val="00A875DA"/>
    <w:rsid w:val="00A879A4"/>
    <w:rsid w:val="00A90589"/>
    <w:rsid w:val="00A90C87"/>
    <w:rsid w:val="00A920A4"/>
    <w:rsid w:val="00A92DCE"/>
    <w:rsid w:val="00A92E90"/>
    <w:rsid w:val="00A93442"/>
    <w:rsid w:val="00A93934"/>
    <w:rsid w:val="00A93CA4"/>
    <w:rsid w:val="00A93FAA"/>
    <w:rsid w:val="00A94BB3"/>
    <w:rsid w:val="00A9523E"/>
    <w:rsid w:val="00A95244"/>
    <w:rsid w:val="00A9583B"/>
    <w:rsid w:val="00A96142"/>
    <w:rsid w:val="00A96B1B"/>
    <w:rsid w:val="00A9744B"/>
    <w:rsid w:val="00A97A86"/>
    <w:rsid w:val="00A97AD4"/>
    <w:rsid w:val="00AA0CD7"/>
    <w:rsid w:val="00AA21AA"/>
    <w:rsid w:val="00AA2F8B"/>
    <w:rsid w:val="00AA3604"/>
    <w:rsid w:val="00AA3658"/>
    <w:rsid w:val="00AA425B"/>
    <w:rsid w:val="00AA4F3C"/>
    <w:rsid w:val="00AA558F"/>
    <w:rsid w:val="00AA6207"/>
    <w:rsid w:val="00AA63FA"/>
    <w:rsid w:val="00AA6429"/>
    <w:rsid w:val="00AA79AF"/>
    <w:rsid w:val="00AA7B36"/>
    <w:rsid w:val="00AB0C7A"/>
    <w:rsid w:val="00AB1099"/>
    <w:rsid w:val="00AB146D"/>
    <w:rsid w:val="00AB17A4"/>
    <w:rsid w:val="00AB1A66"/>
    <w:rsid w:val="00AB2812"/>
    <w:rsid w:val="00AB3550"/>
    <w:rsid w:val="00AB370E"/>
    <w:rsid w:val="00AB38E8"/>
    <w:rsid w:val="00AB4D8F"/>
    <w:rsid w:val="00AB643D"/>
    <w:rsid w:val="00AB6691"/>
    <w:rsid w:val="00AB6694"/>
    <w:rsid w:val="00AB6883"/>
    <w:rsid w:val="00AB7686"/>
    <w:rsid w:val="00AB7B5D"/>
    <w:rsid w:val="00AC19F2"/>
    <w:rsid w:val="00AC1DC8"/>
    <w:rsid w:val="00AC1FF2"/>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2C59"/>
    <w:rsid w:val="00AF33BB"/>
    <w:rsid w:val="00AF3A53"/>
    <w:rsid w:val="00AF4564"/>
    <w:rsid w:val="00AF49BB"/>
    <w:rsid w:val="00AF53B5"/>
    <w:rsid w:val="00AF779D"/>
    <w:rsid w:val="00B0098D"/>
    <w:rsid w:val="00B00BDE"/>
    <w:rsid w:val="00B016A9"/>
    <w:rsid w:val="00B0188B"/>
    <w:rsid w:val="00B01CAD"/>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D86"/>
    <w:rsid w:val="00B120B3"/>
    <w:rsid w:val="00B125DD"/>
    <w:rsid w:val="00B12A2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FF5"/>
    <w:rsid w:val="00B376EA"/>
    <w:rsid w:val="00B37C3C"/>
    <w:rsid w:val="00B407ED"/>
    <w:rsid w:val="00B40B29"/>
    <w:rsid w:val="00B414C8"/>
    <w:rsid w:val="00B41919"/>
    <w:rsid w:val="00B41E2F"/>
    <w:rsid w:val="00B430BF"/>
    <w:rsid w:val="00B4369E"/>
    <w:rsid w:val="00B438F1"/>
    <w:rsid w:val="00B4402E"/>
    <w:rsid w:val="00B4417A"/>
    <w:rsid w:val="00B44F00"/>
    <w:rsid w:val="00B44F3C"/>
    <w:rsid w:val="00B4527F"/>
    <w:rsid w:val="00B45547"/>
    <w:rsid w:val="00B456CA"/>
    <w:rsid w:val="00B46965"/>
    <w:rsid w:val="00B469A6"/>
    <w:rsid w:val="00B46CE5"/>
    <w:rsid w:val="00B46D0B"/>
    <w:rsid w:val="00B46DDE"/>
    <w:rsid w:val="00B47776"/>
    <w:rsid w:val="00B5050F"/>
    <w:rsid w:val="00B50971"/>
    <w:rsid w:val="00B50992"/>
    <w:rsid w:val="00B50F05"/>
    <w:rsid w:val="00B51025"/>
    <w:rsid w:val="00B51336"/>
    <w:rsid w:val="00B51A29"/>
    <w:rsid w:val="00B52138"/>
    <w:rsid w:val="00B526F9"/>
    <w:rsid w:val="00B53D79"/>
    <w:rsid w:val="00B55452"/>
    <w:rsid w:val="00B55562"/>
    <w:rsid w:val="00B5591A"/>
    <w:rsid w:val="00B5663D"/>
    <w:rsid w:val="00B568F4"/>
    <w:rsid w:val="00B56AD4"/>
    <w:rsid w:val="00B56B88"/>
    <w:rsid w:val="00B57013"/>
    <w:rsid w:val="00B57874"/>
    <w:rsid w:val="00B607E9"/>
    <w:rsid w:val="00B62467"/>
    <w:rsid w:val="00B62CD0"/>
    <w:rsid w:val="00B62D51"/>
    <w:rsid w:val="00B636AF"/>
    <w:rsid w:val="00B63CBC"/>
    <w:rsid w:val="00B64180"/>
    <w:rsid w:val="00B64220"/>
    <w:rsid w:val="00B64338"/>
    <w:rsid w:val="00B64A3A"/>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C2E"/>
    <w:rsid w:val="00B74484"/>
    <w:rsid w:val="00B74552"/>
    <w:rsid w:val="00B74EC4"/>
    <w:rsid w:val="00B75012"/>
    <w:rsid w:val="00B753F7"/>
    <w:rsid w:val="00B77545"/>
    <w:rsid w:val="00B7796B"/>
    <w:rsid w:val="00B803A0"/>
    <w:rsid w:val="00B804BA"/>
    <w:rsid w:val="00B811C5"/>
    <w:rsid w:val="00B81652"/>
    <w:rsid w:val="00B819EA"/>
    <w:rsid w:val="00B81A0B"/>
    <w:rsid w:val="00B82B5C"/>
    <w:rsid w:val="00B82F46"/>
    <w:rsid w:val="00B84982"/>
    <w:rsid w:val="00B85802"/>
    <w:rsid w:val="00B8596A"/>
    <w:rsid w:val="00B865D5"/>
    <w:rsid w:val="00B8709E"/>
    <w:rsid w:val="00B8715F"/>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A60"/>
    <w:rsid w:val="00BD3BBB"/>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B86"/>
    <w:rsid w:val="00BF07B6"/>
    <w:rsid w:val="00BF07BE"/>
    <w:rsid w:val="00BF18F3"/>
    <w:rsid w:val="00BF19AE"/>
    <w:rsid w:val="00BF2268"/>
    <w:rsid w:val="00BF26F1"/>
    <w:rsid w:val="00BF3021"/>
    <w:rsid w:val="00BF39F9"/>
    <w:rsid w:val="00BF44AD"/>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39F6"/>
    <w:rsid w:val="00C144A3"/>
    <w:rsid w:val="00C14572"/>
    <w:rsid w:val="00C14C8C"/>
    <w:rsid w:val="00C14C95"/>
    <w:rsid w:val="00C15574"/>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F63"/>
    <w:rsid w:val="00C57767"/>
    <w:rsid w:val="00C57ED1"/>
    <w:rsid w:val="00C57F3C"/>
    <w:rsid w:val="00C62E1C"/>
    <w:rsid w:val="00C63016"/>
    <w:rsid w:val="00C6432A"/>
    <w:rsid w:val="00C6471E"/>
    <w:rsid w:val="00C651FB"/>
    <w:rsid w:val="00C65D49"/>
    <w:rsid w:val="00C66090"/>
    <w:rsid w:val="00C668D4"/>
    <w:rsid w:val="00C67AF3"/>
    <w:rsid w:val="00C67D59"/>
    <w:rsid w:val="00C701AB"/>
    <w:rsid w:val="00C70450"/>
    <w:rsid w:val="00C7051E"/>
    <w:rsid w:val="00C71639"/>
    <w:rsid w:val="00C71731"/>
    <w:rsid w:val="00C7179F"/>
    <w:rsid w:val="00C719FC"/>
    <w:rsid w:val="00C72200"/>
    <w:rsid w:val="00C72805"/>
    <w:rsid w:val="00C72AF7"/>
    <w:rsid w:val="00C72DAF"/>
    <w:rsid w:val="00C74073"/>
    <w:rsid w:val="00C74990"/>
    <w:rsid w:val="00C75286"/>
    <w:rsid w:val="00C759D5"/>
    <w:rsid w:val="00C75B20"/>
    <w:rsid w:val="00C7641F"/>
    <w:rsid w:val="00C76F56"/>
    <w:rsid w:val="00C76F67"/>
    <w:rsid w:val="00C77195"/>
    <w:rsid w:val="00C77C8C"/>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96C"/>
    <w:rsid w:val="00C90BB7"/>
    <w:rsid w:val="00C90C22"/>
    <w:rsid w:val="00C90ED4"/>
    <w:rsid w:val="00C90F85"/>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EA7"/>
    <w:rsid w:val="00CA32D4"/>
    <w:rsid w:val="00CA37CF"/>
    <w:rsid w:val="00CA479B"/>
    <w:rsid w:val="00CA4F64"/>
    <w:rsid w:val="00CA51EB"/>
    <w:rsid w:val="00CA55AF"/>
    <w:rsid w:val="00CA76D3"/>
    <w:rsid w:val="00CA7889"/>
    <w:rsid w:val="00CA7CB2"/>
    <w:rsid w:val="00CB139E"/>
    <w:rsid w:val="00CB1677"/>
    <w:rsid w:val="00CB22C2"/>
    <w:rsid w:val="00CB385F"/>
    <w:rsid w:val="00CB4147"/>
    <w:rsid w:val="00CB4E9F"/>
    <w:rsid w:val="00CB5890"/>
    <w:rsid w:val="00CB590B"/>
    <w:rsid w:val="00CB5FE9"/>
    <w:rsid w:val="00CB63D1"/>
    <w:rsid w:val="00CB690E"/>
    <w:rsid w:val="00CB730B"/>
    <w:rsid w:val="00CB7BED"/>
    <w:rsid w:val="00CB7D9B"/>
    <w:rsid w:val="00CC023F"/>
    <w:rsid w:val="00CC02B7"/>
    <w:rsid w:val="00CC0E4A"/>
    <w:rsid w:val="00CC1CD7"/>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611"/>
    <w:rsid w:val="00CC6697"/>
    <w:rsid w:val="00CC6D0F"/>
    <w:rsid w:val="00CC7657"/>
    <w:rsid w:val="00CC768F"/>
    <w:rsid w:val="00CC7D9E"/>
    <w:rsid w:val="00CD0B61"/>
    <w:rsid w:val="00CD0B75"/>
    <w:rsid w:val="00CD0D5D"/>
    <w:rsid w:val="00CD1397"/>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335F"/>
    <w:rsid w:val="00CE3791"/>
    <w:rsid w:val="00CE3AB7"/>
    <w:rsid w:val="00CE3F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349"/>
    <w:rsid w:val="00CF1858"/>
    <w:rsid w:val="00CF2677"/>
    <w:rsid w:val="00CF30E4"/>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B5D"/>
    <w:rsid w:val="00D45CCD"/>
    <w:rsid w:val="00D5018D"/>
    <w:rsid w:val="00D50EDC"/>
    <w:rsid w:val="00D521BE"/>
    <w:rsid w:val="00D52368"/>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572F"/>
    <w:rsid w:val="00D75FD6"/>
    <w:rsid w:val="00D76919"/>
    <w:rsid w:val="00D76F5E"/>
    <w:rsid w:val="00D76FBB"/>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2320"/>
    <w:rsid w:val="00D92449"/>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52E"/>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D75"/>
    <w:rsid w:val="00DF4020"/>
    <w:rsid w:val="00DF6AF2"/>
    <w:rsid w:val="00DF6F5C"/>
    <w:rsid w:val="00DF7219"/>
    <w:rsid w:val="00DF72AA"/>
    <w:rsid w:val="00DF75B4"/>
    <w:rsid w:val="00DF77FF"/>
    <w:rsid w:val="00DF7A2D"/>
    <w:rsid w:val="00DF7C82"/>
    <w:rsid w:val="00E00BF1"/>
    <w:rsid w:val="00E017DC"/>
    <w:rsid w:val="00E019DD"/>
    <w:rsid w:val="00E01B29"/>
    <w:rsid w:val="00E0259F"/>
    <w:rsid w:val="00E02E59"/>
    <w:rsid w:val="00E049FD"/>
    <w:rsid w:val="00E04C87"/>
    <w:rsid w:val="00E051B1"/>
    <w:rsid w:val="00E0573B"/>
    <w:rsid w:val="00E05D24"/>
    <w:rsid w:val="00E05DDF"/>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F05"/>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9CA"/>
    <w:rsid w:val="00E75C33"/>
    <w:rsid w:val="00E7675E"/>
    <w:rsid w:val="00E772B2"/>
    <w:rsid w:val="00E77CCD"/>
    <w:rsid w:val="00E77E13"/>
    <w:rsid w:val="00E80153"/>
    <w:rsid w:val="00E80747"/>
    <w:rsid w:val="00E81251"/>
    <w:rsid w:val="00E812A9"/>
    <w:rsid w:val="00E815AF"/>
    <w:rsid w:val="00E8163B"/>
    <w:rsid w:val="00E81DAD"/>
    <w:rsid w:val="00E81DD1"/>
    <w:rsid w:val="00E8317B"/>
    <w:rsid w:val="00E842EE"/>
    <w:rsid w:val="00E8472A"/>
    <w:rsid w:val="00E84D2C"/>
    <w:rsid w:val="00E850DE"/>
    <w:rsid w:val="00E86333"/>
    <w:rsid w:val="00E86CB6"/>
    <w:rsid w:val="00E87150"/>
    <w:rsid w:val="00E87F76"/>
    <w:rsid w:val="00E90CD3"/>
    <w:rsid w:val="00E91945"/>
    <w:rsid w:val="00E9200C"/>
    <w:rsid w:val="00E9246F"/>
    <w:rsid w:val="00E92C09"/>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475"/>
    <w:rsid w:val="00ED0570"/>
    <w:rsid w:val="00ED0720"/>
    <w:rsid w:val="00ED10B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CD5"/>
    <w:rsid w:val="00EE7D6D"/>
    <w:rsid w:val="00EF00EB"/>
    <w:rsid w:val="00EF1392"/>
    <w:rsid w:val="00EF174B"/>
    <w:rsid w:val="00EF1B4D"/>
    <w:rsid w:val="00EF1EA5"/>
    <w:rsid w:val="00EF1FA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DCE"/>
    <w:rsid w:val="00F0548D"/>
    <w:rsid w:val="00F05CCF"/>
    <w:rsid w:val="00F05DEF"/>
    <w:rsid w:val="00F06A0D"/>
    <w:rsid w:val="00F07640"/>
    <w:rsid w:val="00F11057"/>
    <w:rsid w:val="00F1240D"/>
    <w:rsid w:val="00F127D8"/>
    <w:rsid w:val="00F12F49"/>
    <w:rsid w:val="00F13A9D"/>
    <w:rsid w:val="00F15DD5"/>
    <w:rsid w:val="00F162BE"/>
    <w:rsid w:val="00F16B02"/>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5340"/>
    <w:rsid w:val="00F25829"/>
    <w:rsid w:val="00F2634B"/>
    <w:rsid w:val="00F265ED"/>
    <w:rsid w:val="00F304B8"/>
    <w:rsid w:val="00F312ED"/>
    <w:rsid w:val="00F31963"/>
    <w:rsid w:val="00F31CD7"/>
    <w:rsid w:val="00F32033"/>
    <w:rsid w:val="00F32554"/>
    <w:rsid w:val="00F32859"/>
    <w:rsid w:val="00F33D60"/>
    <w:rsid w:val="00F33EA1"/>
    <w:rsid w:val="00F34D31"/>
    <w:rsid w:val="00F357BC"/>
    <w:rsid w:val="00F3585D"/>
    <w:rsid w:val="00F35DFF"/>
    <w:rsid w:val="00F3623D"/>
    <w:rsid w:val="00F364FA"/>
    <w:rsid w:val="00F36583"/>
    <w:rsid w:val="00F37015"/>
    <w:rsid w:val="00F375AB"/>
    <w:rsid w:val="00F37835"/>
    <w:rsid w:val="00F400CB"/>
    <w:rsid w:val="00F40C23"/>
    <w:rsid w:val="00F4102A"/>
    <w:rsid w:val="00F4117E"/>
    <w:rsid w:val="00F41AAC"/>
    <w:rsid w:val="00F428F6"/>
    <w:rsid w:val="00F432FA"/>
    <w:rsid w:val="00F4479F"/>
    <w:rsid w:val="00F44C5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36F"/>
    <w:rsid w:val="00F64BF1"/>
    <w:rsid w:val="00F651F5"/>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73F0"/>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51CA"/>
    <w:rsid w:val="00F95FA1"/>
    <w:rsid w:val="00FA1E4B"/>
    <w:rsid w:val="00FA3724"/>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4357"/>
    <w:rsid w:val="00FB4DFD"/>
    <w:rsid w:val="00FB5655"/>
    <w:rsid w:val="00FB5FB0"/>
    <w:rsid w:val="00FB67AB"/>
    <w:rsid w:val="00FB6BBA"/>
    <w:rsid w:val="00FB6EC2"/>
    <w:rsid w:val="00FB7A2F"/>
    <w:rsid w:val="00FC0C65"/>
    <w:rsid w:val="00FC2589"/>
    <w:rsid w:val="00FC2CB8"/>
    <w:rsid w:val="00FC346E"/>
    <w:rsid w:val="00FC3D3F"/>
    <w:rsid w:val="00FC405A"/>
    <w:rsid w:val="00FC560B"/>
    <w:rsid w:val="00FC5C15"/>
    <w:rsid w:val="00FC64C3"/>
    <w:rsid w:val="00FC6F33"/>
    <w:rsid w:val="00FD02DF"/>
    <w:rsid w:val="00FD09D7"/>
    <w:rsid w:val="00FD1428"/>
    <w:rsid w:val="00FD1B9C"/>
    <w:rsid w:val="00FD22E4"/>
    <w:rsid w:val="00FD2B33"/>
    <w:rsid w:val="00FD3039"/>
    <w:rsid w:val="00FD3852"/>
    <w:rsid w:val="00FD40DF"/>
    <w:rsid w:val="00FD5140"/>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5438"/>
    <w:rsid w:val="00FE61C7"/>
    <w:rsid w:val="00FE6BE7"/>
    <w:rsid w:val="00FE6DC9"/>
    <w:rsid w:val="00FE6F79"/>
    <w:rsid w:val="00FE7673"/>
    <w:rsid w:val="00FE7D23"/>
    <w:rsid w:val="00FF0E21"/>
    <w:rsid w:val="00FF138B"/>
    <w:rsid w:val="00FF14C9"/>
    <w:rsid w:val="00FF25B3"/>
    <w:rsid w:val="00FF27EC"/>
    <w:rsid w:val="00FF32F5"/>
    <w:rsid w:val="00FF3EBB"/>
    <w:rsid w:val="00FF43D8"/>
    <w:rsid w:val="00FF450C"/>
    <w:rsid w:val="00FF4971"/>
    <w:rsid w:val="00FF4ABC"/>
    <w:rsid w:val="00FF624A"/>
    <w:rsid w:val="00FF646A"/>
    <w:rsid w:val="00FF64C5"/>
    <w:rsid w:val="01095A57"/>
    <w:rsid w:val="010D200B"/>
    <w:rsid w:val="012807D8"/>
    <w:rsid w:val="013A6017"/>
    <w:rsid w:val="013D6C4C"/>
    <w:rsid w:val="015C0790"/>
    <w:rsid w:val="01611DC8"/>
    <w:rsid w:val="018639B4"/>
    <w:rsid w:val="01CA34EC"/>
    <w:rsid w:val="01EB139E"/>
    <w:rsid w:val="021D2FF3"/>
    <w:rsid w:val="02404922"/>
    <w:rsid w:val="02407210"/>
    <w:rsid w:val="0242394A"/>
    <w:rsid w:val="02471BA3"/>
    <w:rsid w:val="02477952"/>
    <w:rsid w:val="0262248F"/>
    <w:rsid w:val="026C2236"/>
    <w:rsid w:val="027E4ADF"/>
    <w:rsid w:val="027F583D"/>
    <w:rsid w:val="02876A74"/>
    <w:rsid w:val="029D5603"/>
    <w:rsid w:val="02DE3A22"/>
    <w:rsid w:val="02E45088"/>
    <w:rsid w:val="02EC0376"/>
    <w:rsid w:val="02ED577F"/>
    <w:rsid w:val="02F154BE"/>
    <w:rsid w:val="02F4218D"/>
    <w:rsid w:val="03032812"/>
    <w:rsid w:val="03062FB1"/>
    <w:rsid w:val="0315165B"/>
    <w:rsid w:val="032D20D8"/>
    <w:rsid w:val="033A7859"/>
    <w:rsid w:val="0347018C"/>
    <w:rsid w:val="0357728A"/>
    <w:rsid w:val="036B598C"/>
    <w:rsid w:val="03AB0E75"/>
    <w:rsid w:val="03BC2256"/>
    <w:rsid w:val="03C05168"/>
    <w:rsid w:val="03C84747"/>
    <w:rsid w:val="03E253AF"/>
    <w:rsid w:val="03F774C5"/>
    <w:rsid w:val="040869C3"/>
    <w:rsid w:val="04286829"/>
    <w:rsid w:val="04390031"/>
    <w:rsid w:val="04527AB6"/>
    <w:rsid w:val="0470621E"/>
    <w:rsid w:val="047D6C84"/>
    <w:rsid w:val="048839A0"/>
    <w:rsid w:val="04B66D27"/>
    <w:rsid w:val="04B73356"/>
    <w:rsid w:val="04CD5D61"/>
    <w:rsid w:val="04D96349"/>
    <w:rsid w:val="04FF6B42"/>
    <w:rsid w:val="05097169"/>
    <w:rsid w:val="05120EA9"/>
    <w:rsid w:val="05197F53"/>
    <w:rsid w:val="05325CF5"/>
    <w:rsid w:val="054C6BCF"/>
    <w:rsid w:val="055301AE"/>
    <w:rsid w:val="056C6E80"/>
    <w:rsid w:val="0581049B"/>
    <w:rsid w:val="05AC214F"/>
    <w:rsid w:val="05F8075B"/>
    <w:rsid w:val="061355C9"/>
    <w:rsid w:val="06213BBF"/>
    <w:rsid w:val="06407152"/>
    <w:rsid w:val="06655F0D"/>
    <w:rsid w:val="06981D92"/>
    <w:rsid w:val="069E3910"/>
    <w:rsid w:val="06B2039B"/>
    <w:rsid w:val="06B94D33"/>
    <w:rsid w:val="06C66C55"/>
    <w:rsid w:val="06C936E9"/>
    <w:rsid w:val="06DD11AA"/>
    <w:rsid w:val="07096958"/>
    <w:rsid w:val="071F1204"/>
    <w:rsid w:val="07512211"/>
    <w:rsid w:val="0752548F"/>
    <w:rsid w:val="075B1B81"/>
    <w:rsid w:val="07947C1F"/>
    <w:rsid w:val="079F25D0"/>
    <w:rsid w:val="07BC5C30"/>
    <w:rsid w:val="07C37790"/>
    <w:rsid w:val="07C93A02"/>
    <w:rsid w:val="07D651A3"/>
    <w:rsid w:val="08072D04"/>
    <w:rsid w:val="08102A56"/>
    <w:rsid w:val="08283945"/>
    <w:rsid w:val="084504D1"/>
    <w:rsid w:val="08687302"/>
    <w:rsid w:val="086A146D"/>
    <w:rsid w:val="086A3EAF"/>
    <w:rsid w:val="087F05B0"/>
    <w:rsid w:val="08931F74"/>
    <w:rsid w:val="08A61E60"/>
    <w:rsid w:val="08B970BA"/>
    <w:rsid w:val="08BD7B20"/>
    <w:rsid w:val="08CD440C"/>
    <w:rsid w:val="08D33CD6"/>
    <w:rsid w:val="08D61148"/>
    <w:rsid w:val="08E55937"/>
    <w:rsid w:val="08F8672F"/>
    <w:rsid w:val="0907022D"/>
    <w:rsid w:val="090A7543"/>
    <w:rsid w:val="095F41E5"/>
    <w:rsid w:val="096E2093"/>
    <w:rsid w:val="09902F04"/>
    <w:rsid w:val="09A07AFB"/>
    <w:rsid w:val="09E302F4"/>
    <w:rsid w:val="09E477C2"/>
    <w:rsid w:val="0A2044BA"/>
    <w:rsid w:val="0A5F0278"/>
    <w:rsid w:val="0A844F0B"/>
    <w:rsid w:val="0A911316"/>
    <w:rsid w:val="0A9F232F"/>
    <w:rsid w:val="0AAE7633"/>
    <w:rsid w:val="0AAF5934"/>
    <w:rsid w:val="0AB82ADB"/>
    <w:rsid w:val="0ABD2F03"/>
    <w:rsid w:val="0AC57995"/>
    <w:rsid w:val="0ACC29E6"/>
    <w:rsid w:val="0AF3645A"/>
    <w:rsid w:val="0B104F54"/>
    <w:rsid w:val="0B307027"/>
    <w:rsid w:val="0B37427F"/>
    <w:rsid w:val="0B395D6E"/>
    <w:rsid w:val="0B5420F5"/>
    <w:rsid w:val="0B6E3F2D"/>
    <w:rsid w:val="0B73777F"/>
    <w:rsid w:val="0B89237F"/>
    <w:rsid w:val="0B8F377A"/>
    <w:rsid w:val="0B9040A6"/>
    <w:rsid w:val="0BB81FDE"/>
    <w:rsid w:val="0BC749D7"/>
    <w:rsid w:val="0BCB1C74"/>
    <w:rsid w:val="0BE2681F"/>
    <w:rsid w:val="0BF2092D"/>
    <w:rsid w:val="0C010174"/>
    <w:rsid w:val="0C075A82"/>
    <w:rsid w:val="0C17445D"/>
    <w:rsid w:val="0C1B7153"/>
    <w:rsid w:val="0C40207D"/>
    <w:rsid w:val="0C4506AD"/>
    <w:rsid w:val="0C5B7B72"/>
    <w:rsid w:val="0C7C5CD0"/>
    <w:rsid w:val="0C851059"/>
    <w:rsid w:val="0C94431F"/>
    <w:rsid w:val="0CDA12B6"/>
    <w:rsid w:val="0CE76C8A"/>
    <w:rsid w:val="0CF327B8"/>
    <w:rsid w:val="0CF51CDF"/>
    <w:rsid w:val="0D007A5E"/>
    <w:rsid w:val="0D07112B"/>
    <w:rsid w:val="0D0B00A2"/>
    <w:rsid w:val="0D3905F3"/>
    <w:rsid w:val="0D45467E"/>
    <w:rsid w:val="0D4A3963"/>
    <w:rsid w:val="0D6B1544"/>
    <w:rsid w:val="0D797A8C"/>
    <w:rsid w:val="0D7C5CC1"/>
    <w:rsid w:val="0DA2320B"/>
    <w:rsid w:val="0DBC3365"/>
    <w:rsid w:val="0DDA5BB9"/>
    <w:rsid w:val="0DFA2234"/>
    <w:rsid w:val="0E174E16"/>
    <w:rsid w:val="0E180071"/>
    <w:rsid w:val="0E1B3AE8"/>
    <w:rsid w:val="0E2F6C3D"/>
    <w:rsid w:val="0E6D0107"/>
    <w:rsid w:val="0E7166FC"/>
    <w:rsid w:val="0E903C77"/>
    <w:rsid w:val="0EA07552"/>
    <w:rsid w:val="0EA70B17"/>
    <w:rsid w:val="0EA80637"/>
    <w:rsid w:val="0EAB2C13"/>
    <w:rsid w:val="0EB32956"/>
    <w:rsid w:val="0EB7030A"/>
    <w:rsid w:val="0EF6730F"/>
    <w:rsid w:val="0EFC7E92"/>
    <w:rsid w:val="0F005796"/>
    <w:rsid w:val="0F0409A8"/>
    <w:rsid w:val="0F050F7C"/>
    <w:rsid w:val="0F487A7E"/>
    <w:rsid w:val="0F515802"/>
    <w:rsid w:val="0F5C76A7"/>
    <w:rsid w:val="0F6F78EB"/>
    <w:rsid w:val="0F720933"/>
    <w:rsid w:val="0FA10B0D"/>
    <w:rsid w:val="0FA6675F"/>
    <w:rsid w:val="0FAF4630"/>
    <w:rsid w:val="0FC069E9"/>
    <w:rsid w:val="0FC742C7"/>
    <w:rsid w:val="0FF43004"/>
    <w:rsid w:val="0FFB17AA"/>
    <w:rsid w:val="10023C49"/>
    <w:rsid w:val="101F5DE6"/>
    <w:rsid w:val="10313ACD"/>
    <w:rsid w:val="10365CC4"/>
    <w:rsid w:val="103A3604"/>
    <w:rsid w:val="10545CED"/>
    <w:rsid w:val="1063540C"/>
    <w:rsid w:val="106A552B"/>
    <w:rsid w:val="10722C80"/>
    <w:rsid w:val="107273C6"/>
    <w:rsid w:val="107E03B1"/>
    <w:rsid w:val="10801BB9"/>
    <w:rsid w:val="108D0B6E"/>
    <w:rsid w:val="10912F22"/>
    <w:rsid w:val="109157C7"/>
    <w:rsid w:val="10970DB6"/>
    <w:rsid w:val="10EE17F8"/>
    <w:rsid w:val="10F6658C"/>
    <w:rsid w:val="10F94ED9"/>
    <w:rsid w:val="11135A3F"/>
    <w:rsid w:val="11632963"/>
    <w:rsid w:val="11791C8F"/>
    <w:rsid w:val="117C113D"/>
    <w:rsid w:val="11843139"/>
    <w:rsid w:val="11861645"/>
    <w:rsid w:val="11B80DCB"/>
    <w:rsid w:val="11C9518D"/>
    <w:rsid w:val="11CE4A90"/>
    <w:rsid w:val="11DF5E81"/>
    <w:rsid w:val="11DF69EB"/>
    <w:rsid w:val="11E720C4"/>
    <w:rsid w:val="11EA51BE"/>
    <w:rsid w:val="11EB0223"/>
    <w:rsid w:val="11F43BE9"/>
    <w:rsid w:val="121D20EA"/>
    <w:rsid w:val="123F39BD"/>
    <w:rsid w:val="124872CA"/>
    <w:rsid w:val="124F4797"/>
    <w:rsid w:val="12663EBB"/>
    <w:rsid w:val="128E2117"/>
    <w:rsid w:val="128E6158"/>
    <w:rsid w:val="1290425A"/>
    <w:rsid w:val="12A42403"/>
    <w:rsid w:val="12AD6C57"/>
    <w:rsid w:val="12B34AC0"/>
    <w:rsid w:val="12BD11F6"/>
    <w:rsid w:val="12D132EB"/>
    <w:rsid w:val="12DE6E85"/>
    <w:rsid w:val="12E31C38"/>
    <w:rsid w:val="12E831DB"/>
    <w:rsid w:val="13134FD9"/>
    <w:rsid w:val="132D0014"/>
    <w:rsid w:val="13396D8A"/>
    <w:rsid w:val="134350EF"/>
    <w:rsid w:val="134D2A91"/>
    <w:rsid w:val="135643DB"/>
    <w:rsid w:val="13766A38"/>
    <w:rsid w:val="13780BDF"/>
    <w:rsid w:val="137D2987"/>
    <w:rsid w:val="13805ACB"/>
    <w:rsid w:val="13914851"/>
    <w:rsid w:val="13923C5B"/>
    <w:rsid w:val="13A25273"/>
    <w:rsid w:val="13A91EF4"/>
    <w:rsid w:val="13D406F3"/>
    <w:rsid w:val="13F90CD3"/>
    <w:rsid w:val="1435041C"/>
    <w:rsid w:val="14452EDF"/>
    <w:rsid w:val="144F5497"/>
    <w:rsid w:val="14556828"/>
    <w:rsid w:val="14600A61"/>
    <w:rsid w:val="147059F7"/>
    <w:rsid w:val="148552AC"/>
    <w:rsid w:val="14874E8A"/>
    <w:rsid w:val="148D48F9"/>
    <w:rsid w:val="1490539C"/>
    <w:rsid w:val="14952EA8"/>
    <w:rsid w:val="149821AA"/>
    <w:rsid w:val="14BD61AD"/>
    <w:rsid w:val="14C03AA0"/>
    <w:rsid w:val="14C65F62"/>
    <w:rsid w:val="14E33C40"/>
    <w:rsid w:val="14E835F9"/>
    <w:rsid w:val="14E8627B"/>
    <w:rsid w:val="14FE23D8"/>
    <w:rsid w:val="15020F66"/>
    <w:rsid w:val="15192731"/>
    <w:rsid w:val="151B69D3"/>
    <w:rsid w:val="152369CD"/>
    <w:rsid w:val="152832DF"/>
    <w:rsid w:val="152A751B"/>
    <w:rsid w:val="152F4346"/>
    <w:rsid w:val="15304FCF"/>
    <w:rsid w:val="154C6DB4"/>
    <w:rsid w:val="1553222A"/>
    <w:rsid w:val="15B11435"/>
    <w:rsid w:val="15E57CF6"/>
    <w:rsid w:val="15E9316B"/>
    <w:rsid w:val="160E1292"/>
    <w:rsid w:val="16110E84"/>
    <w:rsid w:val="161706FB"/>
    <w:rsid w:val="161D61C7"/>
    <w:rsid w:val="1621390B"/>
    <w:rsid w:val="16471F3E"/>
    <w:rsid w:val="16564DB8"/>
    <w:rsid w:val="167E0DB9"/>
    <w:rsid w:val="169C6614"/>
    <w:rsid w:val="16A20F3C"/>
    <w:rsid w:val="16A802E0"/>
    <w:rsid w:val="16B069C5"/>
    <w:rsid w:val="16B7159F"/>
    <w:rsid w:val="16D74934"/>
    <w:rsid w:val="16E60F83"/>
    <w:rsid w:val="16FE1904"/>
    <w:rsid w:val="170C4B9F"/>
    <w:rsid w:val="1749243F"/>
    <w:rsid w:val="175A7411"/>
    <w:rsid w:val="17675FD6"/>
    <w:rsid w:val="176933F1"/>
    <w:rsid w:val="17764084"/>
    <w:rsid w:val="177F2759"/>
    <w:rsid w:val="17A513F6"/>
    <w:rsid w:val="17A7336F"/>
    <w:rsid w:val="17A8239A"/>
    <w:rsid w:val="17A94CA4"/>
    <w:rsid w:val="17AC49FB"/>
    <w:rsid w:val="17BA29E0"/>
    <w:rsid w:val="17C71408"/>
    <w:rsid w:val="17CA2374"/>
    <w:rsid w:val="17CF0372"/>
    <w:rsid w:val="17DC0BFB"/>
    <w:rsid w:val="17E54C10"/>
    <w:rsid w:val="17E72430"/>
    <w:rsid w:val="17ED603D"/>
    <w:rsid w:val="1816075A"/>
    <w:rsid w:val="18232F28"/>
    <w:rsid w:val="18237873"/>
    <w:rsid w:val="184F4237"/>
    <w:rsid w:val="1852358E"/>
    <w:rsid w:val="186C02E5"/>
    <w:rsid w:val="18743E0A"/>
    <w:rsid w:val="189241E4"/>
    <w:rsid w:val="189D7DC2"/>
    <w:rsid w:val="18AF588F"/>
    <w:rsid w:val="18B131D8"/>
    <w:rsid w:val="18DF1AB2"/>
    <w:rsid w:val="19045DBE"/>
    <w:rsid w:val="1907592E"/>
    <w:rsid w:val="19087038"/>
    <w:rsid w:val="191B4FC7"/>
    <w:rsid w:val="193979A5"/>
    <w:rsid w:val="1944003B"/>
    <w:rsid w:val="194F4B48"/>
    <w:rsid w:val="196F01C3"/>
    <w:rsid w:val="19AE328C"/>
    <w:rsid w:val="19B36E30"/>
    <w:rsid w:val="19B569ED"/>
    <w:rsid w:val="19B56EE3"/>
    <w:rsid w:val="19C91957"/>
    <w:rsid w:val="19CE4C55"/>
    <w:rsid w:val="19D46A40"/>
    <w:rsid w:val="19DF1AFB"/>
    <w:rsid w:val="1A1B7922"/>
    <w:rsid w:val="1A1C4DFA"/>
    <w:rsid w:val="1A49169B"/>
    <w:rsid w:val="1A5924BE"/>
    <w:rsid w:val="1A6D5504"/>
    <w:rsid w:val="1A7018F5"/>
    <w:rsid w:val="1A7120B5"/>
    <w:rsid w:val="1A8903D9"/>
    <w:rsid w:val="1A94314B"/>
    <w:rsid w:val="1A9E0C4D"/>
    <w:rsid w:val="1AA43317"/>
    <w:rsid w:val="1AA711B0"/>
    <w:rsid w:val="1AAF7563"/>
    <w:rsid w:val="1AB3597A"/>
    <w:rsid w:val="1AD54DC5"/>
    <w:rsid w:val="1AEC0C14"/>
    <w:rsid w:val="1AEF6A34"/>
    <w:rsid w:val="1AF43771"/>
    <w:rsid w:val="1B2B4325"/>
    <w:rsid w:val="1B3C62B1"/>
    <w:rsid w:val="1B48732A"/>
    <w:rsid w:val="1B5A3E0E"/>
    <w:rsid w:val="1B5B65B8"/>
    <w:rsid w:val="1B727087"/>
    <w:rsid w:val="1B7A470D"/>
    <w:rsid w:val="1BAE3799"/>
    <w:rsid w:val="1BBF69B2"/>
    <w:rsid w:val="1BC36886"/>
    <w:rsid w:val="1BDF6EBF"/>
    <w:rsid w:val="1BE06C30"/>
    <w:rsid w:val="1BE67DBC"/>
    <w:rsid w:val="1BEC6DD3"/>
    <w:rsid w:val="1BF75171"/>
    <w:rsid w:val="1C12257E"/>
    <w:rsid w:val="1C1B368E"/>
    <w:rsid w:val="1C2908F1"/>
    <w:rsid w:val="1C2E504E"/>
    <w:rsid w:val="1C325800"/>
    <w:rsid w:val="1C3E6006"/>
    <w:rsid w:val="1C456255"/>
    <w:rsid w:val="1C4C5575"/>
    <w:rsid w:val="1C5E57A2"/>
    <w:rsid w:val="1C730D61"/>
    <w:rsid w:val="1C815FB1"/>
    <w:rsid w:val="1C8D5DCF"/>
    <w:rsid w:val="1C916CFA"/>
    <w:rsid w:val="1C9E6B8B"/>
    <w:rsid w:val="1CA357D0"/>
    <w:rsid w:val="1CA84C4B"/>
    <w:rsid w:val="1CB77512"/>
    <w:rsid w:val="1CD5254D"/>
    <w:rsid w:val="1CD53560"/>
    <w:rsid w:val="1CE13D14"/>
    <w:rsid w:val="1D062A0F"/>
    <w:rsid w:val="1D1417B8"/>
    <w:rsid w:val="1D1F0E03"/>
    <w:rsid w:val="1D4B53DD"/>
    <w:rsid w:val="1D4D6A37"/>
    <w:rsid w:val="1D567958"/>
    <w:rsid w:val="1D737B18"/>
    <w:rsid w:val="1D7D2FC0"/>
    <w:rsid w:val="1D821A72"/>
    <w:rsid w:val="1D88022F"/>
    <w:rsid w:val="1D8D3935"/>
    <w:rsid w:val="1D8E4BE6"/>
    <w:rsid w:val="1D911531"/>
    <w:rsid w:val="1D9140C8"/>
    <w:rsid w:val="1D977E4E"/>
    <w:rsid w:val="1DA13F11"/>
    <w:rsid w:val="1DA92505"/>
    <w:rsid w:val="1DB61C9A"/>
    <w:rsid w:val="1DBA3096"/>
    <w:rsid w:val="1DBE098B"/>
    <w:rsid w:val="1DD82E19"/>
    <w:rsid w:val="1DFE6271"/>
    <w:rsid w:val="1E0901B4"/>
    <w:rsid w:val="1E2007BC"/>
    <w:rsid w:val="1E264294"/>
    <w:rsid w:val="1E311A6F"/>
    <w:rsid w:val="1E4C273D"/>
    <w:rsid w:val="1E550B9E"/>
    <w:rsid w:val="1E783715"/>
    <w:rsid w:val="1E8341DC"/>
    <w:rsid w:val="1E8F215D"/>
    <w:rsid w:val="1EAF3195"/>
    <w:rsid w:val="1EC01E59"/>
    <w:rsid w:val="1EC834CA"/>
    <w:rsid w:val="1ED8253E"/>
    <w:rsid w:val="1F2A6AD6"/>
    <w:rsid w:val="1F5E5ADA"/>
    <w:rsid w:val="1F6D2203"/>
    <w:rsid w:val="1F723B74"/>
    <w:rsid w:val="1F90520A"/>
    <w:rsid w:val="1F9C63C4"/>
    <w:rsid w:val="1FB05DD1"/>
    <w:rsid w:val="1FBC70F9"/>
    <w:rsid w:val="1FBF3B89"/>
    <w:rsid w:val="1FC41CD6"/>
    <w:rsid w:val="1FD62B0F"/>
    <w:rsid w:val="1FF6213F"/>
    <w:rsid w:val="1FF6557D"/>
    <w:rsid w:val="20250AB7"/>
    <w:rsid w:val="202872B7"/>
    <w:rsid w:val="20613CC5"/>
    <w:rsid w:val="20621C68"/>
    <w:rsid w:val="2064706F"/>
    <w:rsid w:val="20685426"/>
    <w:rsid w:val="206D77A0"/>
    <w:rsid w:val="207176F1"/>
    <w:rsid w:val="207A7A62"/>
    <w:rsid w:val="207A7F3E"/>
    <w:rsid w:val="20871722"/>
    <w:rsid w:val="20891DB1"/>
    <w:rsid w:val="20A14E82"/>
    <w:rsid w:val="20A215EE"/>
    <w:rsid w:val="20A97430"/>
    <w:rsid w:val="20AC3611"/>
    <w:rsid w:val="20AC5884"/>
    <w:rsid w:val="20AF53A2"/>
    <w:rsid w:val="20B54CFE"/>
    <w:rsid w:val="20D35051"/>
    <w:rsid w:val="21003666"/>
    <w:rsid w:val="2116115C"/>
    <w:rsid w:val="21390220"/>
    <w:rsid w:val="2145096A"/>
    <w:rsid w:val="21453889"/>
    <w:rsid w:val="214B3C42"/>
    <w:rsid w:val="21566B4D"/>
    <w:rsid w:val="215C7EF0"/>
    <w:rsid w:val="216A663D"/>
    <w:rsid w:val="216D1115"/>
    <w:rsid w:val="21800A75"/>
    <w:rsid w:val="218411BD"/>
    <w:rsid w:val="21882E72"/>
    <w:rsid w:val="219860B0"/>
    <w:rsid w:val="21A62596"/>
    <w:rsid w:val="21B5259E"/>
    <w:rsid w:val="21BA15C9"/>
    <w:rsid w:val="21DB0B12"/>
    <w:rsid w:val="21DF5EB4"/>
    <w:rsid w:val="21E04CAA"/>
    <w:rsid w:val="21E23697"/>
    <w:rsid w:val="21E40AD0"/>
    <w:rsid w:val="21F4045E"/>
    <w:rsid w:val="222A4690"/>
    <w:rsid w:val="222D3D5C"/>
    <w:rsid w:val="222F795B"/>
    <w:rsid w:val="224021C1"/>
    <w:rsid w:val="224036BD"/>
    <w:rsid w:val="224808AA"/>
    <w:rsid w:val="224857E6"/>
    <w:rsid w:val="224F7CB3"/>
    <w:rsid w:val="225339DD"/>
    <w:rsid w:val="22575A20"/>
    <w:rsid w:val="225E70A3"/>
    <w:rsid w:val="22950336"/>
    <w:rsid w:val="22952E5E"/>
    <w:rsid w:val="22B146B2"/>
    <w:rsid w:val="22B43A71"/>
    <w:rsid w:val="22C53DA7"/>
    <w:rsid w:val="22D571C7"/>
    <w:rsid w:val="22E02BE7"/>
    <w:rsid w:val="22E32735"/>
    <w:rsid w:val="23051A8D"/>
    <w:rsid w:val="230865B4"/>
    <w:rsid w:val="23384BF0"/>
    <w:rsid w:val="233A54ED"/>
    <w:rsid w:val="234F3739"/>
    <w:rsid w:val="23673C76"/>
    <w:rsid w:val="236A42CC"/>
    <w:rsid w:val="236B4AED"/>
    <w:rsid w:val="23764A1F"/>
    <w:rsid w:val="23772D6E"/>
    <w:rsid w:val="23773819"/>
    <w:rsid w:val="23806DD3"/>
    <w:rsid w:val="238D7980"/>
    <w:rsid w:val="239721F2"/>
    <w:rsid w:val="23DC5188"/>
    <w:rsid w:val="23EF1D6A"/>
    <w:rsid w:val="23F409B9"/>
    <w:rsid w:val="23F53F0E"/>
    <w:rsid w:val="240B1388"/>
    <w:rsid w:val="2412674A"/>
    <w:rsid w:val="24175F32"/>
    <w:rsid w:val="242465DD"/>
    <w:rsid w:val="242942BE"/>
    <w:rsid w:val="24321BD4"/>
    <w:rsid w:val="244579D2"/>
    <w:rsid w:val="24631FF3"/>
    <w:rsid w:val="24745B67"/>
    <w:rsid w:val="24923998"/>
    <w:rsid w:val="24980283"/>
    <w:rsid w:val="249D08CA"/>
    <w:rsid w:val="24AD18CD"/>
    <w:rsid w:val="24DA3B13"/>
    <w:rsid w:val="24DF28A3"/>
    <w:rsid w:val="24ED5C8F"/>
    <w:rsid w:val="24EF50AC"/>
    <w:rsid w:val="24F14016"/>
    <w:rsid w:val="24FA3E9C"/>
    <w:rsid w:val="24FB65F1"/>
    <w:rsid w:val="24FC37E9"/>
    <w:rsid w:val="252850E1"/>
    <w:rsid w:val="252A229A"/>
    <w:rsid w:val="252C25AD"/>
    <w:rsid w:val="254E731D"/>
    <w:rsid w:val="259D60F6"/>
    <w:rsid w:val="25A76982"/>
    <w:rsid w:val="25B25150"/>
    <w:rsid w:val="25DF5AD3"/>
    <w:rsid w:val="25E53ABC"/>
    <w:rsid w:val="26003578"/>
    <w:rsid w:val="260559AD"/>
    <w:rsid w:val="260D355B"/>
    <w:rsid w:val="26227CD3"/>
    <w:rsid w:val="264B6F22"/>
    <w:rsid w:val="264D5197"/>
    <w:rsid w:val="26505257"/>
    <w:rsid w:val="267171C8"/>
    <w:rsid w:val="267E4B89"/>
    <w:rsid w:val="26A245A1"/>
    <w:rsid w:val="26C66C2B"/>
    <w:rsid w:val="27157ED7"/>
    <w:rsid w:val="273B7EF9"/>
    <w:rsid w:val="273F54EA"/>
    <w:rsid w:val="27450EF8"/>
    <w:rsid w:val="27637DBA"/>
    <w:rsid w:val="2775151E"/>
    <w:rsid w:val="277E00BB"/>
    <w:rsid w:val="278D6A13"/>
    <w:rsid w:val="27AD1BC9"/>
    <w:rsid w:val="27C0210D"/>
    <w:rsid w:val="27C72CED"/>
    <w:rsid w:val="27D82A14"/>
    <w:rsid w:val="27EC1727"/>
    <w:rsid w:val="280C627E"/>
    <w:rsid w:val="282040DE"/>
    <w:rsid w:val="28304511"/>
    <w:rsid w:val="283C7F77"/>
    <w:rsid w:val="285A13F5"/>
    <w:rsid w:val="286930E5"/>
    <w:rsid w:val="28927669"/>
    <w:rsid w:val="289B2B3B"/>
    <w:rsid w:val="28A03FF7"/>
    <w:rsid w:val="28A45B05"/>
    <w:rsid w:val="28C841E3"/>
    <w:rsid w:val="28CA5EC2"/>
    <w:rsid w:val="28DE300E"/>
    <w:rsid w:val="28F26DEC"/>
    <w:rsid w:val="290806C4"/>
    <w:rsid w:val="290844FB"/>
    <w:rsid w:val="2912007A"/>
    <w:rsid w:val="29123B24"/>
    <w:rsid w:val="29172012"/>
    <w:rsid w:val="29361440"/>
    <w:rsid w:val="294C67DF"/>
    <w:rsid w:val="295F4C28"/>
    <w:rsid w:val="296D165D"/>
    <w:rsid w:val="29723840"/>
    <w:rsid w:val="29747796"/>
    <w:rsid w:val="29783DD8"/>
    <w:rsid w:val="297A1375"/>
    <w:rsid w:val="2987358F"/>
    <w:rsid w:val="29947BA9"/>
    <w:rsid w:val="299E55D7"/>
    <w:rsid w:val="29B07FB7"/>
    <w:rsid w:val="29CA5ABE"/>
    <w:rsid w:val="29D520FF"/>
    <w:rsid w:val="29DC79C9"/>
    <w:rsid w:val="29EA51DC"/>
    <w:rsid w:val="29FF2A81"/>
    <w:rsid w:val="2A2413B8"/>
    <w:rsid w:val="2A253B84"/>
    <w:rsid w:val="2A46320B"/>
    <w:rsid w:val="2A5349A3"/>
    <w:rsid w:val="2A5371A7"/>
    <w:rsid w:val="2A5612F6"/>
    <w:rsid w:val="2A5A4F70"/>
    <w:rsid w:val="2A5B42EE"/>
    <w:rsid w:val="2A5E694A"/>
    <w:rsid w:val="2A6B09CF"/>
    <w:rsid w:val="2A7240DB"/>
    <w:rsid w:val="2A7D7077"/>
    <w:rsid w:val="2A8C5791"/>
    <w:rsid w:val="2A921895"/>
    <w:rsid w:val="2A967A5B"/>
    <w:rsid w:val="2AD1019A"/>
    <w:rsid w:val="2ADF384D"/>
    <w:rsid w:val="2AE65CF2"/>
    <w:rsid w:val="2AF60C6C"/>
    <w:rsid w:val="2AF70B77"/>
    <w:rsid w:val="2AFE77CB"/>
    <w:rsid w:val="2B151B69"/>
    <w:rsid w:val="2B2363DC"/>
    <w:rsid w:val="2B274BA5"/>
    <w:rsid w:val="2B4E2407"/>
    <w:rsid w:val="2B6D08C2"/>
    <w:rsid w:val="2BA708B4"/>
    <w:rsid w:val="2BB15878"/>
    <w:rsid w:val="2BBD5583"/>
    <w:rsid w:val="2BCB7318"/>
    <w:rsid w:val="2BCD3261"/>
    <w:rsid w:val="2BDE0B53"/>
    <w:rsid w:val="2BDE3418"/>
    <w:rsid w:val="2BE0764A"/>
    <w:rsid w:val="2BEA38B0"/>
    <w:rsid w:val="2C44213F"/>
    <w:rsid w:val="2C4E70AD"/>
    <w:rsid w:val="2C4F37DF"/>
    <w:rsid w:val="2C5A4C34"/>
    <w:rsid w:val="2C740B8B"/>
    <w:rsid w:val="2C8E1B21"/>
    <w:rsid w:val="2C9846EB"/>
    <w:rsid w:val="2CCA4928"/>
    <w:rsid w:val="2CCD48F4"/>
    <w:rsid w:val="2CEB4615"/>
    <w:rsid w:val="2CED382E"/>
    <w:rsid w:val="2D1269C8"/>
    <w:rsid w:val="2D16697E"/>
    <w:rsid w:val="2D290094"/>
    <w:rsid w:val="2D2C32CB"/>
    <w:rsid w:val="2D312DF7"/>
    <w:rsid w:val="2D496C3E"/>
    <w:rsid w:val="2D550D98"/>
    <w:rsid w:val="2D7C0C70"/>
    <w:rsid w:val="2D8304BA"/>
    <w:rsid w:val="2D8E4FAD"/>
    <w:rsid w:val="2DB5414F"/>
    <w:rsid w:val="2DB6063F"/>
    <w:rsid w:val="2DB715E2"/>
    <w:rsid w:val="2DCC146B"/>
    <w:rsid w:val="2DDF0379"/>
    <w:rsid w:val="2DE738CE"/>
    <w:rsid w:val="2DE8706F"/>
    <w:rsid w:val="2DEC6BE5"/>
    <w:rsid w:val="2DEE219E"/>
    <w:rsid w:val="2DF6281E"/>
    <w:rsid w:val="2E007E44"/>
    <w:rsid w:val="2E275D65"/>
    <w:rsid w:val="2E4C7CA6"/>
    <w:rsid w:val="2E6D75F0"/>
    <w:rsid w:val="2EB57ACF"/>
    <w:rsid w:val="2EBD04ED"/>
    <w:rsid w:val="2ED24E40"/>
    <w:rsid w:val="2ED83F29"/>
    <w:rsid w:val="2EE00D67"/>
    <w:rsid w:val="2EED04E6"/>
    <w:rsid w:val="2EFB2193"/>
    <w:rsid w:val="2F216C9E"/>
    <w:rsid w:val="2F2E6139"/>
    <w:rsid w:val="2F597888"/>
    <w:rsid w:val="2F687156"/>
    <w:rsid w:val="2F772DF4"/>
    <w:rsid w:val="2F862A94"/>
    <w:rsid w:val="2F872D02"/>
    <w:rsid w:val="2F8C352E"/>
    <w:rsid w:val="2F964AC9"/>
    <w:rsid w:val="2F9A3323"/>
    <w:rsid w:val="2F9E5B3A"/>
    <w:rsid w:val="2FAB002F"/>
    <w:rsid w:val="2FCA16A0"/>
    <w:rsid w:val="2FD017E7"/>
    <w:rsid w:val="2FEA062F"/>
    <w:rsid w:val="2FF50143"/>
    <w:rsid w:val="2FF536F7"/>
    <w:rsid w:val="2FF938BB"/>
    <w:rsid w:val="30207E1A"/>
    <w:rsid w:val="30230855"/>
    <w:rsid w:val="307772EB"/>
    <w:rsid w:val="30A61E38"/>
    <w:rsid w:val="30CF7829"/>
    <w:rsid w:val="30DF5192"/>
    <w:rsid w:val="30E208A6"/>
    <w:rsid w:val="30EB699E"/>
    <w:rsid w:val="31076C0A"/>
    <w:rsid w:val="312305F0"/>
    <w:rsid w:val="313D58DD"/>
    <w:rsid w:val="31413828"/>
    <w:rsid w:val="3146674F"/>
    <w:rsid w:val="315E73E5"/>
    <w:rsid w:val="317073FA"/>
    <w:rsid w:val="31756C38"/>
    <w:rsid w:val="317D5FAC"/>
    <w:rsid w:val="317F4425"/>
    <w:rsid w:val="3191667F"/>
    <w:rsid w:val="31BC6956"/>
    <w:rsid w:val="31D06666"/>
    <w:rsid w:val="31DA39B9"/>
    <w:rsid w:val="31E0289B"/>
    <w:rsid w:val="31F218CA"/>
    <w:rsid w:val="31FC1C7E"/>
    <w:rsid w:val="320614D0"/>
    <w:rsid w:val="320B0356"/>
    <w:rsid w:val="3225482A"/>
    <w:rsid w:val="323A5804"/>
    <w:rsid w:val="325A6AE7"/>
    <w:rsid w:val="32706F33"/>
    <w:rsid w:val="327343E0"/>
    <w:rsid w:val="327C13B7"/>
    <w:rsid w:val="327D1FEE"/>
    <w:rsid w:val="32A3587D"/>
    <w:rsid w:val="32A83671"/>
    <w:rsid w:val="32B92530"/>
    <w:rsid w:val="32E17C0C"/>
    <w:rsid w:val="32ED5B53"/>
    <w:rsid w:val="32F22131"/>
    <w:rsid w:val="32F24705"/>
    <w:rsid w:val="330C224F"/>
    <w:rsid w:val="33137B18"/>
    <w:rsid w:val="332867CE"/>
    <w:rsid w:val="334E2233"/>
    <w:rsid w:val="335316FB"/>
    <w:rsid w:val="3356223C"/>
    <w:rsid w:val="33600A70"/>
    <w:rsid w:val="33645202"/>
    <w:rsid w:val="33661A4C"/>
    <w:rsid w:val="33682A38"/>
    <w:rsid w:val="33735009"/>
    <w:rsid w:val="3376482D"/>
    <w:rsid w:val="337A0D00"/>
    <w:rsid w:val="33866BEA"/>
    <w:rsid w:val="33C03762"/>
    <w:rsid w:val="33CC1446"/>
    <w:rsid w:val="33D1495E"/>
    <w:rsid w:val="33E12622"/>
    <w:rsid w:val="33F44CB1"/>
    <w:rsid w:val="33F72A32"/>
    <w:rsid w:val="33FF3201"/>
    <w:rsid w:val="34117DB0"/>
    <w:rsid w:val="341D2329"/>
    <w:rsid w:val="343979D2"/>
    <w:rsid w:val="34597E22"/>
    <w:rsid w:val="345F6A2C"/>
    <w:rsid w:val="34974914"/>
    <w:rsid w:val="34BE1B34"/>
    <w:rsid w:val="34CF4BA7"/>
    <w:rsid w:val="34D03DA3"/>
    <w:rsid w:val="34F53C71"/>
    <w:rsid w:val="350439C4"/>
    <w:rsid w:val="351B10E2"/>
    <w:rsid w:val="351C5D76"/>
    <w:rsid w:val="351F5775"/>
    <w:rsid w:val="35244CFF"/>
    <w:rsid w:val="352F7E33"/>
    <w:rsid w:val="353748AF"/>
    <w:rsid w:val="353837F8"/>
    <w:rsid w:val="3550460B"/>
    <w:rsid w:val="358440F1"/>
    <w:rsid w:val="3586436F"/>
    <w:rsid w:val="35BC74FF"/>
    <w:rsid w:val="35C37BC2"/>
    <w:rsid w:val="35C832C2"/>
    <w:rsid w:val="35C952D7"/>
    <w:rsid w:val="35DB189B"/>
    <w:rsid w:val="36020524"/>
    <w:rsid w:val="361B0960"/>
    <w:rsid w:val="363F20DF"/>
    <w:rsid w:val="363F39FB"/>
    <w:rsid w:val="36790BD2"/>
    <w:rsid w:val="36903D77"/>
    <w:rsid w:val="36977408"/>
    <w:rsid w:val="36B22475"/>
    <w:rsid w:val="36BC0487"/>
    <w:rsid w:val="36CF4D19"/>
    <w:rsid w:val="36DF3726"/>
    <w:rsid w:val="36E80073"/>
    <w:rsid w:val="36F93D07"/>
    <w:rsid w:val="36F9501E"/>
    <w:rsid w:val="370C03F3"/>
    <w:rsid w:val="370E64EA"/>
    <w:rsid w:val="3721773E"/>
    <w:rsid w:val="376B1823"/>
    <w:rsid w:val="37721B76"/>
    <w:rsid w:val="377B0BFB"/>
    <w:rsid w:val="378161E1"/>
    <w:rsid w:val="379E6FAF"/>
    <w:rsid w:val="37A8690C"/>
    <w:rsid w:val="37BA108C"/>
    <w:rsid w:val="37DE0538"/>
    <w:rsid w:val="37E55A93"/>
    <w:rsid w:val="38187260"/>
    <w:rsid w:val="38203034"/>
    <w:rsid w:val="386C47C7"/>
    <w:rsid w:val="388478A1"/>
    <w:rsid w:val="3891129A"/>
    <w:rsid w:val="389B63BE"/>
    <w:rsid w:val="38A9728F"/>
    <w:rsid w:val="38B5359C"/>
    <w:rsid w:val="38D90818"/>
    <w:rsid w:val="38E243B4"/>
    <w:rsid w:val="38E7228D"/>
    <w:rsid w:val="38F07FA2"/>
    <w:rsid w:val="38F156D9"/>
    <w:rsid w:val="38F17710"/>
    <w:rsid w:val="38F93E7F"/>
    <w:rsid w:val="3907210A"/>
    <w:rsid w:val="39074512"/>
    <w:rsid w:val="390808ED"/>
    <w:rsid w:val="39156FD2"/>
    <w:rsid w:val="39381901"/>
    <w:rsid w:val="393839E7"/>
    <w:rsid w:val="393D682E"/>
    <w:rsid w:val="39560FBD"/>
    <w:rsid w:val="39593DD3"/>
    <w:rsid w:val="396B2F28"/>
    <w:rsid w:val="396D79D3"/>
    <w:rsid w:val="396E0CA0"/>
    <w:rsid w:val="39732381"/>
    <w:rsid w:val="397B4868"/>
    <w:rsid w:val="39853241"/>
    <w:rsid w:val="39865389"/>
    <w:rsid w:val="39930319"/>
    <w:rsid w:val="399D37A8"/>
    <w:rsid w:val="39A2665B"/>
    <w:rsid w:val="39B030C2"/>
    <w:rsid w:val="39B47FE1"/>
    <w:rsid w:val="39B66036"/>
    <w:rsid w:val="39BA27E2"/>
    <w:rsid w:val="39F0150A"/>
    <w:rsid w:val="3A0519DB"/>
    <w:rsid w:val="3A127960"/>
    <w:rsid w:val="3A163832"/>
    <w:rsid w:val="3A213B01"/>
    <w:rsid w:val="3A216A93"/>
    <w:rsid w:val="3A25219F"/>
    <w:rsid w:val="3A2C28B0"/>
    <w:rsid w:val="3A2F4697"/>
    <w:rsid w:val="3A4F2D24"/>
    <w:rsid w:val="3A5029F4"/>
    <w:rsid w:val="3A691AC5"/>
    <w:rsid w:val="3A756F3C"/>
    <w:rsid w:val="3A891975"/>
    <w:rsid w:val="3A9322F2"/>
    <w:rsid w:val="3A9925B0"/>
    <w:rsid w:val="3A9B01A0"/>
    <w:rsid w:val="3AB2330C"/>
    <w:rsid w:val="3ACC142A"/>
    <w:rsid w:val="3AD2647A"/>
    <w:rsid w:val="3ADF3088"/>
    <w:rsid w:val="3AE27E6A"/>
    <w:rsid w:val="3AE93ACA"/>
    <w:rsid w:val="3AED0CD7"/>
    <w:rsid w:val="3B057185"/>
    <w:rsid w:val="3B091661"/>
    <w:rsid w:val="3B1433A4"/>
    <w:rsid w:val="3B175728"/>
    <w:rsid w:val="3B3303B1"/>
    <w:rsid w:val="3B384006"/>
    <w:rsid w:val="3B3B61F4"/>
    <w:rsid w:val="3B450922"/>
    <w:rsid w:val="3B487F7F"/>
    <w:rsid w:val="3B555147"/>
    <w:rsid w:val="3B603455"/>
    <w:rsid w:val="3B703A23"/>
    <w:rsid w:val="3B8D4FFF"/>
    <w:rsid w:val="3BA27333"/>
    <w:rsid w:val="3BB826B4"/>
    <w:rsid w:val="3BDA5657"/>
    <w:rsid w:val="3BE55C08"/>
    <w:rsid w:val="3BEF554A"/>
    <w:rsid w:val="3BF8738B"/>
    <w:rsid w:val="3BF963B4"/>
    <w:rsid w:val="3C194061"/>
    <w:rsid w:val="3C262D0C"/>
    <w:rsid w:val="3C292B15"/>
    <w:rsid w:val="3C2E31C0"/>
    <w:rsid w:val="3C4A3260"/>
    <w:rsid w:val="3C594B02"/>
    <w:rsid w:val="3C5A04E6"/>
    <w:rsid w:val="3C666279"/>
    <w:rsid w:val="3CAD0C8E"/>
    <w:rsid w:val="3CBC1DD3"/>
    <w:rsid w:val="3CD26B65"/>
    <w:rsid w:val="3CE0637B"/>
    <w:rsid w:val="3CE33ECB"/>
    <w:rsid w:val="3CE40F3F"/>
    <w:rsid w:val="3CEE34A1"/>
    <w:rsid w:val="3D2323BC"/>
    <w:rsid w:val="3D2F1071"/>
    <w:rsid w:val="3D4445D3"/>
    <w:rsid w:val="3D570494"/>
    <w:rsid w:val="3D5B7E92"/>
    <w:rsid w:val="3D795511"/>
    <w:rsid w:val="3D8926DC"/>
    <w:rsid w:val="3D8D3F60"/>
    <w:rsid w:val="3DAB77E7"/>
    <w:rsid w:val="3DB81C22"/>
    <w:rsid w:val="3DBD7092"/>
    <w:rsid w:val="3DDC583F"/>
    <w:rsid w:val="3DDF2D38"/>
    <w:rsid w:val="3DE602CC"/>
    <w:rsid w:val="3DEB6E5D"/>
    <w:rsid w:val="3E1F5D16"/>
    <w:rsid w:val="3E2B7B8F"/>
    <w:rsid w:val="3E404226"/>
    <w:rsid w:val="3E4542D4"/>
    <w:rsid w:val="3E471495"/>
    <w:rsid w:val="3E551804"/>
    <w:rsid w:val="3E831AA0"/>
    <w:rsid w:val="3E892DBE"/>
    <w:rsid w:val="3E972C07"/>
    <w:rsid w:val="3EAD6A15"/>
    <w:rsid w:val="3EC521C3"/>
    <w:rsid w:val="3ECD3066"/>
    <w:rsid w:val="3EE37589"/>
    <w:rsid w:val="3EF07473"/>
    <w:rsid w:val="3EF53747"/>
    <w:rsid w:val="3EFE4CFA"/>
    <w:rsid w:val="3F0C47F8"/>
    <w:rsid w:val="3F10342D"/>
    <w:rsid w:val="3F210101"/>
    <w:rsid w:val="3F582392"/>
    <w:rsid w:val="3F5F4CD3"/>
    <w:rsid w:val="3F6474D5"/>
    <w:rsid w:val="3F653328"/>
    <w:rsid w:val="3F6E5775"/>
    <w:rsid w:val="3F8C40C6"/>
    <w:rsid w:val="3F8F4945"/>
    <w:rsid w:val="3FA73396"/>
    <w:rsid w:val="3FB942A9"/>
    <w:rsid w:val="3FBB58F4"/>
    <w:rsid w:val="3FC0060C"/>
    <w:rsid w:val="3FDD32B5"/>
    <w:rsid w:val="3FF23494"/>
    <w:rsid w:val="40003405"/>
    <w:rsid w:val="400203DC"/>
    <w:rsid w:val="402B461D"/>
    <w:rsid w:val="404157E4"/>
    <w:rsid w:val="40426677"/>
    <w:rsid w:val="404759F5"/>
    <w:rsid w:val="404C08E9"/>
    <w:rsid w:val="40596710"/>
    <w:rsid w:val="405A34A1"/>
    <w:rsid w:val="406425E4"/>
    <w:rsid w:val="408005A7"/>
    <w:rsid w:val="40942CAF"/>
    <w:rsid w:val="40AC7FE6"/>
    <w:rsid w:val="40AE447D"/>
    <w:rsid w:val="40D12A31"/>
    <w:rsid w:val="40F6279A"/>
    <w:rsid w:val="40F840D4"/>
    <w:rsid w:val="41081B6D"/>
    <w:rsid w:val="41165295"/>
    <w:rsid w:val="4128103E"/>
    <w:rsid w:val="412B3974"/>
    <w:rsid w:val="413E6E02"/>
    <w:rsid w:val="41604AE9"/>
    <w:rsid w:val="417112C8"/>
    <w:rsid w:val="417D2434"/>
    <w:rsid w:val="41814D76"/>
    <w:rsid w:val="419808E2"/>
    <w:rsid w:val="41C00964"/>
    <w:rsid w:val="41E817FE"/>
    <w:rsid w:val="41E85B05"/>
    <w:rsid w:val="41F73F8D"/>
    <w:rsid w:val="421976F4"/>
    <w:rsid w:val="421F7681"/>
    <w:rsid w:val="42422093"/>
    <w:rsid w:val="425F2339"/>
    <w:rsid w:val="42647007"/>
    <w:rsid w:val="428903BD"/>
    <w:rsid w:val="428C36C4"/>
    <w:rsid w:val="428D7480"/>
    <w:rsid w:val="428E60BF"/>
    <w:rsid w:val="42922A9D"/>
    <w:rsid w:val="42A925CE"/>
    <w:rsid w:val="42B0328A"/>
    <w:rsid w:val="42B86DCA"/>
    <w:rsid w:val="42C4662B"/>
    <w:rsid w:val="42DF7459"/>
    <w:rsid w:val="42E3052D"/>
    <w:rsid w:val="42F22300"/>
    <w:rsid w:val="430C6E95"/>
    <w:rsid w:val="43193111"/>
    <w:rsid w:val="432303D3"/>
    <w:rsid w:val="432A6FA6"/>
    <w:rsid w:val="433652E9"/>
    <w:rsid w:val="433D730C"/>
    <w:rsid w:val="436431B8"/>
    <w:rsid w:val="436741AF"/>
    <w:rsid w:val="436B338D"/>
    <w:rsid w:val="437F4771"/>
    <w:rsid w:val="43A31014"/>
    <w:rsid w:val="43A97830"/>
    <w:rsid w:val="43B57EBC"/>
    <w:rsid w:val="43C44DE4"/>
    <w:rsid w:val="43CC279A"/>
    <w:rsid w:val="43D30B47"/>
    <w:rsid w:val="43DE4E2A"/>
    <w:rsid w:val="43F3404A"/>
    <w:rsid w:val="43FF69A3"/>
    <w:rsid w:val="4420181B"/>
    <w:rsid w:val="44301A72"/>
    <w:rsid w:val="444271A9"/>
    <w:rsid w:val="444B517C"/>
    <w:rsid w:val="444D73DB"/>
    <w:rsid w:val="446E0DB9"/>
    <w:rsid w:val="447523CD"/>
    <w:rsid w:val="447B771B"/>
    <w:rsid w:val="4480569B"/>
    <w:rsid w:val="448B5AF2"/>
    <w:rsid w:val="44A01635"/>
    <w:rsid w:val="44AF7385"/>
    <w:rsid w:val="44EF7396"/>
    <w:rsid w:val="44F80445"/>
    <w:rsid w:val="450A0A03"/>
    <w:rsid w:val="45237DA0"/>
    <w:rsid w:val="452E1ED7"/>
    <w:rsid w:val="453529AC"/>
    <w:rsid w:val="454931CB"/>
    <w:rsid w:val="4560274A"/>
    <w:rsid w:val="45630EC7"/>
    <w:rsid w:val="45633CE6"/>
    <w:rsid w:val="456B46C3"/>
    <w:rsid w:val="457E2F3D"/>
    <w:rsid w:val="45AA68AD"/>
    <w:rsid w:val="45C52027"/>
    <w:rsid w:val="45C96F6B"/>
    <w:rsid w:val="45CC4ECB"/>
    <w:rsid w:val="45D12E75"/>
    <w:rsid w:val="45DB51B9"/>
    <w:rsid w:val="45DD7C8A"/>
    <w:rsid w:val="45E952EB"/>
    <w:rsid w:val="460E70D4"/>
    <w:rsid w:val="460F1C5D"/>
    <w:rsid w:val="460F5E1C"/>
    <w:rsid w:val="461C5390"/>
    <w:rsid w:val="462D07A5"/>
    <w:rsid w:val="462E151A"/>
    <w:rsid w:val="46430717"/>
    <w:rsid w:val="46713EB2"/>
    <w:rsid w:val="46740381"/>
    <w:rsid w:val="468E4561"/>
    <w:rsid w:val="46A94793"/>
    <w:rsid w:val="46C63CBD"/>
    <w:rsid w:val="46F30AA9"/>
    <w:rsid w:val="46F677FE"/>
    <w:rsid w:val="47125D77"/>
    <w:rsid w:val="47162811"/>
    <w:rsid w:val="473068F7"/>
    <w:rsid w:val="47321685"/>
    <w:rsid w:val="47326752"/>
    <w:rsid w:val="47351802"/>
    <w:rsid w:val="473607CB"/>
    <w:rsid w:val="47460E29"/>
    <w:rsid w:val="475774B9"/>
    <w:rsid w:val="47707359"/>
    <w:rsid w:val="47911136"/>
    <w:rsid w:val="479E099D"/>
    <w:rsid w:val="479E2C8C"/>
    <w:rsid w:val="479F28D0"/>
    <w:rsid w:val="47CD7D30"/>
    <w:rsid w:val="47CF2275"/>
    <w:rsid w:val="48356B71"/>
    <w:rsid w:val="48470BAB"/>
    <w:rsid w:val="484F6513"/>
    <w:rsid w:val="486E2354"/>
    <w:rsid w:val="48735358"/>
    <w:rsid w:val="48767F39"/>
    <w:rsid w:val="487C358F"/>
    <w:rsid w:val="48845E98"/>
    <w:rsid w:val="48853106"/>
    <w:rsid w:val="488576F7"/>
    <w:rsid w:val="489B318B"/>
    <w:rsid w:val="489E71B8"/>
    <w:rsid w:val="489F3219"/>
    <w:rsid w:val="48D640B6"/>
    <w:rsid w:val="48F505AC"/>
    <w:rsid w:val="48FD2148"/>
    <w:rsid w:val="490007A8"/>
    <w:rsid w:val="491A125B"/>
    <w:rsid w:val="49395424"/>
    <w:rsid w:val="493B69DB"/>
    <w:rsid w:val="4953586C"/>
    <w:rsid w:val="4964209B"/>
    <w:rsid w:val="497E4E68"/>
    <w:rsid w:val="49826DA4"/>
    <w:rsid w:val="49A72936"/>
    <w:rsid w:val="49B430C3"/>
    <w:rsid w:val="49BC2903"/>
    <w:rsid w:val="49CD7EBE"/>
    <w:rsid w:val="49D73CCC"/>
    <w:rsid w:val="4A2618ED"/>
    <w:rsid w:val="4A301A88"/>
    <w:rsid w:val="4A5A1EA5"/>
    <w:rsid w:val="4A715654"/>
    <w:rsid w:val="4AA518E9"/>
    <w:rsid w:val="4AA629E7"/>
    <w:rsid w:val="4AA90B95"/>
    <w:rsid w:val="4AAB5497"/>
    <w:rsid w:val="4ACA31FD"/>
    <w:rsid w:val="4ACC6C6A"/>
    <w:rsid w:val="4AD73B18"/>
    <w:rsid w:val="4B090DF8"/>
    <w:rsid w:val="4B0A3EDB"/>
    <w:rsid w:val="4B39041F"/>
    <w:rsid w:val="4B460F0E"/>
    <w:rsid w:val="4B483A47"/>
    <w:rsid w:val="4B53508B"/>
    <w:rsid w:val="4B633ACF"/>
    <w:rsid w:val="4B6A24CB"/>
    <w:rsid w:val="4B8848D6"/>
    <w:rsid w:val="4B891613"/>
    <w:rsid w:val="4BAC3E7E"/>
    <w:rsid w:val="4BCB3AB2"/>
    <w:rsid w:val="4BD2057D"/>
    <w:rsid w:val="4C1E167F"/>
    <w:rsid w:val="4C2238F7"/>
    <w:rsid w:val="4C3C281F"/>
    <w:rsid w:val="4C54295F"/>
    <w:rsid w:val="4C690037"/>
    <w:rsid w:val="4C69337B"/>
    <w:rsid w:val="4C897534"/>
    <w:rsid w:val="4C9245A4"/>
    <w:rsid w:val="4C9E6869"/>
    <w:rsid w:val="4CB6773C"/>
    <w:rsid w:val="4CD53BEB"/>
    <w:rsid w:val="4CD948AA"/>
    <w:rsid w:val="4CDA6105"/>
    <w:rsid w:val="4CDC3B39"/>
    <w:rsid w:val="4CE62BE1"/>
    <w:rsid w:val="4D0774EE"/>
    <w:rsid w:val="4D0F234A"/>
    <w:rsid w:val="4D3B5E09"/>
    <w:rsid w:val="4D3D4081"/>
    <w:rsid w:val="4D516F55"/>
    <w:rsid w:val="4D5944B9"/>
    <w:rsid w:val="4D5D6D38"/>
    <w:rsid w:val="4D61463E"/>
    <w:rsid w:val="4D6561DE"/>
    <w:rsid w:val="4D693FF0"/>
    <w:rsid w:val="4D6C5D62"/>
    <w:rsid w:val="4D7A52F0"/>
    <w:rsid w:val="4D7B6C21"/>
    <w:rsid w:val="4D963B72"/>
    <w:rsid w:val="4DB44E41"/>
    <w:rsid w:val="4DBB1660"/>
    <w:rsid w:val="4DCF027B"/>
    <w:rsid w:val="4DF85D74"/>
    <w:rsid w:val="4DFA0523"/>
    <w:rsid w:val="4DFE6AA2"/>
    <w:rsid w:val="4E0F6C1B"/>
    <w:rsid w:val="4E127EE3"/>
    <w:rsid w:val="4E1C01D6"/>
    <w:rsid w:val="4E294559"/>
    <w:rsid w:val="4E2A7319"/>
    <w:rsid w:val="4E2C2B6E"/>
    <w:rsid w:val="4E3D0765"/>
    <w:rsid w:val="4E3F706D"/>
    <w:rsid w:val="4E407ADD"/>
    <w:rsid w:val="4E4B79F3"/>
    <w:rsid w:val="4E586D4A"/>
    <w:rsid w:val="4E6C5456"/>
    <w:rsid w:val="4E72128B"/>
    <w:rsid w:val="4E871196"/>
    <w:rsid w:val="4EA27113"/>
    <w:rsid w:val="4EAB7862"/>
    <w:rsid w:val="4EC6467A"/>
    <w:rsid w:val="4EE63859"/>
    <w:rsid w:val="4EF3639B"/>
    <w:rsid w:val="4EF525E5"/>
    <w:rsid w:val="4EFB3484"/>
    <w:rsid w:val="4F1A5D09"/>
    <w:rsid w:val="4F1C64FA"/>
    <w:rsid w:val="4F294510"/>
    <w:rsid w:val="4F635335"/>
    <w:rsid w:val="4F680B02"/>
    <w:rsid w:val="4F87185D"/>
    <w:rsid w:val="4F9949BC"/>
    <w:rsid w:val="4FCB3E34"/>
    <w:rsid w:val="4FD926D5"/>
    <w:rsid w:val="50014087"/>
    <w:rsid w:val="50523AB7"/>
    <w:rsid w:val="50575DDD"/>
    <w:rsid w:val="506011BE"/>
    <w:rsid w:val="506E3607"/>
    <w:rsid w:val="50783486"/>
    <w:rsid w:val="507F5072"/>
    <w:rsid w:val="508276E4"/>
    <w:rsid w:val="50944EBB"/>
    <w:rsid w:val="50A30F8C"/>
    <w:rsid w:val="50AB6F66"/>
    <w:rsid w:val="50B82DDB"/>
    <w:rsid w:val="50BA14C2"/>
    <w:rsid w:val="50BB1707"/>
    <w:rsid w:val="50C93EC2"/>
    <w:rsid w:val="50D14D96"/>
    <w:rsid w:val="50E46614"/>
    <w:rsid w:val="50F52E74"/>
    <w:rsid w:val="511624CA"/>
    <w:rsid w:val="51203FB2"/>
    <w:rsid w:val="51227F2B"/>
    <w:rsid w:val="513A497D"/>
    <w:rsid w:val="51440EC5"/>
    <w:rsid w:val="51486FE8"/>
    <w:rsid w:val="51502E93"/>
    <w:rsid w:val="5176766D"/>
    <w:rsid w:val="51887010"/>
    <w:rsid w:val="51BF46DF"/>
    <w:rsid w:val="51CE2D82"/>
    <w:rsid w:val="51DA00FA"/>
    <w:rsid w:val="52445732"/>
    <w:rsid w:val="524A0C16"/>
    <w:rsid w:val="52582DCE"/>
    <w:rsid w:val="52845D9B"/>
    <w:rsid w:val="52967C5A"/>
    <w:rsid w:val="52973896"/>
    <w:rsid w:val="52B8031D"/>
    <w:rsid w:val="52C728D0"/>
    <w:rsid w:val="52E35A3D"/>
    <w:rsid w:val="52E456CE"/>
    <w:rsid w:val="52ED2449"/>
    <w:rsid w:val="52F00C9F"/>
    <w:rsid w:val="52F91124"/>
    <w:rsid w:val="53056673"/>
    <w:rsid w:val="531D59CB"/>
    <w:rsid w:val="533D6A5A"/>
    <w:rsid w:val="53477CC9"/>
    <w:rsid w:val="535570C1"/>
    <w:rsid w:val="5367793A"/>
    <w:rsid w:val="53682826"/>
    <w:rsid w:val="538215B2"/>
    <w:rsid w:val="53860A2C"/>
    <w:rsid w:val="53956EE7"/>
    <w:rsid w:val="539E1B84"/>
    <w:rsid w:val="539E51C4"/>
    <w:rsid w:val="53A4770B"/>
    <w:rsid w:val="53AA293A"/>
    <w:rsid w:val="53AF494B"/>
    <w:rsid w:val="53B62255"/>
    <w:rsid w:val="53D361D7"/>
    <w:rsid w:val="53D922C1"/>
    <w:rsid w:val="53DC3750"/>
    <w:rsid w:val="53F80B4C"/>
    <w:rsid w:val="53FD36EE"/>
    <w:rsid w:val="540029A4"/>
    <w:rsid w:val="540B2F28"/>
    <w:rsid w:val="541D7D10"/>
    <w:rsid w:val="541E7BDD"/>
    <w:rsid w:val="542A010D"/>
    <w:rsid w:val="54396B7E"/>
    <w:rsid w:val="544B1891"/>
    <w:rsid w:val="54A00B89"/>
    <w:rsid w:val="54B15AF0"/>
    <w:rsid w:val="54C85AD8"/>
    <w:rsid w:val="54D33DA6"/>
    <w:rsid w:val="54E87866"/>
    <w:rsid w:val="54EE39B5"/>
    <w:rsid w:val="54F16D09"/>
    <w:rsid w:val="55002961"/>
    <w:rsid w:val="55060EF5"/>
    <w:rsid w:val="55136B0C"/>
    <w:rsid w:val="552B2DCD"/>
    <w:rsid w:val="552E3FCF"/>
    <w:rsid w:val="55380596"/>
    <w:rsid w:val="55692C7A"/>
    <w:rsid w:val="556C1973"/>
    <w:rsid w:val="55841CAD"/>
    <w:rsid w:val="55D523DC"/>
    <w:rsid w:val="55D71999"/>
    <w:rsid w:val="55E63E63"/>
    <w:rsid w:val="55F04923"/>
    <w:rsid w:val="55F77B55"/>
    <w:rsid w:val="56100B8D"/>
    <w:rsid w:val="56173C4B"/>
    <w:rsid w:val="561F2FD6"/>
    <w:rsid w:val="562100A6"/>
    <w:rsid w:val="56313EF5"/>
    <w:rsid w:val="56381252"/>
    <w:rsid w:val="564F734A"/>
    <w:rsid w:val="5657343C"/>
    <w:rsid w:val="56626986"/>
    <w:rsid w:val="5670741F"/>
    <w:rsid w:val="568C07DB"/>
    <w:rsid w:val="56A007FA"/>
    <w:rsid w:val="56A0596B"/>
    <w:rsid w:val="56BA5743"/>
    <w:rsid w:val="56C46E07"/>
    <w:rsid w:val="56E26044"/>
    <w:rsid w:val="56E5090F"/>
    <w:rsid w:val="56EE4FA1"/>
    <w:rsid w:val="56FE6E5D"/>
    <w:rsid w:val="572D7C1D"/>
    <w:rsid w:val="57332534"/>
    <w:rsid w:val="57411077"/>
    <w:rsid w:val="57430FD9"/>
    <w:rsid w:val="57681B92"/>
    <w:rsid w:val="578B0A8A"/>
    <w:rsid w:val="578B7EF5"/>
    <w:rsid w:val="57A94805"/>
    <w:rsid w:val="57AA77AB"/>
    <w:rsid w:val="57C53D8B"/>
    <w:rsid w:val="57DF0184"/>
    <w:rsid w:val="57F23EC4"/>
    <w:rsid w:val="580B7F28"/>
    <w:rsid w:val="58160E43"/>
    <w:rsid w:val="58223EFD"/>
    <w:rsid w:val="58291D4E"/>
    <w:rsid w:val="58406F21"/>
    <w:rsid w:val="58457D33"/>
    <w:rsid w:val="58504462"/>
    <w:rsid w:val="585B0EE8"/>
    <w:rsid w:val="58627FF2"/>
    <w:rsid w:val="58697E16"/>
    <w:rsid w:val="58705494"/>
    <w:rsid w:val="58836CA4"/>
    <w:rsid w:val="58850F8A"/>
    <w:rsid w:val="58984AE3"/>
    <w:rsid w:val="5899126C"/>
    <w:rsid w:val="58AD48B9"/>
    <w:rsid w:val="58B43BE6"/>
    <w:rsid w:val="58CF13D4"/>
    <w:rsid w:val="58F6529E"/>
    <w:rsid w:val="58FA1F67"/>
    <w:rsid w:val="59377E29"/>
    <w:rsid w:val="594B0554"/>
    <w:rsid w:val="59533AD4"/>
    <w:rsid w:val="596532CA"/>
    <w:rsid w:val="597557B6"/>
    <w:rsid w:val="59787591"/>
    <w:rsid w:val="597D530D"/>
    <w:rsid w:val="59854DC3"/>
    <w:rsid w:val="598801C9"/>
    <w:rsid w:val="5988621B"/>
    <w:rsid w:val="59963501"/>
    <w:rsid w:val="59A33F13"/>
    <w:rsid w:val="59AF3617"/>
    <w:rsid w:val="59B63566"/>
    <w:rsid w:val="59C07D31"/>
    <w:rsid w:val="5A1A17BE"/>
    <w:rsid w:val="5A2237DC"/>
    <w:rsid w:val="5A3202E4"/>
    <w:rsid w:val="5A3322B9"/>
    <w:rsid w:val="5A352C13"/>
    <w:rsid w:val="5A5854DA"/>
    <w:rsid w:val="5A6E038D"/>
    <w:rsid w:val="5A7C6320"/>
    <w:rsid w:val="5A8341BB"/>
    <w:rsid w:val="5A89246A"/>
    <w:rsid w:val="5AB33E7E"/>
    <w:rsid w:val="5AD3641F"/>
    <w:rsid w:val="5AF67230"/>
    <w:rsid w:val="5B0A5502"/>
    <w:rsid w:val="5B113E38"/>
    <w:rsid w:val="5B154ABB"/>
    <w:rsid w:val="5B693471"/>
    <w:rsid w:val="5B96384C"/>
    <w:rsid w:val="5B9E2F00"/>
    <w:rsid w:val="5BA07318"/>
    <w:rsid w:val="5BC622DB"/>
    <w:rsid w:val="5BF036E2"/>
    <w:rsid w:val="5BFD40FC"/>
    <w:rsid w:val="5C1753E6"/>
    <w:rsid w:val="5C250540"/>
    <w:rsid w:val="5C295A68"/>
    <w:rsid w:val="5C375D3A"/>
    <w:rsid w:val="5C3B66B8"/>
    <w:rsid w:val="5C94379A"/>
    <w:rsid w:val="5CCB6EDC"/>
    <w:rsid w:val="5CE40EDA"/>
    <w:rsid w:val="5D017873"/>
    <w:rsid w:val="5D0276A7"/>
    <w:rsid w:val="5D0C29CE"/>
    <w:rsid w:val="5D1D120B"/>
    <w:rsid w:val="5D314E28"/>
    <w:rsid w:val="5D3B46B1"/>
    <w:rsid w:val="5D4C00C1"/>
    <w:rsid w:val="5D5759C1"/>
    <w:rsid w:val="5D610322"/>
    <w:rsid w:val="5D640D87"/>
    <w:rsid w:val="5D703BEC"/>
    <w:rsid w:val="5D8C1FF4"/>
    <w:rsid w:val="5D9273E5"/>
    <w:rsid w:val="5DAA17B7"/>
    <w:rsid w:val="5DB138B9"/>
    <w:rsid w:val="5DD603A0"/>
    <w:rsid w:val="5DF803FF"/>
    <w:rsid w:val="5E441EA7"/>
    <w:rsid w:val="5E5A7857"/>
    <w:rsid w:val="5E7F64BE"/>
    <w:rsid w:val="5EA22EAA"/>
    <w:rsid w:val="5EA50323"/>
    <w:rsid w:val="5EA5101B"/>
    <w:rsid w:val="5EBB1E14"/>
    <w:rsid w:val="5EC11E3C"/>
    <w:rsid w:val="5ECA13D0"/>
    <w:rsid w:val="5EE6276B"/>
    <w:rsid w:val="5F073723"/>
    <w:rsid w:val="5F302D13"/>
    <w:rsid w:val="5F3517E6"/>
    <w:rsid w:val="5F3A6F22"/>
    <w:rsid w:val="5F4812D4"/>
    <w:rsid w:val="5F620B8A"/>
    <w:rsid w:val="5F8442BA"/>
    <w:rsid w:val="5F864F98"/>
    <w:rsid w:val="5F895B51"/>
    <w:rsid w:val="5FE25E93"/>
    <w:rsid w:val="5FE53194"/>
    <w:rsid w:val="5FEC48FC"/>
    <w:rsid w:val="601A6E41"/>
    <w:rsid w:val="602823E2"/>
    <w:rsid w:val="60743539"/>
    <w:rsid w:val="607D20C8"/>
    <w:rsid w:val="608324BB"/>
    <w:rsid w:val="608E6ABB"/>
    <w:rsid w:val="6091271D"/>
    <w:rsid w:val="609C6333"/>
    <w:rsid w:val="60B2337E"/>
    <w:rsid w:val="60B30D49"/>
    <w:rsid w:val="60CA7F0E"/>
    <w:rsid w:val="61307826"/>
    <w:rsid w:val="613923B7"/>
    <w:rsid w:val="614C26E5"/>
    <w:rsid w:val="6180534C"/>
    <w:rsid w:val="618D6CD5"/>
    <w:rsid w:val="619727C1"/>
    <w:rsid w:val="61A233C0"/>
    <w:rsid w:val="61DF4A45"/>
    <w:rsid w:val="61FD44BF"/>
    <w:rsid w:val="62216019"/>
    <w:rsid w:val="62300C82"/>
    <w:rsid w:val="62544E13"/>
    <w:rsid w:val="625E5A54"/>
    <w:rsid w:val="626654F4"/>
    <w:rsid w:val="628F5F6D"/>
    <w:rsid w:val="62CA1010"/>
    <w:rsid w:val="62DA722F"/>
    <w:rsid w:val="62E83CE6"/>
    <w:rsid w:val="62F05C48"/>
    <w:rsid w:val="62F12B9C"/>
    <w:rsid w:val="62F17FC0"/>
    <w:rsid w:val="63111590"/>
    <w:rsid w:val="63177C82"/>
    <w:rsid w:val="63241876"/>
    <w:rsid w:val="632765F6"/>
    <w:rsid w:val="63367EE2"/>
    <w:rsid w:val="63391839"/>
    <w:rsid w:val="6340618E"/>
    <w:rsid w:val="63545730"/>
    <w:rsid w:val="639E2EAA"/>
    <w:rsid w:val="63B25508"/>
    <w:rsid w:val="63BF690B"/>
    <w:rsid w:val="63C65F47"/>
    <w:rsid w:val="63D41D5C"/>
    <w:rsid w:val="63DD7CCA"/>
    <w:rsid w:val="63EB620B"/>
    <w:rsid w:val="63EE78F2"/>
    <w:rsid w:val="63F96516"/>
    <w:rsid w:val="644243D6"/>
    <w:rsid w:val="64533172"/>
    <w:rsid w:val="64537112"/>
    <w:rsid w:val="646356B1"/>
    <w:rsid w:val="646727E4"/>
    <w:rsid w:val="648349CD"/>
    <w:rsid w:val="6498484C"/>
    <w:rsid w:val="649D3AA9"/>
    <w:rsid w:val="64A56EEB"/>
    <w:rsid w:val="64CF11AF"/>
    <w:rsid w:val="64D7261E"/>
    <w:rsid w:val="64F306D6"/>
    <w:rsid w:val="64FD64A7"/>
    <w:rsid w:val="6511539F"/>
    <w:rsid w:val="652C5746"/>
    <w:rsid w:val="653C6956"/>
    <w:rsid w:val="653E0704"/>
    <w:rsid w:val="65476F37"/>
    <w:rsid w:val="654B31C7"/>
    <w:rsid w:val="65585A72"/>
    <w:rsid w:val="6567030A"/>
    <w:rsid w:val="65837F7C"/>
    <w:rsid w:val="65870514"/>
    <w:rsid w:val="65B115CB"/>
    <w:rsid w:val="65C324D9"/>
    <w:rsid w:val="65CC6DD7"/>
    <w:rsid w:val="65D22EC4"/>
    <w:rsid w:val="65D44D23"/>
    <w:rsid w:val="65E2502C"/>
    <w:rsid w:val="65F51DB7"/>
    <w:rsid w:val="66006422"/>
    <w:rsid w:val="660673F4"/>
    <w:rsid w:val="66072247"/>
    <w:rsid w:val="66183688"/>
    <w:rsid w:val="662B0F1D"/>
    <w:rsid w:val="66381C50"/>
    <w:rsid w:val="666E1E8F"/>
    <w:rsid w:val="667003BF"/>
    <w:rsid w:val="66745AAA"/>
    <w:rsid w:val="667779A7"/>
    <w:rsid w:val="668D01E6"/>
    <w:rsid w:val="668D5398"/>
    <w:rsid w:val="66A41957"/>
    <w:rsid w:val="66C1497E"/>
    <w:rsid w:val="66D8762D"/>
    <w:rsid w:val="66E40920"/>
    <w:rsid w:val="66F7781D"/>
    <w:rsid w:val="67037116"/>
    <w:rsid w:val="671462C5"/>
    <w:rsid w:val="67150615"/>
    <w:rsid w:val="67186175"/>
    <w:rsid w:val="673A43B0"/>
    <w:rsid w:val="673E7B18"/>
    <w:rsid w:val="67520476"/>
    <w:rsid w:val="675D5179"/>
    <w:rsid w:val="67601774"/>
    <w:rsid w:val="67605DA4"/>
    <w:rsid w:val="67811EF3"/>
    <w:rsid w:val="6785437C"/>
    <w:rsid w:val="6791651E"/>
    <w:rsid w:val="679346E0"/>
    <w:rsid w:val="67A6699D"/>
    <w:rsid w:val="67B32C48"/>
    <w:rsid w:val="67E962D6"/>
    <w:rsid w:val="67FA3C56"/>
    <w:rsid w:val="680A31C9"/>
    <w:rsid w:val="680A3FA7"/>
    <w:rsid w:val="680D2E75"/>
    <w:rsid w:val="68122551"/>
    <w:rsid w:val="681C3FF4"/>
    <w:rsid w:val="684811CA"/>
    <w:rsid w:val="68496731"/>
    <w:rsid w:val="68646BC2"/>
    <w:rsid w:val="68700C2D"/>
    <w:rsid w:val="68711B25"/>
    <w:rsid w:val="687F4EAA"/>
    <w:rsid w:val="68C57FBA"/>
    <w:rsid w:val="68E6466C"/>
    <w:rsid w:val="68F91648"/>
    <w:rsid w:val="692B7811"/>
    <w:rsid w:val="69335169"/>
    <w:rsid w:val="69374360"/>
    <w:rsid w:val="694C2A9E"/>
    <w:rsid w:val="696864C3"/>
    <w:rsid w:val="696E36AB"/>
    <w:rsid w:val="698854C4"/>
    <w:rsid w:val="69A32E50"/>
    <w:rsid w:val="69C73CCA"/>
    <w:rsid w:val="69DD4506"/>
    <w:rsid w:val="6A0A3F53"/>
    <w:rsid w:val="6A174965"/>
    <w:rsid w:val="6A224218"/>
    <w:rsid w:val="6A373D67"/>
    <w:rsid w:val="6A3949B0"/>
    <w:rsid w:val="6A3E4818"/>
    <w:rsid w:val="6A7874FC"/>
    <w:rsid w:val="6A984439"/>
    <w:rsid w:val="6A9D5FA0"/>
    <w:rsid w:val="6A9F121C"/>
    <w:rsid w:val="6ABA3A84"/>
    <w:rsid w:val="6AC274A5"/>
    <w:rsid w:val="6AC2774E"/>
    <w:rsid w:val="6AC2789A"/>
    <w:rsid w:val="6AC71CBB"/>
    <w:rsid w:val="6AD401AB"/>
    <w:rsid w:val="6B044CCD"/>
    <w:rsid w:val="6B09589B"/>
    <w:rsid w:val="6B2B6698"/>
    <w:rsid w:val="6B7101C4"/>
    <w:rsid w:val="6B793985"/>
    <w:rsid w:val="6B794CF1"/>
    <w:rsid w:val="6B7E56BA"/>
    <w:rsid w:val="6B8C2BC8"/>
    <w:rsid w:val="6B993880"/>
    <w:rsid w:val="6B9E6148"/>
    <w:rsid w:val="6BB770C0"/>
    <w:rsid w:val="6BD05C4E"/>
    <w:rsid w:val="6BD30FBA"/>
    <w:rsid w:val="6BDA29D0"/>
    <w:rsid w:val="6BEA1C31"/>
    <w:rsid w:val="6C2B2D96"/>
    <w:rsid w:val="6C353589"/>
    <w:rsid w:val="6C612DB9"/>
    <w:rsid w:val="6C6435E9"/>
    <w:rsid w:val="6C735B0A"/>
    <w:rsid w:val="6C804B64"/>
    <w:rsid w:val="6C92113A"/>
    <w:rsid w:val="6C9E705C"/>
    <w:rsid w:val="6CAE6437"/>
    <w:rsid w:val="6CB65162"/>
    <w:rsid w:val="6CBE058B"/>
    <w:rsid w:val="6CD52827"/>
    <w:rsid w:val="6CF62892"/>
    <w:rsid w:val="6CF6334F"/>
    <w:rsid w:val="6D064D68"/>
    <w:rsid w:val="6D1874C6"/>
    <w:rsid w:val="6D2242E5"/>
    <w:rsid w:val="6D2426A1"/>
    <w:rsid w:val="6D281665"/>
    <w:rsid w:val="6D3A5522"/>
    <w:rsid w:val="6D406DD5"/>
    <w:rsid w:val="6D440241"/>
    <w:rsid w:val="6D4E1B65"/>
    <w:rsid w:val="6D603278"/>
    <w:rsid w:val="6D7A2E8E"/>
    <w:rsid w:val="6D7B1997"/>
    <w:rsid w:val="6D854458"/>
    <w:rsid w:val="6DC10A0A"/>
    <w:rsid w:val="6DCA7417"/>
    <w:rsid w:val="6DDC5DB8"/>
    <w:rsid w:val="6DE06FDD"/>
    <w:rsid w:val="6DEB5177"/>
    <w:rsid w:val="6DF648FC"/>
    <w:rsid w:val="6E123340"/>
    <w:rsid w:val="6E37582D"/>
    <w:rsid w:val="6E3A73E8"/>
    <w:rsid w:val="6E3E177B"/>
    <w:rsid w:val="6E5C2B58"/>
    <w:rsid w:val="6E6A6E7B"/>
    <w:rsid w:val="6E734909"/>
    <w:rsid w:val="6E755B20"/>
    <w:rsid w:val="6E7B49F9"/>
    <w:rsid w:val="6E7D6E16"/>
    <w:rsid w:val="6EEB0902"/>
    <w:rsid w:val="6EEE0AE6"/>
    <w:rsid w:val="6EF3506E"/>
    <w:rsid w:val="6F0042FD"/>
    <w:rsid w:val="6F0C5481"/>
    <w:rsid w:val="6F180FB7"/>
    <w:rsid w:val="6F1B3106"/>
    <w:rsid w:val="6F221F7A"/>
    <w:rsid w:val="6F2B24BC"/>
    <w:rsid w:val="6F2C2BCB"/>
    <w:rsid w:val="6F2C3B47"/>
    <w:rsid w:val="6F384CE3"/>
    <w:rsid w:val="6F5A7526"/>
    <w:rsid w:val="6F8202D6"/>
    <w:rsid w:val="6F8203A3"/>
    <w:rsid w:val="6F84079B"/>
    <w:rsid w:val="6FA57DA7"/>
    <w:rsid w:val="6FBA6C99"/>
    <w:rsid w:val="6FBD0DA6"/>
    <w:rsid w:val="6FD0434B"/>
    <w:rsid w:val="6FE15236"/>
    <w:rsid w:val="6FE6174C"/>
    <w:rsid w:val="70010D3C"/>
    <w:rsid w:val="70144E1E"/>
    <w:rsid w:val="7016487A"/>
    <w:rsid w:val="70185D77"/>
    <w:rsid w:val="70443804"/>
    <w:rsid w:val="70473925"/>
    <w:rsid w:val="706444E2"/>
    <w:rsid w:val="70880988"/>
    <w:rsid w:val="70895A1B"/>
    <w:rsid w:val="708E5DA6"/>
    <w:rsid w:val="70924802"/>
    <w:rsid w:val="70985F7A"/>
    <w:rsid w:val="70A31B2E"/>
    <w:rsid w:val="70B421DC"/>
    <w:rsid w:val="70B42565"/>
    <w:rsid w:val="70C34B1D"/>
    <w:rsid w:val="70C62943"/>
    <w:rsid w:val="70C87CBD"/>
    <w:rsid w:val="70D65AFF"/>
    <w:rsid w:val="70DC178E"/>
    <w:rsid w:val="70DD08C4"/>
    <w:rsid w:val="70E41EF3"/>
    <w:rsid w:val="70F8773D"/>
    <w:rsid w:val="70FB64F9"/>
    <w:rsid w:val="71074C59"/>
    <w:rsid w:val="710A1731"/>
    <w:rsid w:val="71103140"/>
    <w:rsid w:val="711C7DA4"/>
    <w:rsid w:val="71213EC6"/>
    <w:rsid w:val="71306510"/>
    <w:rsid w:val="717016A9"/>
    <w:rsid w:val="717858C1"/>
    <w:rsid w:val="71AA2F43"/>
    <w:rsid w:val="71BA04EB"/>
    <w:rsid w:val="71BD21C8"/>
    <w:rsid w:val="71CB6C82"/>
    <w:rsid w:val="71DB1B36"/>
    <w:rsid w:val="71E1509E"/>
    <w:rsid w:val="71E92B47"/>
    <w:rsid w:val="71EB2353"/>
    <w:rsid w:val="71F87BA1"/>
    <w:rsid w:val="72015B78"/>
    <w:rsid w:val="72357FAB"/>
    <w:rsid w:val="7255716E"/>
    <w:rsid w:val="72626137"/>
    <w:rsid w:val="72665A6D"/>
    <w:rsid w:val="726D2567"/>
    <w:rsid w:val="7271133E"/>
    <w:rsid w:val="72712C45"/>
    <w:rsid w:val="728A0A13"/>
    <w:rsid w:val="728E0863"/>
    <w:rsid w:val="729F5E3B"/>
    <w:rsid w:val="72B164FA"/>
    <w:rsid w:val="72BA1C7A"/>
    <w:rsid w:val="72DB375B"/>
    <w:rsid w:val="72EA1051"/>
    <w:rsid w:val="7306683B"/>
    <w:rsid w:val="730B67DF"/>
    <w:rsid w:val="73122814"/>
    <w:rsid w:val="732A7C8E"/>
    <w:rsid w:val="73412A55"/>
    <w:rsid w:val="73516887"/>
    <w:rsid w:val="73571055"/>
    <w:rsid w:val="73582E3F"/>
    <w:rsid w:val="7363558A"/>
    <w:rsid w:val="73761D16"/>
    <w:rsid w:val="737E540D"/>
    <w:rsid w:val="73826440"/>
    <w:rsid w:val="738717AA"/>
    <w:rsid w:val="73886E72"/>
    <w:rsid w:val="73AE773D"/>
    <w:rsid w:val="73C30D3F"/>
    <w:rsid w:val="73E62958"/>
    <w:rsid w:val="74107B84"/>
    <w:rsid w:val="743C6D64"/>
    <w:rsid w:val="744E4CFA"/>
    <w:rsid w:val="745F210F"/>
    <w:rsid w:val="74795316"/>
    <w:rsid w:val="747A488B"/>
    <w:rsid w:val="747D2E7E"/>
    <w:rsid w:val="749027E0"/>
    <w:rsid w:val="74970112"/>
    <w:rsid w:val="74A038A7"/>
    <w:rsid w:val="74AC0A0B"/>
    <w:rsid w:val="74B45203"/>
    <w:rsid w:val="74C17599"/>
    <w:rsid w:val="74C7083F"/>
    <w:rsid w:val="74C927B8"/>
    <w:rsid w:val="74DE48B5"/>
    <w:rsid w:val="74E4050C"/>
    <w:rsid w:val="74EB200D"/>
    <w:rsid w:val="7505744A"/>
    <w:rsid w:val="752C41DA"/>
    <w:rsid w:val="75413B47"/>
    <w:rsid w:val="754900E5"/>
    <w:rsid w:val="75554568"/>
    <w:rsid w:val="755C26E8"/>
    <w:rsid w:val="75644119"/>
    <w:rsid w:val="7573166F"/>
    <w:rsid w:val="757B4889"/>
    <w:rsid w:val="758E69FB"/>
    <w:rsid w:val="75DE0BD8"/>
    <w:rsid w:val="761358AF"/>
    <w:rsid w:val="763214D0"/>
    <w:rsid w:val="764B089C"/>
    <w:rsid w:val="765D71CC"/>
    <w:rsid w:val="76696224"/>
    <w:rsid w:val="768C73EA"/>
    <w:rsid w:val="76941347"/>
    <w:rsid w:val="76952949"/>
    <w:rsid w:val="76BB1649"/>
    <w:rsid w:val="76C517F7"/>
    <w:rsid w:val="76F778ED"/>
    <w:rsid w:val="7706427C"/>
    <w:rsid w:val="770A4A47"/>
    <w:rsid w:val="77134C88"/>
    <w:rsid w:val="772237F4"/>
    <w:rsid w:val="7726428D"/>
    <w:rsid w:val="77272BB6"/>
    <w:rsid w:val="772D09D8"/>
    <w:rsid w:val="7736354F"/>
    <w:rsid w:val="774B03D4"/>
    <w:rsid w:val="7783181F"/>
    <w:rsid w:val="77904AE1"/>
    <w:rsid w:val="779F4160"/>
    <w:rsid w:val="779F4250"/>
    <w:rsid w:val="77C65A09"/>
    <w:rsid w:val="77EA5197"/>
    <w:rsid w:val="77F540E6"/>
    <w:rsid w:val="78147F6D"/>
    <w:rsid w:val="78291228"/>
    <w:rsid w:val="785A46C9"/>
    <w:rsid w:val="785B47A6"/>
    <w:rsid w:val="786E1914"/>
    <w:rsid w:val="787E6F3B"/>
    <w:rsid w:val="78A150D5"/>
    <w:rsid w:val="78BD288E"/>
    <w:rsid w:val="78C26D1B"/>
    <w:rsid w:val="78D24C4B"/>
    <w:rsid w:val="78D31FE4"/>
    <w:rsid w:val="78E170E0"/>
    <w:rsid w:val="791242D2"/>
    <w:rsid w:val="792517B8"/>
    <w:rsid w:val="79505F40"/>
    <w:rsid w:val="795F45C9"/>
    <w:rsid w:val="796227B9"/>
    <w:rsid w:val="79644E56"/>
    <w:rsid w:val="796C31DF"/>
    <w:rsid w:val="79712E55"/>
    <w:rsid w:val="797412ED"/>
    <w:rsid w:val="79756285"/>
    <w:rsid w:val="798E7845"/>
    <w:rsid w:val="79940C63"/>
    <w:rsid w:val="799B7FA6"/>
    <w:rsid w:val="79A74E3E"/>
    <w:rsid w:val="79B336F9"/>
    <w:rsid w:val="79BA1A10"/>
    <w:rsid w:val="79BD5BE2"/>
    <w:rsid w:val="79BF4965"/>
    <w:rsid w:val="79D5431C"/>
    <w:rsid w:val="79E7165C"/>
    <w:rsid w:val="79F7044F"/>
    <w:rsid w:val="7A0B45B9"/>
    <w:rsid w:val="7A1A1134"/>
    <w:rsid w:val="7A2E288F"/>
    <w:rsid w:val="7A340027"/>
    <w:rsid w:val="7A435B48"/>
    <w:rsid w:val="7A487DFA"/>
    <w:rsid w:val="7A4C3C45"/>
    <w:rsid w:val="7A5035F9"/>
    <w:rsid w:val="7A57121A"/>
    <w:rsid w:val="7A5840A5"/>
    <w:rsid w:val="7A5E14C6"/>
    <w:rsid w:val="7A6655B1"/>
    <w:rsid w:val="7A7E34F8"/>
    <w:rsid w:val="7A921F36"/>
    <w:rsid w:val="7A963E4E"/>
    <w:rsid w:val="7A984EFD"/>
    <w:rsid w:val="7A990C5D"/>
    <w:rsid w:val="7AA472CD"/>
    <w:rsid w:val="7AAC354F"/>
    <w:rsid w:val="7AAC54AC"/>
    <w:rsid w:val="7AB3038F"/>
    <w:rsid w:val="7ACC2595"/>
    <w:rsid w:val="7ADA134B"/>
    <w:rsid w:val="7AE17EE2"/>
    <w:rsid w:val="7AFE5E4F"/>
    <w:rsid w:val="7B0B0353"/>
    <w:rsid w:val="7B6310CE"/>
    <w:rsid w:val="7B71575A"/>
    <w:rsid w:val="7B982D54"/>
    <w:rsid w:val="7B997937"/>
    <w:rsid w:val="7B9C7F34"/>
    <w:rsid w:val="7BAE0E3B"/>
    <w:rsid w:val="7BB175F7"/>
    <w:rsid w:val="7BCC4F68"/>
    <w:rsid w:val="7BD66775"/>
    <w:rsid w:val="7BD85C80"/>
    <w:rsid w:val="7BDE7E1D"/>
    <w:rsid w:val="7C0E4DD4"/>
    <w:rsid w:val="7C107EEF"/>
    <w:rsid w:val="7C215A1D"/>
    <w:rsid w:val="7C2C4FD1"/>
    <w:rsid w:val="7C3745CE"/>
    <w:rsid w:val="7C4D082B"/>
    <w:rsid w:val="7C64015D"/>
    <w:rsid w:val="7C65549B"/>
    <w:rsid w:val="7C720135"/>
    <w:rsid w:val="7C734E9D"/>
    <w:rsid w:val="7C7A6AFC"/>
    <w:rsid w:val="7C824DEB"/>
    <w:rsid w:val="7C8738F4"/>
    <w:rsid w:val="7C8847C9"/>
    <w:rsid w:val="7C8E12AD"/>
    <w:rsid w:val="7C9670AF"/>
    <w:rsid w:val="7C9C1AA8"/>
    <w:rsid w:val="7CB13663"/>
    <w:rsid w:val="7CEF282B"/>
    <w:rsid w:val="7CF2102D"/>
    <w:rsid w:val="7D056F49"/>
    <w:rsid w:val="7D465F49"/>
    <w:rsid w:val="7D477F30"/>
    <w:rsid w:val="7D4F5269"/>
    <w:rsid w:val="7D4F6FB1"/>
    <w:rsid w:val="7D513693"/>
    <w:rsid w:val="7D557ED3"/>
    <w:rsid w:val="7D5B62C7"/>
    <w:rsid w:val="7D8A7840"/>
    <w:rsid w:val="7D9E54C4"/>
    <w:rsid w:val="7DA673E3"/>
    <w:rsid w:val="7DE41875"/>
    <w:rsid w:val="7E0A40E1"/>
    <w:rsid w:val="7E1009ED"/>
    <w:rsid w:val="7E114F02"/>
    <w:rsid w:val="7E315E55"/>
    <w:rsid w:val="7E332E6F"/>
    <w:rsid w:val="7E5265DD"/>
    <w:rsid w:val="7E5C1A56"/>
    <w:rsid w:val="7E7F0E22"/>
    <w:rsid w:val="7E82567E"/>
    <w:rsid w:val="7E8D70C0"/>
    <w:rsid w:val="7E8E4DEC"/>
    <w:rsid w:val="7E934F72"/>
    <w:rsid w:val="7EAB10C4"/>
    <w:rsid w:val="7EB73BB6"/>
    <w:rsid w:val="7EB81934"/>
    <w:rsid w:val="7EBE0C7B"/>
    <w:rsid w:val="7EC05452"/>
    <w:rsid w:val="7EC643B8"/>
    <w:rsid w:val="7EDF72F1"/>
    <w:rsid w:val="7EF60BE3"/>
    <w:rsid w:val="7F423931"/>
    <w:rsid w:val="7F446E06"/>
    <w:rsid w:val="7F6437A5"/>
    <w:rsid w:val="7F6D6DAB"/>
    <w:rsid w:val="7F6D77B3"/>
    <w:rsid w:val="7F7E6F3B"/>
    <w:rsid w:val="7F861593"/>
    <w:rsid w:val="7FB15874"/>
    <w:rsid w:val="7FCB191D"/>
    <w:rsid w:val="7FD91CDF"/>
    <w:rsid w:val="7FDD2E8A"/>
    <w:rsid w:val="7FE248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6"/>
      <w:szCs w:val="24"/>
      <w:lang w:val="en-US" w:eastAsia="zh-CN" w:bidi="ar-SA"/>
    </w:rPr>
  </w:style>
  <w:style w:type="paragraph" w:styleId="2">
    <w:name w:val="heading 1"/>
    <w:basedOn w:val="1"/>
    <w:next w:val="1"/>
    <w:link w:val="126"/>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99"/>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106"/>
    <w:qFormat/>
    <w:uiPriority w:val="0"/>
    <w:pPr>
      <w:keepNext/>
      <w:keepLines/>
      <w:spacing w:before="260" w:beforeLines="0" w:after="260" w:afterLines="0" w:line="413" w:lineRule="auto"/>
      <w:jc w:val="center"/>
      <w:outlineLvl w:val="2"/>
    </w:pPr>
    <w:rPr>
      <w:rFonts w:eastAsia="楷体_GB2312"/>
      <w:b/>
      <w:bCs/>
      <w:sz w:val="32"/>
      <w:szCs w:val="32"/>
    </w:rPr>
  </w:style>
  <w:style w:type="paragraph" w:styleId="5">
    <w:name w:val="heading 4"/>
    <w:basedOn w:val="1"/>
    <w:next w:val="1"/>
    <w:link w:val="177"/>
    <w:qFormat/>
    <w:uiPriority w:val="0"/>
    <w:pPr>
      <w:keepNext/>
      <w:keepLines/>
      <w:spacing w:before="280" w:beforeLines="0" w:after="290" w:afterLines="0" w:line="372" w:lineRule="auto"/>
      <w:outlineLvl w:val="3"/>
    </w:pPr>
    <w:rPr>
      <w:rFonts w:ascii="Cambria" w:hAnsi="Cambria"/>
      <w:b/>
      <w:bCs/>
      <w:sz w:val="28"/>
      <w:szCs w:val="28"/>
    </w:rPr>
  </w:style>
  <w:style w:type="paragraph" w:styleId="6">
    <w:name w:val="heading 5"/>
    <w:basedOn w:val="1"/>
    <w:next w:val="1"/>
    <w:link w:val="135"/>
    <w:qFormat/>
    <w:uiPriority w:val="0"/>
    <w:pPr>
      <w:keepNext/>
      <w:keepLines/>
      <w:spacing w:before="280" w:beforeLines="0" w:after="290" w:afterLines="0" w:line="372" w:lineRule="auto"/>
      <w:outlineLvl w:val="4"/>
    </w:pPr>
    <w:rPr>
      <w:b/>
      <w:bCs/>
      <w:sz w:val="28"/>
      <w:szCs w:val="28"/>
    </w:rPr>
  </w:style>
  <w:style w:type="paragraph" w:styleId="7">
    <w:name w:val="heading 6"/>
    <w:basedOn w:val="1"/>
    <w:next w:val="1"/>
    <w:link w:val="142"/>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8">
    <w:name w:val="heading 7"/>
    <w:basedOn w:val="1"/>
    <w:next w:val="1"/>
    <w:link w:val="65"/>
    <w:qFormat/>
    <w:uiPriority w:val="0"/>
    <w:pPr>
      <w:keepNext/>
      <w:keepLines/>
      <w:spacing w:before="240" w:after="64" w:line="320" w:lineRule="auto"/>
      <w:outlineLvl w:val="6"/>
    </w:pPr>
    <w:rPr>
      <w:b/>
      <w:bCs/>
      <w:sz w:val="24"/>
    </w:rPr>
  </w:style>
  <w:style w:type="paragraph" w:styleId="9">
    <w:name w:val="heading 8"/>
    <w:basedOn w:val="1"/>
    <w:next w:val="1"/>
    <w:link w:val="168"/>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0">
    <w:name w:val="heading 9"/>
    <w:basedOn w:val="1"/>
    <w:next w:val="1"/>
    <w:link w:val="139"/>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41">
    <w:name w:val="Default Paragraph Font"/>
    <w:uiPriority w:val="0"/>
  </w:style>
  <w:style w:type="table" w:default="1" w:styleId="39">
    <w:name w:val="Normal Table"/>
    <w:semiHidden/>
    <w:uiPriority w:val="0"/>
    <w:tblPr>
      <w:tblStyle w:val="39"/>
      <w:tblCellMar>
        <w:top w:w="0" w:type="dxa"/>
        <w:left w:w="108" w:type="dxa"/>
        <w:bottom w:w="0" w:type="dxa"/>
        <w:right w:w="108" w:type="dxa"/>
      </w:tblCellMar>
    </w:tblPr>
  </w:style>
  <w:style w:type="paragraph" w:styleId="11">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link w:val="91"/>
    <w:uiPriority w:val="0"/>
    <w:pPr>
      <w:ind w:firstLine="420"/>
    </w:pPr>
    <w:rPr>
      <w:sz w:val="21"/>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94"/>
    <w:uiPriority w:val="0"/>
    <w:pPr>
      <w:shd w:val="clear" w:color="auto" w:fill="000080"/>
    </w:pPr>
  </w:style>
  <w:style w:type="paragraph" w:styleId="15">
    <w:name w:val="annotation text"/>
    <w:basedOn w:val="1"/>
    <w:link w:val="53"/>
    <w:uiPriority w:val="0"/>
    <w:pPr>
      <w:jc w:val="left"/>
    </w:pPr>
  </w:style>
  <w:style w:type="paragraph" w:styleId="16">
    <w:name w:val="Salutation"/>
    <w:basedOn w:val="1"/>
    <w:next w:val="1"/>
    <w:link w:val="144"/>
    <w:unhideWhenUsed/>
    <w:uiPriority w:val="0"/>
    <w:pPr>
      <w:widowControl/>
      <w:jc w:val="left"/>
    </w:pPr>
    <w:rPr>
      <w:rFonts w:eastAsia="Times New Roman"/>
      <w:kern w:val="0"/>
      <w:sz w:val="16"/>
      <w:szCs w:val="16"/>
      <w:lang/>
    </w:rPr>
  </w:style>
  <w:style w:type="paragraph" w:styleId="17">
    <w:name w:val="Body Text 3"/>
    <w:basedOn w:val="1"/>
    <w:uiPriority w:val="0"/>
    <w:pPr>
      <w:spacing w:after="120" w:afterLines="0"/>
    </w:pPr>
    <w:rPr>
      <w:sz w:val="16"/>
      <w:szCs w:val="16"/>
    </w:rPr>
  </w:style>
  <w:style w:type="paragraph" w:styleId="18">
    <w:name w:val="Body Text"/>
    <w:basedOn w:val="1"/>
    <w:link w:val="97"/>
    <w:uiPriority w:val="0"/>
    <w:pPr>
      <w:spacing w:after="120" w:afterLines="0"/>
    </w:pPr>
    <w:rPr>
      <w:rFonts w:ascii="Calibri" w:hAnsi="Calibri"/>
      <w:sz w:val="21"/>
      <w:szCs w:val="22"/>
    </w:rPr>
  </w:style>
  <w:style w:type="paragraph" w:styleId="19">
    <w:name w:val="Body Text Indent"/>
    <w:basedOn w:val="1"/>
    <w:link w:val="63"/>
    <w:uiPriority w:val="0"/>
    <w:pPr>
      <w:adjustRightInd w:val="0"/>
      <w:spacing w:line="500" w:lineRule="atLeast"/>
      <w:ind w:firstLine="210"/>
      <w:textAlignment w:val="baseline"/>
    </w:pPr>
    <w:rPr>
      <w:rFonts w:ascii="仿宋_GB2312" w:eastAsia="仿宋_GB2312"/>
      <w:kern w:val="0"/>
      <w:sz w:val="24"/>
      <w:szCs w:val="20"/>
    </w:rPr>
  </w:style>
  <w:style w:type="paragraph" w:styleId="20">
    <w:name w:val="List Number 3"/>
    <w:basedOn w:val="1"/>
    <w:uiPriority w:val="0"/>
    <w:pPr>
      <w:numPr>
        <w:ilvl w:val="0"/>
        <w:numId w:val="1"/>
      </w:numPr>
      <w:tabs>
        <w:tab w:val="left" w:pos="1200"/>
      </w:tabs>
    </w:pPr>
    <w:rPr>
      <w:sz w:val="21"/>
    </w:rPr>
  </w:style>
  <w:style w:type="paragraph" w:styleId="21">
    <w:name w:val="List 2"/>
    <w:basedOn w:val="1"/>
    <w:uiPriority w:val="0"/>
    <w:pPr>
      <w:ind w:left="100" w:leftChars="200" w:hanging="200" w:hangingChars="200"/>
    </w:pPr>
    <w:rPr>
      <w:sz w:val="28"/>
    </w:rPr>
  </w:style>
  <w:style w:type="paragraph" w:styleId="22">
    <w:name w:val="toc 3"/>
    <w:basedOn w:val="1"/>
    <w:next w:val="1"/>
    <w:uiPriority w:val="0"/>
    <w:pPr>
      <w:ind w:left="840" w:leftChars="400"/>
    </w:pPr>
  </w:style>
  <w:style w:type="paragraph" w:styleId="23">
    <w:name w:val="Plain Text"/>
    <w:basedOn w:val="1"/>
    <w:link w:val="123"/>
    <w:uiPriority w:val="0"/>
    <w:rPr>
      <w:rFonts w:ascii="宋体" w:hAnsi="Courier New"/>
      <w:sz w:val="21"/>
      <w:szCs w:val="20"/>
    </w:rPr>
  </w:style>
  <w:style w:type="paragraph" w:styleId="24">
    <w:name w:val="Date"/>
    <w:basedOn w:val="1"/>
    <w:next w:val="1"/>
    <w:uiPriority w:val="0"/>
    <w:pPr>
      <w:ind w:left="100" w:leftChars="2500"/>
    </w:pPr>
  </w:style>
  <w:style w:type="paragraph" w:styleId="25">
    <w:name w:val="Body Text Indent 2"/>
    <w:basedOn w:val="1"/>
    <w:link w:val="176"/>
    <w:uiPriority w:val="0"/>
    <w:pPr>
      <w:spacing w:after="120" w:afterLines="0" w:line="480" w:lineRule="auto"/>
      <w:ind w:left="420" w:leftChars="200"/>
    </w:pPr>
  </w:style>
  <w:style w:type="paragraph" w:styleId="26">
    <w:name w:val="Balloon Text"/>
    <w:basedOn w:val="1"/>
    <w:link w:val="109"/>
    <w:uiPriority w:val="0"/>
    <w:rPr>
      <w:sz w:val="18"/>
      <w:szCs w:val="18"/>
    </w:rPr>
  </w:style>
  <w:style w:type="paragraph" w:styleId="27">
    <w:name w:val="footer"/>
    <w:basedOn w:val="1"/>
    <w:link w:val="86"/>
    <w:uiPriority w:val="0"/>
    <w:pPr>
      <w:tabs>
        <w:tab w:val="center" w:pos="4153"/>
        <w:tab w:val="right" w:pos="8306"/>
      </w:tabs>
      <w:snapToGrid w:val="0"/>
      <w:jc w:val="left"/>
    </w:pPr>
    <w:rPr>
      <w:sz w:val="18"/>
      <w:szCs w:val="18"/>
    </w:rPr>
  </w:style>
  <w:style w:type="paragraph" w:styleId="28">
    <w:name w:val="header"/>
    <w:basedOn w:val="1"/>
    <w:link w:val="122"/>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iPriority w:val="0"/>
    <w:pPr>
      <w:tabs>
        <w:tab w:val="right" w:leader="dot" w:pos="9628"/>
      </w:tabs>
      <w:jc w:val="center"/>
    </w:pPr>
    <w:rPr>
      <w:b/>
      <w:sz w:val="52"/>
      <w:szCs w:val="52"/>
    </w:rPr>
  </w:style>
  <w:style w:type="paragraph" w:styleId="30">
    <w:name w:val="List"/>
    <w:basedOn w:val="1"/>
    <w:uiPriority w:val="0"/>
    <w:pPr>
      <w:ind w:left="200" w:hanging="200" w:hangingChars="200"/>
    </w:pPr>
    <w:rPr>
      <w:sz w:val="28"/>
    </w:rPr>
  </w:style>
  <w:style w:type="paragraph" w:styleId="31">
    <w:name w:val="footnote text"/>
    <w:basedOn w:val="1"/>
    <w:link w:val="136"/>
    <w:uiPriority w:val="0"/>
    <w:pPr>
      <w:snapToGrid w:val="0"/>
      <w:jc w:val="left"/>
    </w:pPr>
    <w:rPr>
      <w:rFonts w:eastAsia="Times New Roman"/>
      <w:sz w:val="16"/>
      <w:szCs w:val="16"/>
      <w:lang/>
    </w:rPr>
  </w:style>
  <w:style w:type="paragraph" w:styleId="32">
    <w:name w:val="Body Text Indent 3"/>
    <w:basedOn w:val="1"/>
    <w:link w:val="154"/>
    <w:uiPriority w:val="0"/>
    <w:pPr>
      <w:spacing w:after="120" w:afterLines="0"/>
      <w:ind w:left="420" w:leftChars="200"/>
    </w:pPr>
    <w:rPr>
      <w:sz w:val="16"/>
      <w:szCs w:val="16"/>
    </w:rPr>
  </w:style>
  <w:style w:type="paragraph" w:styleId="33">
    <w:name w:val="toc 2"/>
    <w:basedOn w:val="1"/>
    <w:next w:val="1"/>
    <w:uiPriority w:val="0"/>
    <w:pPr>
      <w:ind w:left="420" w:leftChars="200"/>
    </w:pPr>
  </w:style>
  <w:style w:type="paragraph" w:styleId="34">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 w:type="paragraph" w:styleId="3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7">
    <w:name w:val="annotation subject"/>
    <w:basedOn w:val="15"/>
    <w:next w:val="15"/>
    <w:link w:val="104"/>
    <w:uiPriority w:val="0"/>
    <w:rPr>
      <w:b/>
      <w:bCs/>
    </w:rPr>
  </w:style>
  <w:style w:type="paragraph" w:styleId="38">
    <w:name w:val="Body Text First Indent"/>
    <w:basedOn w:val="18"/>
    <w:link w:val="111"/>
    <w:uiPriority w:val="0"/>
    <w:pPr>
      <w:ind w:firstLine="420" w:firstLineChars="100"/>
    </w:pPr>
  </w:style>
  <w:style w:type="table" w:styleId="40">
    <w:name w:val="Table Grid"/>
    <w:basedOn w:val="39"/>
    <w:uiPriority w:val="0"/>
    <w:pPr>
      <w:widowControl w:val="0"/>
      <w:jc w:val="both"/>
    </w:pPr>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uiPriority w:val="0"/>
  </w:style>
  <w:style w:type="character" w:styleId="44">
    <w:name w:val="FollowedHyperlink"/>
    <w:uiPriority w:val="0"/>
    <w:rPr>
      <w:color w:val="800080"/>
      <w:u w:val="single"/>
    </w:rPr>
  </w:style>
  <w:style w:type="character" w:styleId="45">
    <w:name w:val="HTML Typewriter"/>
    <w:uiPriority w:val="0"/>
    <w:rPr>
      <w:rFonts w:ascii="Arial Unicode MS" w:hAnsi="Arial Unicode MS" w:eastAsia="Courier New" w:cs="Courier New"/>
      <w:sz w:val="18"/>
      <w:szCs w:val="18"/>
    </w:rPr>
  </w:style>
  <w:style w:type="character" w:styleId="46">
    <w:name w:val="Hyperlink"/>
    <w:uiPriority w:val="0"/>
    <w:rPr>
      <w:color w:val="0000FF"/>
      <w:u w:val="single"/>
    </w:rPr>
  </w:style>
  <w:style w:type="character" w:styleId="47">
    <w:name w:val="annotation reference"/>
    <w:uiPriority w:val="0"/>
    <w:rPr>
      <w:sz w:val="21"/>
      <w:szCs w:val="21"/>
    </w:rPr>
  </w:style>
  <w:style w:type="character" w:customStyle="1" w:styleId="48">
    <w:name w:val="Body Text Indent 3 Char1"/>
    <w:semiHidden/>
    <w:locked/>
    <w:uiPriority w:val="0"/>
    <w:rPr>
      <w:rFonts w:cs="Times New Roman"/>
      <w:sz w:val="16"/>
      <w:szCs w:val="16"/>
    </w:rPr>
  </w:style>
  <w:style w:type="character" w:customStyle="1" w:styleId="49">
    <w:name w:val="正文文本 Char"/>
    <w:uiPriority w:val="0"/>
    <w:rPr>
      <w:rFonts w:ascii="Calibri" w:hAnsi="Calibri" w:eastAsia="宋体"/>
      <w:kern w:val="2"/>
      <w:sz w:val="21"/>
      <w:szCs w:val="22"/>
      <w:lang w:val="en-US" w:eastAsia="zh-CN" w:bidi="ar-SA"/>
    </w:rPr>
  </w:style>
  <w:style w:type="character" w:customStyle="1" w:styleId="50">
    <w:name w:val="标题 3 Char"/>
    <w:aliases w:val="h3 Char,H3 Char,l3 Char,CT Char,标题 33 Char,3rd level Char,3 Char,Heading 3 - old Char,heading 3 Char,Heading 4 - old Char,sect1.2.3 Char,L1 Heading 3 Char,h31 Char,h32 Char,h33 Char,h311 Char,h321 Char,h34 Char,h312 Char,h322 Char,h331 Char"/>
    <w:uiPriority w:val="0"/>
    <w:rPr>
      <w:rFonts w:eastAsia="楷体_GB2312"/>
      <w:b/>
      <w:bCs/>
      <w:kern w:val="2"/>
      <w:sz w:val="32"/>
      <w:szCs w:val="32"/>
      <w:lang w:val="en-US" w:eastAsia="zh-CN" w:bidi="ar-SA"/>
    </w:rPr>
  </w:style>
  <w:style w:type="character" w:customStyle="1" w:styleId="51">
    <w:name w:val="正文文本缩进 Char Char"/>
    <w:uiPriority w:val="0"/>
    <w:rPr>
      <w:rFonts w:ascii="仿宋_GB2312" w:eastAsia="仿宋_GB2312"/>
      <w:sz w:val="24"/>
      <w:lang w:val="en-US" w:eastAsia="zh-CN" w:bidi="ar-SA"/>
    </w:rPr>
  </w:style>
  <w:style w:type="character" w:customStyle="1" w:styleId="52">
    <w:name w:val="页眉 Char2"/>
    <w:uiPriority w:val="0"/>
    <w:rPr>
      <w:rFonts w:eastAsia="宋体"/>
      <w:kern w:val="2"/>
      <w:sz w:val="18"/>
      <w:szCs w:val="18"/>
      <w:lang w:val="en-US" w:eastAsia="zh-CN" w:bidi="ar-SA"/>
    </w:rPr>
  </w:style>
  <w:style w:type="character" w:customStyle="1" w:styleId="53">
    <w:name w:val="批注文字 Char1"/>
    <w:link w:val="15"/>
    <w:uiPriority w:val="0"/>
    <w:rPr>
      <w:rFonts w:eastAsia="宋体"/>
      <w:kern w:val="2"/>
      <w:sz w:val="36"/>
      <w:szCs w:val="24"/>
      <w:lang w:val="en-US" w:eastAsia="zh-CN" w:bidi="ar-SA"/>
    </w:rPr>
  </w:style>
  <w:style w:type="character" w:customStyle="1" w:styleId="54">
    <w:name w:val="标书的正文 Char"/>
    <w:uiPriority w:val="0"/>
    <w:rPr>
      <w:rFonts w:ascii="宋体" w:hAnsi="宋体" w:eastAsia="宋体" w:cs="宋体"/>
      <w:b/>
      <w:color w:val="000000"/>
      <w:kern w:val="2"/>
      <w:sz w:val="24"/>
      <w:szCs w:val="24"/>
      <w:lang w:val="en-US" w:eastAsia="zh-CN" w:bidi="ar-SA"/>
    </w:rPr>
  </w:style>
  <w:style w:type="character" w:customStyle="1" w:styleId="55">
    <w:name w:val="标书正文 Char1"/>
    <w:link w:val="56"/>
    <w:uiPriority w:val="0"/>
    <w:rPr>
      <w:rFonts w:ascii="宋体" w:hAnsi="宋体" w:eastAsia="宋体" w:cs="宋体"/>
      <w:bCs/>
      <w:spacing w:val="8"/>
      <w:sz w:val="24"/>
      <w:szCs w:val="24"/>
      <w:lang w:val="en-US" w:eastAsia="zh-CN" w:bidi="ar-SA"/>
    </w:rPr>
  </w:style>
  <w:style w:type="paragraph" w:customStyle="1" w:styleId="56">
    <w:name w:val="标书正文"/>
    <w:basedOn w:val="18"/>
    <w:link w:val="55"/>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57">
    <w:name w:val="Heading 3 Char"/>
    <w:locked/>
    <w:uiPriority w:val="0"/>
    <w:rPr>
      <w:rFonts w:cs="Times New Roman"/>
      <w:b/>
      <w:bCs/>
      <w:sz w:val="32"/>
      <w:szCs w:val="32"/>
    </w:rPr>
  </w:style>
  <w:style w:type="character" w:customStyle="1" w:styleId="58">
    <w:name w:val="标题 4 Char Char"/>
    <w:uiPriority w:val="0"/>
    <w:rPr>
      <w:rFonts w:ascii="Cambria" w:hAnsi="Cambria" w:eastAsia="宋体"/>
      <w:b/>
      <w:bCs/>
      <w:kern w:val="2"/>
      <w:sz w:val="28"/>
      <w:szCs w:val="28"/>
      <w:lang w:val="en-US" w:eastAsia="zh-CN" w:bidi="ar-SA"/>
    </w:rPr>
  </w:style>
  <w:style w:type="character" w:customStyle="1" w:styleId="59">
    <w:name w:val="Char Char16"/>
    <w:uiPriority w:val="0"/>
    <w:rPr>
      <w:rFonts w:eastAsia="宋体"/>
      <w:b/>
      <w:bCs/>
      <w:kern w:val="44"/>
      <w:sz w:val="44"/>
      <w:szCs w:val="44"/>
      <w:lang w:val="en-US" w:eastAsia="zh-CN" w:bidi="ar-SA"/>
    </w:rPr>
  </w:style>
  <w:style w:type="character" w:customStyle="1" w:styleId="60">
    <w:name w:val="正文文本缩进 2 Char"/>
    <w:aliases w:val="正文文本缩进 2 Char Char Char Char Char Char Char Char Char Char,正文文本缩进 2 Char Char Char1,正文文本缩进 2 Char Char Char Char Char,正文文本缩进 2 Char Char Char Char1"/>
    <w:uiPriority w:val="0"/>
    <w:rPr>
      <w:rFonts w:eastAsia="宋体"/>
      <w:kern w:val="2"/>
      <w:sz w:val="36"/>
      <w:szCs w:val="24"/>
      <w:lang w:val="en-US" w:eastAsia="zh-CN" w:bidi="ar-SA"/>
    </w:rPr>
  </w:style>
  <w:style w:type="character" w:customStyle="1" w:styleId="61">
    <w:name w:val="标题 3 Char Char"/>
    <w:uiPriority w:val="0"/>
    <w:rPr>
      <w:rFonts w:eastAsia="楷体_GB2312"/>
      <w:b/>
      <w:bCs/>
      <w:kern w:val="2"/>
      <w:sz w:val="32"/>
      <w:szCs w:val="32"/>
      <w:lang w:val="en-US" w:eastAsia="zh-CN" w:bidi="ar-SA"/>
    </w:rPr>
  </w:style>
  <w:style w:type="character" w:customStyle="1" w:styleId="62">
    <w:name w:val="纯文本 Char"/>
    <w:uiPriority w:val="0"/>
    <w:rPr>
      <w:rFonts w:ascii="宋体" w:hAnsi="Courier New" w:eastAsia="宋体"/>
      <w:kern w:val="2"/>
      <w:sz w:val="21"/>
      <w:lang w:val="en-US" w:eastAsia="zh-CN" w:bidi="ar-SA"/>
    </w:rPr>
  </w:style>
  <w:style w:type="character" w:customStyle="1" w:styleId="63">
    <w:name w:val="正文文本缩进 Char1"/>
    <w:link w:val="19"/>
    <w:uiPriority w:val="0"/>
    <w:rPr>
      <w:rFonts w:ascii="仿宋_GB2312" w:eastAsia="仿宋_GB2312"/>
      <w:sz w:val="24"/>
      <w:lang w:val="en-US" w:eastAsia="zh-CN" w:bidi="ar-SA"/>
    </w:rPr>
  </w:style>
  <w:style w:type="character" w:customStyle="1" w:styleId="64">
    <w:name w:val="批注主题 Char"/>
    <w:uiPriority w:val="0"/>
    <w:rPr>
      <w:rFonts w:eastAsia="宋体"/>
      <w:b/>
      <w:bCs/>
      <w:kern w:val="2"/>
      <w:sz w:val="36"/>
      <w:szCs w:val="24"/>
      <w:lang w:val="en-US" w:eastAsia="zh-CN" w:bidi="ar-SA"/>
    </w:rPr>
  </w:style>
  <w:style w:type="character" w:customStyle="1" w:styleId="65">
    <w:name w:val="标题 7 Char"/>
    <w:link w:val="8"/>
    <w:uiPriority w:val="0"/>
    <w:rPr>
      <w:rFonts w:eastAsia="宋体"/>
      <w:b/>
      <w:bCs/>
      <w:kern w:val="2"/>
      <w:sz w:val="24"/>
      <w:szCs w:val="24"/>
      <w:lang w:val="en-US" w:eastAsia="zh-CN" w:bidi="ar-SA"/>
    </w:rPr>
  </w:style>
  <w:style w:type="character" w:customStyle="1" w:styleId="66">
    <w:name w:val="页眉 Char1"/>
    <w:uiPriority w:val="0"/>
    <w:rPr>
      <w:rFonts w:eastAsia="宋体"/>
      <w:kern w:val="2"/>
      <w:sz w:val="18"/>
      <w:lang w:val="en-US" w:eastAsia="zh-CN"/>
    </w:rPr>
  </w:style>
  <w:style w:type="character" w:customStyle="1" w:styleId="67">
    <w:name w:val=" Char Char12"/>
    <w:uiPriority w:val="0"/>
    <w:rPr>
      <w:rFonts w:ascii="Arial" w:hAnsi="Arial" w:eastAsia="黑体"/>
      <w:b/>
      <w:bCs/>
      <w:kern w:val="2"/>
      <w:sz w:val="32"/>
      <w:szCs w:val="32"/>
      <w:lang w:val="en-US" w:eastAsia="zh-CN" w:bidi="ar-SA"/>
    </w:rPr>
  </w:style>
  <w:style w:type="character" w:customStyle="1" w:styleId="68">
    <w:name w:val="金保标题2 Char Char"/>
    <w:link w:val="69"/>
    <w:uiPriority w:val="0"/>
    <w:rPr>
      <w:rFonts w:ascii="宋体" w:hAnsi="宋体" w:eastAsia="宋体" w:cs="宋体"/>
      <w:b/>
      <w:sz w:val="24"/>
      <w:szCs w:val="24"/>
      <w:lang w:val="en-US" w:eastAsia="zh-CN" w:bidi="ar-SA"/>
    </w:rPr>
  </w:style>
  <w:style w:type="paragraph" w:customStyle="1" w:styleId="69">
    <w:name w:val="金保标题2"/>
    <w:basedOn w:val="3"/>
    <w:next w:val="1"/>
    <w:link w:val="68"/>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70">
    <w:name w:val="正文首行缩进 Char1"/>
    <w:uiPriority w:val="0"/>
    <w:rPr>
      <w:rFonts w:ascii="Calibri" w:hAnsi="Calibri" w:eastAsia="宋体" w:cs="Times New Roman"/>
      <w:kern w:val="2"/>
      <w:sz w:val="21"/>
      <w:szCs w:val="22"/>
      <w:lang w:val="en-US" w:eastAsia="zh-CN" w:bidi="ar-SA"/>
    </w:rPr>
  </w:style>
  <w:style w:type="character" w:customStyle="1" w:styleId="71">
    <w:name w:val="列出段落 Char"/>
    <w:link w:val="72"/>
    <w:locked/>
    <w:uiPriority w:val="0"/>
    <w:rPr>
      <w:rFonts w:ascii="Calibri" w:hAnsi="Calibri" w:eastAsia="宋体"/>
      <w:kern w:val="2"/>
      <w:sz w:val="21"/>
      <w:szCs w:val="22"/>
      <w:lang w:val="en-US" w:eastAsia="zh-CN" w:bidi="ar-SA"/>
    </w:rPr>
  </w:style>
  <w:style w:type="paragraph" w:customStyle="1" w:styleId="72">
    <w:name w:val="列出段落2"/>
    <w:basedOn w:val="1"/>
    <w:link w:val="71"/>
    <w:qFormat/>
    <w:uiPriority w:val="0"/>
    <w:pPr>
      <w:ind w:firstLine="420" w:firstLineChars="200"/>
    </w:pPr>
    <w:rPr>
      <w:rFonts w:ascii="Calibri" w:hAnsi="Calibri"/>
      <w:sz w:val="21"/>
      <w:szCs w:val="22"/>
    </w:rPr>
  </w:style>
  <w:style w:type="character" w:customStyle="1" w:styleId="73">
    <w:name w:val="第三层条 Char1"/>
    <w:aliases w:val="bullet Char1,bl Char1,bb Char1,L4 Char1,h4 Char1,4th level Char1,H4 Char1,4 Char1,PIM 4 Char1,4heading Char1,sect 1.2.3.4 Char1,Ref Heading 1 Char1,rh1 Char1,sect 1.2.3.41 Char1,Ref Heading 11 Char1,rh11 Char1,sect 1.2.3.42 Char1,rh12 Char"/>
    <w:uiPriority w:val="0"/>
    <w:rPr>
      <w:rFonts w:ascii="Cambria" w:hAnsi="Cambria" w:eastAsia="宋体"/>
      <w:b/>
      <w:bCs/>
      <w:kern w:val="2"/>
      <w:sz w:val="28"/>
      <w:szCs w:val="28"/>
      <w:lang w:val="en-US" w:eastAsia="zh-CN" w:bidi="ar-SA"/>
    </w:rPr>
  </w:style>
  <w:style w:type="character" w:customStyle="1" w:styleId="74">
    <w:name w:val="正文缩进 Char"/>
    <w:aliases w:val="正文编号 Char,正文非缩进 Char Char Char Char Char Char Char Char Char Char Char Char Char Char Char Char Char,四号 Char Char Char Char Char,四号 Char Char1,正文8 Char Char Char1,正文8 Char Char Char Char,四号 Char Char Char Char1"/>
    <w:uiPriority w:val="0"/>
    <w:rPr>
      <w:rFonts w:eastAsia="宋体"/>
      <w:kern w:val="2"/>
      <w:sz w:val="21"/>
      <w:lang w:val="en-US" w:eastAsia="zh-CN" w:bidi="ar-SA"/>
    </w:rPr>
  </w:style>
  <w:style w:type="character" w:customStyle="1" w:styleId="75">
    <w:name w:val="样式 正文（首行缩进两字） + 宋体 Char"/>
    <w:uiPriority w:val="0"/>
    <w:rPr>
      <w:rFonts w:ascii="宋体" w:hAnsi="宋体" w:eastAsia="宋体"/>
      <w:spacing w:val="6"/>
      <w:kern w:val="24"/>
      <w:sz w:val="24"/>
      <w:szCs w:val="24"/>
      <w:lang w:val="en-US" w:eastAsia="zh-CN" w:bidi="ar-SA"/>
    </w:rPr>
  </w:style>
  <w:style w:type="character" w:customStyle="1" w:styleId="76">
    <w:name w:val="正文文本缩进 2 Char Char"/>
    <w:uiPriority w:val="0"/>
    <w:rPr>
      <w:rFonts w:eastAsia="宋体"/>
      <w:kern w:val="2"/>
      <w:sz w:val="36"/>
      <w:szCs w:val="24"/>
      <w:lang w:val="en-US" w:eastAsia="zh-CN" w:bidi="ar-SA"/>
    </w:rPr>
  </w:style>
  <w:style w:type="character" w:customStyle="1" w:styleId="77">
    <w:name w:val="Body Text Indent 3 Char"/>
    <w:locked/>
    <w:uiPriority w:val="0"/>
    <w:rPr>
      <w:sz w:val="16"/>
    </w:rPr>
  </w:style>
  <w:style w:type="character" w:customStyle="1" w:styleId="78">
    <w:name w:val="页眉 Char Char"/>
    <w:uiPriority w:val="0"/>
    <w:rPr>
      <w:rFonts w:eastAsia="宋体"/>
      <w:kern w:val="2"/>
      <w:sz w:val="18"/>
      <w:lang w:val="en-US" w:eastAsia="zh-CN"/>
    </w:rPr>
  </w:style>
  <w:style w:type="character" w:customStyle="1" w:styleId="79">
    <w:name w:val="font61"/>
    <w:basedOn w:val="41"/>
    <w:qFormat/>
    <w:uiPriority w:val="0"/>
    <w:rPr>
      <w:color w:val="000000"/>
      <w:sz w:val="20"/>
      <w:u w:val="none"/>
    </w:rPr>
  </w:style>
  <w:style w:type="character" w:customStyle="1" w:styleId="80">
    <w:name w:val="批注主题 Char Char"/>
    <w:uiPriority w:val="0"/>
    <w:rPr>
      <w:rFonts w:eastAsia="宋体"/>
      <w:b/>
      <w:bCs/>
      <w:kern w:val="2"/>
      <w:sz w:val="36"/>
      <w:szCs w:val="24"/>
      <w:lang w:val="en-US" w:eastAsia="zh-CN" w:bidi="ar-SA"/>
    </w:rPr>
  </w:style>
  <w:style w:type="character" w:customStyle="1" w:styleId="81">
    <w:name w:val="textcontents"/>
    <w:basedOn w:val="41"/>
    <w:uiPriority w:val="0"/>
  </w:style>
  <w:style w:type="character" w:customStyle="1" w:styleId="82">
    <w:name w:val="正文文本缩进 3 Char"/>
    <w:uiPriority w:val="0"/>
    <w:rPr>
      <w:rFonts w:ascii="Times New Roman" w:hAnsi="Times New Roman" w:eastAsia="宋体" w:cs="Times New Roman"/>
      <w:sz w:val="16"/>
      <w:szCs w:val="16"/>
    </w:rPr>
  </w:style>
  <w:style w:type="character" w:customStyle="1" w:styleId="83">
    <w:name w:val="font31"/>
    <w:basedOn w:val="41"/>
    <w:qFormat/>
    <w:uiPriority w:val="0"/>
    <w:rPr>
      <w:color w:val="000000"/>
      <w:sz w:val="20"/>
      <w:u w:val="none"/>
    </w:rPr>
  </w:style>
  <w:style w:type="character" w:customStyle="1" w:styleId="84">
    <w:name w:val="表格 Char Char"/>
    <w:link w:val="85"/>
    <w:uiPriority w:val="0"/>
    <w:rPr>
      <w:rFonts w:ascii="宋体" w:hAnsi="宋体" w:eastAsia="宋体"/>
      <w:lang w:val="en-US" w:eastAsia="zh-CN" w:bidi="ar-SA"/>
    </w:rPr>
  </w:style>
  <w:style w:type="paragraph" w:customStyle="1" w:styleId="85">
    <w:name w:val="表格"/>
    <w:basedOn w:val="1"/>
    <w:link w:val="84"/>
    <w:uiPriority w:val="0"/>
    <w:pPr>
      <w:snapToGrid w:val="0"/>
      <w:ind w:firstLine="42" w:firstLineChars="21"/>
    </w:pPr>
    <w:rPr>
      <w:rFonts w:ascii="宋体" w:hAnsi="宋体"/>
      <w:kern w:val="0"/>
      <w:sz w:val="20"/>
      <w:szCs w:val="20"/>
    </w:rPr>
  </w:style>
  <w:style w:type="character" w:customStyle="1" w:styleId="86">
    <w:name w:val="页脚 Char"/>
    <w:link w:val="27"/>
    <w:locked/>
    <w:uiPriority w:val="0"/>
    <w:rPr>
      <w:rFonts w:eastAsia="宋体"/>
      <w:kern w:val="2"/>
      <w:sz w:val="18"/>
      <w:szCs w:val="18"/>
      <w:lang w:val="en-US" w:eastAsia="zh-CN" w:bidi="ar-SA"/>
    </w:rPr>
  </w:style>
  <w:style w:type="character" w:customStyle="1" w:styleId="87">
    <w:name w:val="编号，小四 Char"/>
    <w:link w:val="88"/>
    <w:uiPriority w:val="0"/>
    <w:rPr>
      <w:rFonts w:ascii="Arial" w:hAnsi="Arial" w:eastAsia="宋体"/>
      <w:kern w:val="2"/>
      <w:sz w:val="24"/>
      <w:lang w:bidi="ar-SA"/>
    </w:rPr>
  </w:style>
  <w:style w:type="paragraph" w:customStyle="1" w:styleId="88">
    <w:name w:val="编号，小四"/>
    <w:basedOn w:val="1"/>
    <w:link w:val="87"/>
    <w:qFormat/>
    <w:uiPriority w:val="0"/>
    <w:pPr>
      <w:numPr>
        <w:ilvl w:val="0"/>
        <w:numId w:val="2"/>
      </w:numPr>
      <w:spacing w:line="360" w:lineRule="auto"/>
    </w:pPr>
    <w:rPr>
      <w:rFonts w:ascii="Arial" w:hAnsi="Arial"/>
      <w:sz w:val="24"/>
      <w:szCs w:val="20"/>
    </w:rPr>
  </w:style>
  <w:style w:type="character" w:customStyle="1" w:styleId="89">
    <w:name w:val="正文2 Char Char"/>
    <w:link w:val="90"/>
    <w:uiPriority w:val="0"/>
    <w:rPr>
      <w:kern w:val="2"/>
      <w:sz w:val="24"/>
      <w:lang w:bidi="ar-SA"/>
    </w:rPr>
  </w:style>
  <w:style w:type="paragraph" w:customStyle="1" w:styleId="90">
    <w:name w:val="正文2"/>
    <w:basedOn w:val="1"/>
    <w:link w:val="89"/>
    <w:uiPriority w:val="0"/>
    <w:pPr>
      <w:spacing w:before="156" w:beforeLines="0" w:line="360" w:lineRule="auto"/>
      <w:ind w:firstLine="510" w:firstLineChars="200"/>
    </w:pPr>
    <w:rPr>
      <w:sz w:val="24"/>
      <w:szCs w:val="20"/>
    </w:rPr>
  </w:style>
  <w:style w:type="character" w:customStyle="1" w:styleId="91">
    <w:name w:val="正文缩进 Char1"/>
    <w:link w:val="12"/>
    <w:uiPriority w:val="0"/>
    <w:rPr>
      <w:rFonts w:eastAsia="宋体"/>
      <w:kern w:val="2"/>
      <w:sz w:val="21"/>
      <w:lang w:val="en-US" w:eastAsia="zh-CN" w:bidi="ar-SA"/>
    </w:rPr>
  </w:style>
  <w:style w:type="character" w:customStyle="1" w:styleId="92">
    <w:name w:val="正文文本缩进 2 Char Char Char Char Char Char Char Char Char Char1"/>
    <w:aliases w:val="正文文本缩进 2 Char Char Char2,正文文本缩进 2 Char Char Char Char Char1,正文文本缩进 2 Char Char Char Char Char2"/>
    <w:uiPriority w:val="0"/>
    <w:rPr>
      <w:rFonts w:eastAsia="宋体"/>
      <w:kern w:val="2"/>
      <w:sz w:val="36"/>
      <w:szCs w:val="24"/>
      <w:lang w:val="en-US" w:eastAsia="zh-CN" w:bidi="ar-SA"/>
    </w:rPr>
  </w:style>
  <w:style w:type="character" w:customStyle="1" w:styleId="93">
    <w:name w:val="Header Char"/>
    <w:aliases w:val="h Char"/>
    <w:uiPriority w:val="0"/>
    <w:rPr>
      <w:rFonts w:eastAsia="仿宋_GB2312"/>
      <w:kern w:val="2"/>
      <w:sz w:val="18"/>
      <w:lang w:val="en-US" w:eastAsia="zh-CN" w:bidi="ar-SA"/>
    </w:rPr>
  </w:style>
  <w:style w:type="character" w:customStyle="1" w:styleId="94">
    <w:name w:val="文档结构图 Char1"/>
    <w:link w:val="14"/>
    <w:uiPriority w:val="0"/>
    <w:rPr>
      <w:rFonts w:eastAsia="宋体"/>
      <w:kern w:val="2"/>
      <w:sz w:val="36"/>
      <w:szCs w:val="24"/>
      <w:lang w:val="en-US" w:eastAsia="zh-CN" w:bidi="ar-SA"/>
    </w:rPr>
  </w:style>
  <w:style w:type="character" w:customStyle="1" w:styleId="95">
    <w:name w:val="正文文本缩进 Char"/>
    <w:uiPriority w:val="0"/>
    <w:rPr>
      <w:rFonts w:ascii="仿宋_GB2312" w:eastAsia="仿宋_GB2312"/>
      <w:sz w:val="24"/>
      <w:lang w:val="en-US" w:eastAsia="zh-CN" w:bidi="ar-SA"/>
    </w:rPr>
  </w:style>
  <w:style w:type="character" w:customStyle="1" w:styleId="96">
    <w:name w:val="标题 4 Char"/>
    <w:aliases w:val="第三层条 Char,bullet Char,bl Char,bb Char,L4 Char,h4 Char,4th level Char,H4 Char,4 Char,PIM 4 Char,4heading Char,sect 1.2.3.4 Char,Ref Heading 1 Char,rh1 Char,sect 1.2.3.41 Char,Ref Heading 11 Char,rh11 Char,sect 1.2.3.42 Char,Ref Heading 12 Char"/>
    <w:uiPriority w:val="0"/>
    <w:rPr>
      <w:rFonts w:ascii="Cambria" w:hAnsi="Cambria" w:eastAsia="宋体"/>
      <w:b/>
      <w:bCs/>
      <w:kern w:val="2"/>
      <w:sz w:val="28"/>
      <w:szCs w:val="28"/>
      <w:lang w:val="en-US" w:eastAsia="zh-CN" w:bidi="ar-SA"/>
    </w:rPr>
  </w:style>
  <w:style w:type="character" w:customStyle="1" w:styleId="97">
    <w:name w:val="正文文本 Char1"/>
    <w:link w:val="18"/>
    <w:uiPriority w:val="0"/>
    <w:rPr>
      <w:rFonts w:ascii="Calibri" w:hAnsi="Calibri" w:eastAsia="宋体"/>
      <w:kern w:val="2"/>
      <w:sz w:val="21"/>
      <w:szCs w:val="22"/>
      <w:lang w:val="en-US" w:eastAsia="zh-CN" w:bidi="ar-SA"/>
    </w:rPr>
  </w:style>
  <w:style w:type="character" w:customStyle="1" w:styleId="98">
    <w:name w:val="h3 Char1"/>
    <w:aliases w:val="H3 Char1,l3 Char1,CT Char1,标题 33 Char1,3rd level Char1,3 Char1,Heading 3 - old Char1,heading 3 Char1,Heading 4 - old Char1,sect1.2.3 Char1,L1 Heading 3 Char1,h31 Char1,h32 Char1,h33 Char1,h311 Char1,h321 Char1,h34 Char1,h312 Char1,h322 Char1"/>
    <w:uiPriority w:val="0"/>
    <w:rPr>
      <w:rFonts w:eastAsia="楷体_GB2312"/>
      <w:b/>
      <w:bCs/>
      <w:kern w:val="2"/>
      <w:sz w:val="32"/>
      <w:szCs w:val="32"/>
      <w:lang w:val="en-US" w:eastAsia="zh-CN" w:bidi="ar-SA"/>
    </w:rPr>
  </w:style>
  <w:style w:type="character" w:customStyle="1" w:styleId="99">
    <w:name w:val="标题 2 Char1"/>
    <w:link w:val="3"/>
    <w:uiPriority w:val="0"/>
    <w:rPr>
      <w:rFonts w:ascii="Arial" w:hAnsi="Arial" w:eastAsia="黑体"/>
      <w:b/>
      <w:bCs/>
      <w:kern w:val="2"/>
      <w:sz w:val="32"/>
      <w:szCs w:val="32"/>
      <w:lang w:val="en-US" w:eastAsia="zh-CN" w:bidi="ar-SA"/>
    </w:rPr>
  </w:style>
  <w:style w:type="character" w:customStyle="1" w:styleId="100">
    <w:name w:val="内容文本 Char"/>
    <w:link w:val="101"/>
    <w:uiPriority w:val="0"/>
    <w:rPr>
      <w:rFonts w:ascii="宋体" w:hAnsi="宋体" w:eastAsia="宋体"/>
      <w:kern w:val="2"/>
      <w:sz w:val="24"/>
      <w:szCs w:val="24"/>
      <w:lang w:bidi="ar-SA"/>
    </w:rPr>
  </w:style>
  <w:style w:type="paragraph" w:customStyle="1" w:styleId="101">
    <w:name w:val="内容文本"/>
    <w:basedOn w:val="1"/>
    <w:link w:val="100"/>
    <w:qFormat/>
    <w:uiPriority w:val="0"/>
    <w:pPr>
      <w:autoSpaceDE w:val="0"/>
      <w:autoSpaceDN w:val="0"/>
      <w:spacing w:line="360" w:lineRule="auto"/>
      <w:ind w:firstLine="480" w:firstLineChars="200"/>
      <w:jc w:val="left"/>
    </w:pPr>
    <w:rPr>
      <w:rFonts w:ascii="宋体" w:hAnsi="宋体"/>
      <w:sz w:val="24"/>
    </w:rPr>
  </w:style>
  <w:style w:type="character" w:customStyle="1" w:styleId="102">
    <w:name w:val="批注文字 Char"/>
    <w:uiPriority w:val="0"/>
    <w:rPr>
      <w:rFonts w:eastAsia="宋体"/>
      <w:kern w:val="2"/>
      <w:sz w:val="36"/>
      <w:szCs w:val="24"/>
      <w:lang w:val="en-US" w:eastAsia="zh-CN" w:bidi="ar-SA"/>
    </w:rPr>
  </w:style>
  <w:style w:type="character" w:customStyle="1" w:styleId="103">
    <w:name w:val="font41"/>
    <w:basedOn w:val="41"/>
    <w:qFormat/>
    <w:uiPriority w:val="0"/>
    <w:rPr>
      <w:rFonts w:hint="default" w:ascii="Arial" w:hAnsi="Arial" w:cs="Arial"/>
      <w:color w:val="000000"/>
      <w:szCs w:val="20"/>
      <w:u w:val="none"/>
    </w:rPr>
  </w:style>
  <w:style w:type="character" w:customStyle="1" w:styleId="104">
    <w:name w:val="批注主题 Char1"/>
    <w:link w:val="37"/>
    <w:uiPriority w:val="0"/>
    <w:rPr>
      <w:rFonts w:eastAsia="宋体"/>
      <w:b/>
      <w:bCs/>
      <w:kern w:val="2"/>
      <w:sz w:val="36"/>
      <w:szCs w:val="24"/>
      <w:lang w:val="en-US" w:eastAsia="zh-CN" w:bidi="ar-SA"/>
    </w:rPr>
  </w:style>
  <w:style w:type="character" w:customStyle="1" w:styleId="105">
    <w:name w:val="cp_test"/>
    <w:basedOn w:val="41"/>
    <w:uiPriority w:val="0"/>
  </w:style>
  <w:style w:type="character" w:customStyle="1" w:styleId="106">
    <w:name w:val="标题 3 Char1"/>
    <w:link w:val="4"/>
    <w:uiPriority w:val="0"/>
    <w:rPr>
      <w:rFonts w:eastAsia="楷体_GB2312"/>
      <w:b/>
      <w:bCs/>
      <w:kern w:val="2"/>
      <w:sz w:val="32"/>
      <w:szCs w:val="32"/>
      <w:lang w:val="en-US" w:eastAsia="zh-CN" w:bidi="ar-SA"/>
    </w:rPr>
  </w:style>
  <w:style w:type="character" w:customStyle="1" w:styleId="107">
    <w:name w:val="普通文字 Char2"/>
    <w:aliases w:val="纯文本 Char Char Char,Texte Char,普通文字 Char Char1,普通文字1 Char,普通文字2 Char,普通文字3 Char,普通文字4 Char,普通文字5 Char,普通文字6 Char,普通文字11 Char,普通文字21 Char,普通文字31 Char,普通文字41 Char,普通文字7 Char Char Char Char,普通文字 Char Char Char Char1,纯文本 Char Char1,普通文字7 Char,小 Char"/>
    <w:uiPriority w:val="0"/>
    <w:rPr>
      <w:rFonts w:ascii="宋体" w:hAnsi="Courier New" w:eastAsia="宋体"/>
      <w:kern w:val="2"/>
      <w:sz w:val="21"/>
      <w:lang w:val="en-US" w:eastAsia="zh-CN" w:bidi="ar-SA"/>
    </w:rPr>
  </w:style>
  <w:style w:type="character" w:customStyle="1" w:styleId="108">
    <w:name w:val="正文缩进 Char Char"/>
    <w:uiPriority w:val="0"/>
    <w:rPr>
      <w:rFonts w:eastAsia="宋体"/>
      <w:kern w:val="2"/>
      <w:sz w:val="21"/>
      <w:lang w:val="en-US" w:eastAsia="zh-CN" w:bidi="ar-SA"/>
    </w:rPr>
  </w:style>
  <w:style w:type="character" w:customStyle="1" w:styleId="109">
    <w:name w:val="批注框文本 Char2"/>
    <w:link w:val="26"/>
    <w:uiPriority w:val="0"/>
    <w:rPr>
      <w:rFonts w:eastAsia="宋体"/>
      <w:kern w:val="2"/>
      <w:sz w:val="18"/>
      <w:szCs w:val="18"/>
      <w:lang w:val="en-US" w:eastAsia="zh-CN" w:bidi="ar-SA"/>
    </w:rPr>
  </w:style>
  <w:style w:type="character" w:customStyle="1" w:styleId="110">
    <w:name w:val="正文文本 Char Char"/>
    <w:uiPriority w:val="0"/>
    <w:rPr>
      <w:rFonts w:ascii="Calibri" w:hAnsi="Calibri" w:eastAsia="宋体"/>
      <w:kern w:val="2"/>
      <w:sz w:val="21"/>
      <w:szCs w:val="22"/>
      <w:lang w:val="en-US" w:eastAsia="zh-CN" w:bidi="ar-SA"/>
    </w:rPr>
  </w:style>
  <w:style w:type="character" w:customStyle="1" w:styleId="111">
    <w:name w:val="正文首行缩进 Char2"/>
    <w:basedOn w:val="97"/>
    <w:link w:val="38"/>
    <w:uiPriority w:val="0"/>
  </w:style>
  <w:style w:type="character" w:customStyle="1" w:styleId="112">
    <w:name w:val="正文首行缩进（绿盟科技） Char"/>
    <w:link w:val="113"/>
    <w:uiPriority w:val="0"/>
    <w:rPr>
      <w:rFonts w:ascii="Arial" w:hAnsi="Arial" w:eastAsia="宋体"/>
      <w:sz w:val="21"/>
      <w:szCs w:val="21"/>
      <w:lang w:bidi="ar-SA"/>
    </w:rPr>
  </w:style>
  <w:style w:type="paragraph" w:customStyle="1" w:styleId="113">
    <w:name w:val="正文首行缩进（绿盟科技）"/>
    <w:basedOn w:val="1"/>
    <w:link w:val="112"/>
    <w:qFormat/>
    <w:uiPriority w:val="0"/>
    <w:pPr>
      <w:widowControl/>
      <w:spacing w:after="50" w:line="300" w:lineRule="auto"/>
      <w:ind w:firstLine="200" w:firstLineChars="200"/>
      <w:jc w:val="left"/>
    </w:pPr>
    <w:rPr>
      <w:rFonts w:ascii="Arial" w:hAnsi="Arial"/>
      <w:kern w:val="0"/>
      <w:sz w:val="21"/>
      <w:szCs w:val="21"/>
    </w:rPr>
  </w:style>
  <w:style w:type="character" w:customStyle="1" w:styleId="114">
    <w:name w:val="投标正文 Char"/>
    <w:link w:val="115"/>
    <w:uiPriority w:val="0"/>
    <w:rPr>
      <w:rFonts w:ascii="Calibri" w:hAnsi="Calibri"/>
      <w:sz w:val="24"/>
      <w:szCs w:val="24"/>
      <w:lang w:bidi="ar-SA"/>
    </w:rPr>
  </w:style>
  <w:style w:type="paragraph" w:customStyle="1" w:styleId="115">
    <w:name w:val="投标正文"/>
    <w:basedOn w:val="1"/>
    <w:link w:val="114"/>
    <w:qFormat/>
    <w:uiPriority w:val="0"/>
    <w:pPr>
      <w:spacing w:line="360" w:lineRule="auto"/>
      <w:ind w:left="100" w:firstLine="480" w:firstLineChars="200"/>
    </w:pPr>
    <w:rPr>
      <w:rFonts w:ascii="Calibri" w:hAnsi="Calibri" w:eastAsia="Times New Roman"/>
      <w:kern w:val="0"/>
      <w:sz w:val="24"/>
      <w:lang/>
    </w:rPr>
  </w:style>
  <w:style w:type="character" w:customStyle="1" w:styleId="116">
    <w:name w:val="标题 2 Char Char"/>
    <w:uiPriority w:val="0"/>
    <w:rPr>
      <w:rFonts w:ascii="Arial" w:hAnsi="Arial" w:eastAsia="黑体"/>
      <w:b/>
      <w:bCs/>
      <w:kern w:val="2"/>
      <w:sz w:val="32"/>
      <w:szCs w:val="32"/>
      <w:lang w:val="en-US" w:eastAsia="zh-CN" w:bidi="ar-SA"/>
    </w:rPr>
  </w:style>
  <w:style w:type="character" w:customStyle="1" w:styleId="117">
    <w:name w:val="批注框文本 Char Char"/>
    <w:uiPriority w:val="0"/>
    <w:rPr>
      <w:rFonts w:eastAsia="宋体"/>
      <w:kern w:val="2"/>
      <w:sz w:val="18"/>
      <w:lang w:val="en-US" w:eastAsia="zh-CN"/>
    </w:rPr>
  </w:style>
  <w:style w:type="character" w:customStyle="1" w:styleId="118">
    <w:name w:val="h Char Char"/>
    <w:uiPriority w:val="0"/>
    <w:rPr>
      <w:sz w:val="18"/>
    </w:rPr>
  </w:style>
  <w:style w:type="character" w:customStyle="1" w:styleId="119">
    <w:name w:val="font11"/>
    <w:basedOn w:val="41"/>
    <w:qFormat/>
    <w:uiPriority w:val="0"/>
    <w:rPr>
      <w:rFonts w:hint="eastAsia" w:ascii="宋体" w:hAnsi="宋体" w:eastAsia="宋体" w:cs="宋体"/>
      <w:color w:val="000000"/>
      <w:szCs w:val="20"/>
      <w:u w:val="none"/>
    </w:rPr>
  </w:style>
  <w:style w:type="character" w:customStyle="1" w:styleId="120">
    <w:name w:val=" Char Char11"/>
    <w:uiPriority w:val="0"/>
    <w:rPr>
      <w:b/>
      <w:bCs/>
      <w:sz w:val="36"/>
      <w:szCs w:val="24"/>
    </w:rPr>
  </w:style>
  <w:style w:type="character" w:customStyle="1" w:styleId="121">
    <w:name w:val="blue"/>
    <w:basedOn w:val="41"/>
    <w:uiPriority w:val="0"/>
  </w:style>
  <w:style w:type="character" w:customStyle="1" w:styleId="122">
    <w:name w:val="页眉 Char3"/>
    <w:link w:val="28"/>
    <w:uiPriority w:val="0"/>
    <w:rPr>
      <w:rFonts w:eastAsia="宋体"/>
      <w:kern w:val="2"/>
      <w:sz w:val="18"/>
      <w:szCs w:val="18"/>
      <w:lang w:val="en-US" w:eastAsia="zh-CN" w:bidi="ar-SA"/>
    </w:rPr>
  </w:style>
  <w:style w:type="character" w:customStyle="1" w:styleId="123">
    <w:name w:val="纯文本 Char2"/>
    <w:link w:val="23"/>
    <w:uiPriority w:val="0"/>
    <w:rPr>
      <w:rFonts w:ascii="宋体" w:hAnsi="Courier New" w:eastAsia="宋体"/>
      <w:kern w:val="2"/>
      <w:sz w:val="21"/>
      <w:lang w:val="en-US" w:eastAsia="zh-CN" w:bidi="ar-SA"/>
    </w:rPr>
  </w:style>
  <w:style w:type="character" w:customStyle="1" w:styleId="124">
    <w:name w:val="标题 1 Char Char"/>
    <w:uiPriority w:val="0"/>
    <w:rPr>
      <w:rFonts w:eastAsia="宋体"/>
      <w:b/>
      <w:spacing w:val="-2"/>
      <w:sz w:val="24"/>
      <w:lang w:val="en-US" w:eastAsia="zh-CN" w:bidi="ar-SA"/>
    </w:rPr>
  </w:style>
  <w:style w:type="character" w:customStyle="1" w:styleId="125">
    <w:name w:val="Heading 1 Char"/>
    <w:locked/>
    <w:uiPriority w:val="0"/>
    <w:rPr>
      <w:rFonts w:cs="Times New Roman"/>
      <w:b/>
      <w:bCs/>
      <w:kern w:val="44"/>
      <w:sz w:val="44"/>
      <w:szCs w:val="44"/>
    </w:rPr>
  </w:style>
  <w:style w:type="character" w:customStyle="1" w:styleId="126">
    <w:name w:val="标题 1 Char1"/>
    <w:link w:val="2"/>
    <w:uiPriority w:val="0"/>
    <w:rPr>
      <w:rFonts w:eastAsia="宋体"/>
      <w:b/>
      <w:bCs/>
      <w:kern w:val="44"/>
      <w:sz w:val="44"/>
      <w:szCs w:val="44"/>
      <w:lang w:val="en-US" w:eastAsia="zh-CN" w:bidi="ar-SA"/>
    </w:rPr>
  </w:style>
  <w:style w:type="character" w:customStyle="1" w:styleId="127">
    <w:name w:val="product_detail_name"/>
    <w:basedOn w:val="41"/>
    <w:uiPriority w:val="0"/>
  </w:style>
  <w:style w:type="character" w:customStyle="1" w:styleId="128">
    <w:name w:val="Char Char12"/>
    <w:uiPriority w:val="0"/>
    <w:rPr>
      <w:rFonts w:ascii="仿宋_GB2312" w:eastAsia="宋体"/>
      <w:kern w:val="2"/>
      <w:sz w:val="36"/>
      <w:szCs w:val="24"/>
    </w:rPr>
  </w:style>
  <w:style w:type="character" w:customStyle="1" w:styleId="129">
    <w:name w:val="Char Char15"/>
    <w:uiPriority w:val="0"/>
    <w:rPr>
      <w:rFonts w:ascii="Arial" w:hAnsi="Arial" w:eastAsia="黑体"/>
      <w:b/>
      <w:bCs/>
      <w:kern w:val="2"/>
      <w:sz w:val="32"/>
      <w:szCs w:val="32"/>
      <w:lang w:val="en-US" w:eastAsia="zh-CN" w:bidi="ar-SA"/>
    </w:rPr>
  </w:style>
  <w:style w:type="character" w:customStyle="1" w:styleId="130">
    <w:name w:val="样式 黑体 二号"/>
    <w:uiPriority w:val="0"/>
    <w:rPr>
      <w:rFonts w:hint="default" w:ascii="Arial" w:hAnsi="Arial" w:eastAsia="黑体" w:cs="Arial"/>
      <w:sz w:val="44"/>
    </w:rPr>
  </w:style>
  <w:style w:type="character" w:customStyle="1" w:styleId="131">
    <w:name w:val="文档结构图 Char Char"/>
    <w:uiPriority w:val="0"/>
    <w:rPr>
      <w:rFonts w:eastAsia="宋体"/>
      <w:kern w:val="2"/>
      <w:sz w:val="36"/>
      <w:szCs w:val="24"/>
      <w:lang w:val="en-US" w:eastAsia="zh-CN" w:bidi="ar-SA"/>
    </w:rPr>
  </w:style>
  <w:style w:type="character" w:customStyle="1" w:styleId="132">
    <w:name w:val=" Char Char20"/>
    <w:uiPriority w:val="0"/>
    <w:rPr>
      <w:rFonts w:ascii="Cambria" w:hAnsi="Cambria" w:eastAsia="宋体" w:cs="Times New Roman"/>
      <w:b/>
      <w:bCs/>
      <w:sz w:val="28"/>
      <w:szCs w:val="28"/>
    </w:rPr>
  </w:style>
  <w:style w:type="character" w:customStyle="1" w:styleId="133">
    <w:name w:val="正文首行缩进 Char"/>
    <w:aliases w:val="正文首行缩进 Char Char Char Char Char"/>
    <w:basedOn w:val="110"/>
    <w:uiPriority w:val="0"/>
  </w:style>
  <w:style w:type="character" w:customStyle="1" w:styleId="134">
    <w:name w:val=" Char Char21"/>
    <w:uiPriority w:val="0"/>
    <w:rPr>
      <w:rFonts w:ascii="Times New Roman" w:hAnsi="Times New Roman" w:eastAsia="楷体_GB2312" w:cs="Times New Roman"/>
      <w:b/>
      <w:bCs/>
      <w:sz w:val="32"/>
      <w:szCs w:val="32"/>
    </w:rPr>
  </w:style>
  <w:style w:type="character" w:customStyle="1" w:styleId="135">
    <w:name w:val="标题 5 Char"/>
    <w:link w:val="6"/>
    <w:uiPriority w:val="0"/>
    <w:rPr>
      <w:rFonts w:eastAsia="宋体"/>
      <w:b/>
      <w:bCs/>
      <w:kern w:val="2"/>
      <w:sz w:val="28"/>
      <w:szCs w:val="28"/>
      <w:lang w:val="en-US" w:eastAsia="zh-CN" w:bidi="ar-SA"/>
    </w:rPr>
  </w:style>
  <w:style w:type="character" w:customStyle="1" w:styleId="136">
    <w:name w:val="脚注文本 Char"/>
    <w:link w:val="31"/>
    <w:uiPriority w:val="0"/>
    <w:rPr>
      <w:kern w:val="2"/>
      <w:sz w:val="16"/>
      <w:szCs w:val="16"/>
      <w:lang w:bidi="ar-SA"/>
    </w:rPr>
  </w:style>
  <w:style w:type="character" w:customStyle="1" w:styleId="137">
    <w:name w:val="标书的正文 Char Char"/>
    <w:link w:val="138"/>
    <w:uiPriority w:val="0"/>
    <w:rPr>
      <w:rFonts w:ascii="宋体" w:hAnsi="宋体" w:eastAsia="宋体" w:cs="宋体"/>
      <w:b/>
      <w:color w:val="000000"/>
      <w:kern w:val="2"/>
      <w:sz w:val="24"/>
      <w:szCs w:val="24"/>
      <w:lang w:val="en-US" w:eastAsia="zh-CN" w:bidi="ar-SA"/>
    </w:rPr>
  </w:style>
  <w:style w:type="paragraph" w:customStyle="1" w:styleId="138">
    <w:name w:val="标书的正文"/>
    <w:basedOn w:val="1"/>
    <w:link w:val="137"/>
    <w:uiPriority w:val="0"/>
    <w:pPr>
      <w:widowControl/>
      <w:adjustRightInd w:val="0"/>
      <w:spacing w:line="360" w:lineRule="auto"/>
      <w:ind w:firstLine="200" w:firstLineChars="200"/>
    </w:pPr>
    <w:rPr>
      <w:rFonts w:ascii="宋体" w:hAnsi="宋体" w:cs="宋体"/>
      <w:b/>
      <w:color w:val="000000"/>
      <w:sz w:val="24"/>
    </w:rPr>
  </w:style>
  <w:style w:type="character" w:customStyle="1" w:styleId="139">
    <w:name w:val="标题 9 Char"/>
    <w:link w:val="10"/>
    <w:uiPriority w:val="0"/>
    <w:rPr>
      <w:rFonts w:ascii="Arial" w:hAnsi="Arial" w:eastAsia="黑体" w:cs="Arial"/>
      <w:kern w:val="2"/>
      <w:sz w:val="21"/>
      <w:szCs w:val="21"/>
      <w:lang w:val="en-US" w:eastAsia="zh-CN" w:bidi="ar-SA"/>
    </w:rPr>
  </w:style>
  <w:style w:type="character" w:customStyle="1" w:styleId="140">
    <w:name w:val="正文1 Char Char"/>
    <w:link w:val="141"/>
    <w:uiPriority w:val="0"/>
    <w:rPr>
      <w:rFonts w:ascii="宋体" w:hAnsi="宋体"/>
      <w:color w:val="000000"/>
      <w:sz w:val="24"/>
      <w:lang w:bidi="ar-SA"/>
    </w:rPr>
  </w:style>
  <w:style w:type="paragraph" w:customStyle="1" w:styleId="141">
    <w:name w:val="正文1"/>
    <w:basedOn w:val="1"/>
    <w:link w:val="140"/>
    <w:uiPriority w:val="0"/>
    <w:pPr>
      <w:spacing w:line="360" w:lineRule="auto"/>
      <w:ind w:firstLine="200" w:firstLineChars="200"/>
      <w:jc w:val="left"/>
    </w:pPr>
    <w:rPr>
      <w:rFonts w:ascii="宋体" w:hAnsi="宋体"/>
      <w:color w:val="000000"/>
      <w:kern w:val="0"/>
      <w:sz w:val="24"/>
      <w:szCs w:val="20"/>
    </w:rPr>
  </w:style>
  <w:style w:type="character" w:customStyle="1" w:styleId="142">
    <w:name w:val="标题 6 Char"/>
    <w:link w:val="7"/>
    <w:uiPriority w:val="0"/>
    <w:rPr>
      <w:rFonts w:ascii="Arial" w:hAnsi="Arial" w:eastAsia="黑体" w:cs="Arial"/>
      <w:b/>
      <w:bCs/>
      <w:kern w:val="2"/>
      <w:sz w:val="24"/>
      <w:szCs w:val="24"/>
      <w:lang w:val="en-US" w:eastAsia="zh-CN" w:bidi="ar-SA"/>
    </w:rPr>
  </w:style>
  <w:style w:type="character" w:customStyle="1" w:styleId="143">
    <w:name w:val="批注框文本 Char"/>
    <w:uiPriority w:val="0"/>
    <w:rPr>
      <w:rFonts w:eastAsia="宋体"/>
      <w:kern w:val="2"/>
      <w:sz w:val="18"/>
      <w:lang w:val="en-US" w:eastAsia="zh-CN"/>
    </w:rPr>
  </w:style>
  <w:style w:type="character" w:customStyle="1" w:styleId="144">
    <w:name w:val="称呼 Char"/>
    <w:link w:val="16"/>
    <w:uiPriority w:val="0"/>
    <w:rPr>
      <w:sz w:val="16"/>
      <w:szCs w:val="16"/>
    </w:rPr>
  </w:style>
  <w:style w:type="character" w:customStyle="1" w:styleId="145">
    <w:name w:val="标题 1 Char Char Char"/>
    <w:uiPriority w:val="0"/>
    <w:rPr>
      <w:rFonts w:eastAsia="宋体"/>
      <w:b/>
      <w:bCs/>
      <w:kern w:val="44"/>
      <w:sz w:val="44"/>
      <w:szCs w:val="44"/>
      <w:lang w:val="en-US" w:eastAsia="zh-CN" w:bidi="ar-SA"/>
    </w:rPr>
  </w:style>
  <w:style w:type="character" w:customStyle="1" w:styleId="146">
    <w:name w:val="Char Char13"/>
    <w:uiPriority w:val="0"/>
    <w:rPr>
      <w:rFonts w:ascii="Cambria" w:hAnsi="Cambria" w:eastAsia="宋体"/>
      <w:b/>
      <w:bCs/>
      <w:kern w:val="2"/>
      <w:sz w:val="28"/>
      <w:szCs w:val="28"/>
      <w:lang w:val="en-US" w:eastAsia="zh-CN" w:bidi="ar-SA"/>
    </w:rPr>
  </w:style>
  <w:style w:type="character" w:customStyle="1" w:styleId="147">
    <w:name w:val="标准正文格式 Char Char"/>
    <w:link w:val="148"/>
    <w:uiPriority w:val="0"/>
    <w:rPr>
      <w:rFonts w:eastAsia="仿宋_GB2312"/>
      <w:bCs/>
      <w:kern w:val="2"/>
      <w:sz w:val="28"/>
      <w:lang w:val="en-US" w:eastAsia="zh-CN" w:bidi="ar-SA"/>
    </w:rPr>
  </w:style>
  <w:style w:type="paragraph" w:customStyle="1" w:styleId="148">
    <w:name w:val="标准正文格式"/>
    <w:basedOn w:val="1"/>
    <w:link w:val="147"/>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49">
    <w:name w:val="标书标题3 Char"/>
    <w:uiPriority w:val="0"/>
    <w:rPr>
      <w:rFonts w:ascii="宋体" w:hAnsi="宋体" w:eastAsia="宋体" w:cs="宋体"/>
      <w:b/>
      <w:sz w:val="24"/>
      <w:szCs w:val="24"/>
      <w:lang w:val="en-US" w:eastAsia="zh-CN" w:bidi="ar-SA"/>
    </w:rPr>
  </w:style>
  <w:style w:type="character" w:customStyle="1" w:styleId="150">
    <w:name w:val="标书的标题3 Char"/>
    <w:uiPriority w:val="0"/>
    <w:rPr>
      <w:rFonts w:ascii="宋体" w:hAnsi="宋体" w:eastAsia="宋体" w:cs="宋体"/>
      <w:b/>
      <w:color w:val="000000"/>
      <w:kern w:val="2"/>
      <w:sz w:val="24"/>
      <w:szCs w:val="24"/>
      <w:lang w:val="en-US" w:eastAsia="zh-CN" w:bidi="ar-SA"/>
    </w:rPr>
  </w:style>
  <w:style w:type="character" w:customStyle="1" w:styleId="151">
    <w:name w:val="标书标题3 Char Char"/>
    <w:link w:val="152"/>
    <w:uiPriority w:val="0"/>
    <w:rPr>
      <w:rFonts w:ascii="宋体" w:hAnsi="宋体" w:eastAsia="宋体" w:cs="宋体"/>
      <w:b/>
      <w:sz w:val="24"/>
      <w:szCs w:val="24"/>
      <w:lang w:val="en-US" w:eastAsia="zh-CN" w:bidi="ar-SA"/>
    </w:rPr>
  </w:style>
  <w:style w:type="paragraph" w:customStyle="1" w:styleId="152">
    <w:name w:val="标书标题3"/>
    <w:basedOn w:val="4"/>
    <w:link w:val="151"/>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val="0"/>
      <w:kern w:val="0"/>
      <w:sz w:val="24"/>
      <w:szCs w:val="24"/>
    </w:rPr>
  </w:style>
  <w:style w:type="character" w:customStyle="1" w:styleId="153">
    <w:name w:val="font91"/>
    <w:basedOn w:val="41"/>
    <w:qFormat/>
    <w:uiPriority w:val="0"/>
    <w:rPr>
      <w:rFonts w:hint="eastAsia" w:ascii="宋体" w:hAnsi="宋体" w:eastAsia="宋体" w:cs="宋体"/>
      <w:color w:val="000000"/>
      <w:szCs w:val="20"/>
      <w:u w:val="none"/>
    </w:rPr>
  </w:style>
  <w:style w:type="character" w:customStyle="1" w:styleId="154">
    <w:name w:val="正文文本缩进 3 Char2"/>
    <w:link w:val="32"/>
    <w:uiPriority w:val="0"/>
    <w:rPr>
      <w:kern w:val="2"/>
      <w:sz w:val="16"/>
      <w:szCs w:val="16"/>
    </w:rPr>
  </w:style>
  <w:style w:type="character" w:customStyle="1" w:styleId="155">
    <w:name w:val=" Char Char23"/>
    <w:uiPriority w:val="0"/>
    <w:rPr>
      <w:rFonts w:ascii="Times New Roman" w:hAnsi="Times New Roman" w:eastAsia="宋体" w:cs="Times New Roman"/>
      <w:b/>
      <w:bCs/>
      <w:kern w:val="44"/>
      <w:sz w:val="44"/>
      <w:szCs w:val="44"/>
    </w:rPr>
  </w:style>
  <w:style w:type="character" w:customStyle="1" w:styleId="156">
    <w:name w:val="批注文字 Char Char"/>
    <w:uiPriority w:val="0"/>
    <w:rPr>
      <w:rFonts w:eastAsia="宋体"/>
      <w:kern w:val="2"/>
      <w:sz w:val="36"/>
      <w:szCs w:val="24"/>
      <w:lang w:val="en-US" w:eastAsia="zh-CN" w:bidi="ar-SA"/>
    </w:rPr>
  </w:style>
  <w:style w:type="character" w:customStyle="1" w:styleId="157">
    <w:name w:val="*正文 Char"/>
    <w:link w:val="158"/>
    <w:uiPriority w:val="0"/>
    <w:rPr>
      <w:rFonts w:ascii="Arial" w:hAnsi="Arial" w:eastAsia="宋体"/>
      <w:kern w:val="2"/>
      <w:sz w:val="24"/>
      <w:lang w:bidi="ar-SA"/>
    </w:rPr>
  </w:style>
  <w:style w:type="paragraph" w:customStyle="1" w:styleId="158">
    <w:name w:val="*正文"/>
    <w:basedOn w:val="1"/>
    <w:link w:val="157"/>
    <w:qFormat/>
    <w:uiPriority w:val="0"/>
    <w:pPr>
      <w:spacing w:line="360" w:lineRule="auto"/>
      <w:ind w:firstLine="480" w:firstLineChars="200"/>
    </w:pPr>
    <w:rPr>
      <w:rFonts w:ascii="Arial" w:hAnsi="Arial"/>
      <w:sz w:val="24"/>
      <w:szCs w:val="20"/>
    </w:rPr>
  </w:style>
  <w:style w:type="character" w:customStyle="1" w:styleId="159">
    <w:name w:val="Normal Indent Char"/>
    <w:locked/>
    <w:uiPriority w:val="0"/>
    <w:rPr>
      <w:rFonts w:eastAsia="宋体"/>
    </w:rPr>
  </w:style>
  <w:style w:type="character" w:customStyle="1" w:styleId="160">
    <w:name w:val="文档结构图 Char"/>
    <w:uiPriority w:val="0"/>
    <w:rPr>
      <w:rFonts w:eastAsia="宋体"/>
      <w:kern w:val="2"/>
      <w:sz w:val="36"/>
      <w:szCs w:val="24"/>
      <w:lang w:val="en-US" w:eastAsia="zh-CN" w:bidi="ar-SA"/>
    </w:rPr>
  </w:style>
  <w:style w:type="character" w:customStyle="1" w:styleId="161">
    <w:name w:val="Heading 2 Char"/>
    <w:locked/>
    <w:uiPriority w:val="0"/>
    <w:rPr>
      <w:rFonts w:ascii="Calibri Light" w:hAnsi="Calibri Light" w:eastAsia="宋体" w:cs="Times New Roman"/>
      <w:b/>
      <w:bCs/>
      <w:sz w:val="32"/>
      <w:szCs w:val="32"/>
    </w:rPr>
  </w:style>
  <w:style w:type="character" w:customStyle="1" w:styleId="162">
    <w:name w:val="标准正文格式 Char"/>
    <w:uiPriority w:val="0"/>
    <w:rPr>
      <w:rFonts w:eastAsia="仿宋_GB2312"/>
      <w:bCs/>
      <w:kern w:val="2"/>
      <w:sz w:val="28"/>
      <w:lang w:val="en-US" w:eastAsia="zh-CN" w:bidi="ar-SA"/>
    </w:rPr>
  </w:style>
  <w:style w:type="character" w:customStyle="1" w:styleId="163">
    <w:name w:val="标书的标题3 Char Char"/>
    <w:link w:val="164"/>
    <w:uiPriority w:val="0"/>
    <w:rPr>
      <w:rFonts w:ascii="宋体" w:hAnsi="宋体" w:eastAsia="宋体" w:cs="宋体"/>
      <w:b/>
      <w:color w:val="000000"/>
      <w:kern w:val="2"/>
      <w:sz w:val="24"/>
      <w:szCs w:val="24"/>
      <w:lang w:val="en-US" w:eastAsia="zh-CN" w:bidi="ar-SA"/>
    </w:rPr>
  </w:style>
  <w:style w:type="paragraph" w:customStyle="1" w:styleId="164">
    <w:name w:val="标书的标题3"/>
    <w:basedOn w:val="12"/>
    <w:link w:val="163"/>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65">
    <w:name w:val="金保标题2 Char"/>
    <w:uiPriority w:val="0"/>
    <w:rPr>
      <w:rFonts w:ascii="宋体" w:hAnsi="宋体" w:eastAsia="宋体" w:cs="宋体"/>
      <w:b/>
      <w:sz w:val="24"/>
      <w:szCs w:val="24"/>
      <w:lang w:val="en-US" w:eastAsia="zh-CN" w:bidi="ar-SA"/>
    </w:rPr>
  </w:style>
  <w:style w:type="character" w:customStyle="1" w:styleId="166">
    <w:name w:val=" Char Char Char Char Char Char Char Char Char Char"/>
    <w:uiPriority w:val="0"/>
    <w:rPr>
      <w:kern w:val="2"/>
      <w:sz w:val="16"/>
      <w:szCs w:val="16"/>
      <w:lang w:bidi="ar-SA"/>
    </w:rPr>
  </w:style>
  <w:style w:type="character" w:customStyle="1" w:styleId="167">
    <w:name w:val="页眉 Char"/>
    <w:aliases w:val="Ò³Ã¼ Char1"/>
    <w:uiPriority w:val="0"/>
    <w:rPr>
      <w:rFonts w:eastAsia="宋体"/>
      <w:kern w:val="2"/>
      <w:sz w:val="18"/>
      <w:lang w:val="en-US" w:eastAsia="zh-CN"/>
    </w:rPr>
  </w:style>
  <w:style w:type="character" w:customStyle="1" w:styleId="168">
    <w:name w:val="标题 8 Char"/>
    <w:link w:val="9"/>
    <w:uiPriority w:val="0"/>
    <w:rPr>
      <w:rFonts w:ascii="Arial" w:hAnsi="Arial" w:eastAsia="黑体" w:cs="Arial"/>
      <w:kern w:val="2"/>
      <w:sz w:val="24"/>
      <w:szCs w:val="24"/>
      <w:lang w:val="en-US" w:eastAsia="zh-CN" w:bidi="ar-SA"/>
    </w:rPr>
  </w:style>
  <w:style w:type="character" w:customStyle="1" w:styleId="169">
    <w:name w:val="批注框文本 Char1"/>
    <w:uiPriority w:val="0"/>
    <w:rPr>
      <w:rFonts w:eastAsia="宋体"/>
      <w:kern w:val="2"/>
      <w:sz w:val="18"/>
      <w:szCs w:val="18"/>
      <w:lang w:val="en-US" w:eastAsia="zh-CN" w:bidi="ar-SA"/>
    </w:rPr>
  </w:style>
  <w:style w:type="character" w:customStyle="1" w:styleId="170">
    <w:name w:val=" Char Char22"/>
    <w:uiPriority w:val="0"/>
    <w:rPr>
      <w:rFonts w:ascii="Arial" w:hAnsi="Arial" w:eastAsia="黑体" w:cs="Times New Roman"/>
      <w:b/>
      <w:bCs/>
      <w:sz w:val="32"/>
      <w:szCs w:val="32"/>
    </w:rPr>
  </w:style>
  <w:style w:type="character" w:customStyle="1" w:styleId="171">
    <w:name w:val="h Char Char1"/>
    <w:uiPriority w:val="0"/>
    <w:rPr>
      <w:sz w:val="18"/>
      <w:szCs w:val="18"/>
    </w:rPr>
  </w:style>
  <w:style w:type="character" w:customStyle="1" w:styleId="172">
    <w:name w:val="正文2 Char"/>
    <w:uiPriority w:val="0"/>
    <w:rPr>
      <w:kern w:val="2"/>
      <w:sz w:val="24"/>
      <w:lang w:bidi="ar-SA"/>
    </w:rPr>
  </w:style>
  <w:style w:type="character" w:customStyle="1" w:styleId="173">
    <w:name w:val="正文文本缩进 3 Char1"/>
    <w:semiHidden/>
    <w:uiPriority w:val="0"/>
    <w:rPr>
      <w:rFonts w:cs="Times New Roman"/>
      <w:sz w:val="16"/>
      <w:szCs w:val="16"/>
    </w:rPr>
  </w:style>
  <w:style w:type="character" w:customStyle="1" w:styleId="174">
    <w:name w:val="Char Char14"/>
    <w:uiPriority w:val="0"/>
    <w:rPr>
      <w:rFonts w:eastAsia="楷体_GB2312"/>
      <w:b/>
      <w:bCs/>
      <w:kern w:val="2"/>
      <w:sz w:val="32"/>
      <w:szCs w:val="32"/>
      <w:lang w:val="en-US" w:eastAsia="zh-CN" w:bidi="ar-SA"/>
    </w:rPr>
  </w:style>
  <w:style w:type="character" w:customStyle="1" w:styleId="175">
    <w:name w:val="标题 2 Char"/>
    <w:uiPriority w:val="0"/>
    <w:rPr>
      <w:rFonts w:ascii="Arial" w:hAnsi="Arial" w:eastAsia="黑体"/>
      <w:b/>
      <w:bCs/>
      <w:kern w:val="2"/>
      <w:sz w:val="32"/>
      <w:szCs w:val="32"/>
      <w:lang w:val="en-US" w:eastAsia="zh-CN" w:bidi="ar-SA"/>
    </w:rPr>
  </w:style>
  <w:style w:type="character" w:customStyle="1" w:styleId="176">
    <w:name w:val="正文文本缩进 2 Char1"/>
    <w:link w:val="25"/>
    <w:uiPriority w:val="0"/>
    <w:rPr>
      <w:rFonts w:eastAsia="宋体"/>
      <w:kern w:val="2"/>
      <w:sz w:val="36"/>
      <w:szCs w:val="24"/>
      <w:lang w:val="en-US" w:eastAsia="zh-CN" w:bidi="ar-SA"/>
    </w:rPr>
  </w:style>
  <w:style w:type="character" w:customStyle="1" w:styleId="177">
    <w:name w:val="标题 4 Char1"/>
    <w:link w:val="5"/>
    <w:uiPriority w:val="0"/>
    <w:rPr>
      <w:rFonts w:ascii="Cambria" w:hAnsi="Cambria" w:eastAsia="宋体"/>
      <w:b/>
      <w:bCs/>
      <w:kern w:val="2"/>
      <w:sz w:val="28"/>
      <w:szCs w:val="28"/>
      <w:lang w:val="en-US" w:eastAsia="zh-CN" w:bidi="ar-SA"/>
    </w:rPr>
  </w:style>
  <w:style w:type="character" w:customStyle="1" w:styleId="178">
    <w:name w:val="普通文字 Char1"/>
    <w:aliases w:val="纯文本 Char Char Char Char,纯文本 Char1"/>
    <w:uiPriority w:val="0"/>
    <w:rPr>
      <w:rFonts w:ascii="宋体" w:hAnsi="Courier New" w:eastAsia="宋体"/>
      <w:kern w:val="2"/>
      <w:sz w:val="21"/>
      <w:lang w:val="en-US" w:eastAsia="zh-CN" w:bidi="ar-SA"/>
    </w:rPr>
  </w:style>
  <w:style w:type="character" w:customStyle="1" w:styleId="179">
    <w:name w:val="标题 1 Char"/>
    <w:uiPriority w:val="0"/>
    <w:rPr>
      <w:rFonts w:eastAsia="宋体"/>
      <w:b/>
      <w:bCs/>
      <w:kern w:val="44"/>
      <w:sz w:val="44"/>
      <w:szCs w:val="44"/>
      <w:lang w:val="en-US" w:eastAsia="zh-CN" w:bidi="ar-SA"/>
    </w:rPr>
  </w:style>
  <w:style w:type="character" w:customStyle="1" w:styleId="180">
    <w:name w:val=" Char Char13"/>
    <w:uiPriority w:val="0"/>
    <w:rPr>
      <w:rFonts w:eastAsia="宋体"/>
      <w:b/>
      <w:bCs/>
      <w:kern w:val="44"/>
      <w:sz w:val="44"/>
      <w:szCs w:val="44"/>
      <w:lang w:val="en-US" w:eastAsia="zh-CN" w:bidi="ar-SA"/>
    </w:rPr>
  </w:style>
  <w:style w:type="character" w:customStyle="1" w:styleId="181">
    <w:name w:val="普通文字 Char Char"/>
    <w:uiPriority w:val="0"/>
    <w:rPr>
      <w:rFonts w:ascii="宋体" w:hAnsi="Courier New" w:eastAsia="宋体"/>
      <w:kern w:val="2"/>
      <w:sz w:val="21"/>
      <w:lang w:val="en-US" w:eastAsia="zh-CN" w:bidi="ar-SA"/>
    </w:rPr>
  </w:style>
  <w:style w:type="paragraph" w:customStyle="1" w:styleId="182">
    <w:name w:val="默认段落字体 Para Char Char Char Char Char Char Char Char Char1 Char Char Char Char"/>
    <w:basedOn w:val="1"/>
    <w:uiPriority w:val="0"/>
    <w:rPr>
      <w:rFonts w:ascii="Tahoma" w:hAnsi="Tahoma"/>
      <w:sz w:val="24"/>
      <w:szCs w:val="20"/>
    </w:rPr>
  </w:style>
  <w:style w:type="paragraph" w:customStyle="1" w:styleId="183">
    <w:name w:val="Table Text"/>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184">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85">
    <w:name w:val="Char3 Char Char Char Char Char Char"/>
    <w:basedOn w:val="14"/>
    <w:uiPriority w:val="0"/>
    <w:rPr>
      <w:rFonts w:ascii="Tahoma" w:hAnsi="Tahoma" w:cs="Tahoma"/>
      <w:sz w:val="24"/>
    </w:rPr>
  </w:style>
  <w:style w:type="paragraph" w:customStyle="1" w:styleId="186">
    <w:name w:val="Char Char1 Char"/>
    <w:basedOn w:val="1"/>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187">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styleId="188">
    <w:name w:val="List Paragraph"/>
    <w:basedOn w:val="1"/>
    <w:qFormat/>
    <w:uiPriority w:val="0"/>
    <w:pPr>
      <w:ind w:firstLine="420" w:firstLineChars="200"/>
    </w:pPr>
    <w:rPr>
      <w:rFonts w:ascii="Calibri" w:hAnsi="Calibri"/>
      <w:sz w:val="21"/>
      <w:szCs w:val="22"/>
    </w:rPr>
  </w:style>
  <w:style w:type="paragraph" w:customStyle="1" w:styleId="189">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0">
    <w:name w:val=" Char Char1 Char"/>
    <w:basedOn w:val="1"/>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191">
    <w:name w:val="部分1"/>
    <w:basedOn w:val="1"/>
    <w:uiPriority w:val="0"/>
    <w:pPr>
      <w:keepNext/>
      <w:pageBreakBefore/>
      <w:tabs>
        <w:tab w:val="left" w:pos="720"/>
      </w:tabs>
      <w:spacing w:line="360" w:lineRule="auto"/>
      <w:jc w:val="center"/>
      <w:outlineLvl w:val="0"/>
    </w:pPr>
    <w:rPr>
      <w:rFonts w:eastAsia="黑体"/>
      <w:b/>
      <w:kern w:val="44"/>
      <w:szCs w:val="20"/>
    </w:rPr>
  </w:style>
  <w:style w:type="paragraph" w:customStyle="1" w:styleId="192">
    <w:name w:val="文档正文"/>
    <w:basedOn w:val="1"/>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193">
    <w:name w:val=" Char1"/>
    <w:basedOn w:val="1"/>
    <w:uiPriority w:val="0"/>
    <w:rPr>
      <w:rFonts w:ascii="仿宋_GB2312" w:eastAsia="仿宋_GB2312"/>
      <w:b/>
      <w:sz w:val="32"/>
      <w:szCs w:val="32"/>
    </w:rPr>
  </w:style>
  <w:style w:type="paragraph" w:customStyle="1" w:styleId="194">
    <w:name w:val="正文 New New New New"/>
    <w:qFormat/>
    <w:uiPriority w:val="0"/>
    <w:pPr>
      <w:widowControl w:val="0"/>
      <w:jc w:val="both"/>
    </w:pPr>
    <w:rPr>
      <w:szCs w:val="24"/>
      <w:lang w:val="en-US" w:eastAsia="zh-CN" w:bidi="ar-SA"/>
    </w:rPr>
  </w:style>
  <w:style w:type="paragraph" w:customStyle="1" w:styleId="195">
    <w:name w:val="无间隔11"/>
    <w:qFormat/>
    <w:uiPriority w:val="0"/>
    <w:pPr>
      <w:adjustRightInd w:val="0"/>
      <w:snapToGrid w:val="0"/>
    </w:pPr>
    <w:rPr>
      <w:rFonts w:ascii="Tahoma" w:hAnsi="Tahoma" w:eastAsia="微软雅黑"/>
      <w:sz w:val="22"/>
      <w:szCs w:val="22"/>
      <w:lang w:val="en-US" w:eastAsia="zh-CN" w:bidi="ar-SA"/>
    </w:rPr>
  </w:style>
  <w:style w:type="paragraph" w:customStyle="1" w:styleId="196">
    <w:name w:val="正文（黑体）"/>
    <w:basedOn w:val="1"/>
    <w:next w:val="1"/>
    <w:qFormat/>
    <w:uiPriority w:val="0"/>
    <w:pPr>
      <w:spacing w:beforeLines="50" w:afterLines="50" w:line="360" w:lineRule="auto"/>
      <w:ind w:firstLine="480" w:firstLineChars="200"/>
    </w:pPr>
    <w:rPr>
      <w:rFonts w:ascii="黑体" w:eastAsia="黑体"/>
      <w:color w:val="000080"/>
      <w:sz w:val="24"/>
    </w:rPr>
  </w:style>
  <w:style w:type="paragraph" w:customStyle="1" w:styleId="197">
    <w:name w:val="中等深浅网格 1 - 强调文字颜色 21"/>
    <w:basedOn w:val="1"/>
    <w:uiPriority w:val="0"/>
    <w:pPr>
      <w:ind w:firstLine="420" w:firstLineChars="200"/>
    </w:pPr>
    <w:rPr>
      <w:kern w:val="0"/>
      <w:sz w:val="20"/>
      <w:szCs w:val="20"/>
    </w:rPr>
  </w:style>
  <w:style w:type="paragraph" w:customStyle="1" w:styleId="198">
    <w:name w:val="Char Char Char Char"/>
    <w:basedOn w:val="1"/>
    <w:uiPriority w:val="0"/>
    <w:pPr>
      <w:widowControl/>
      <w:jc w:val="left"/>
    </w:pPr>
    <w:rPr>
      <w:kern w:val="0"/>
      <w:sz w:val="24"/>
    </w:rPr>
  </w:style>
  <w:style w:type="paragraph" w:customStyle="1" w:styleId="199">
    <w:name w:val=" Char Char Char Char Char Char Char"/>
    <w:basedOn w:val="1"/>
    <w:uiPriority w:val="0"/>
    <w:rPr>
      <w:sz w:val="21"/>
    </w:rPr>
  </w:style>
  <w:style w:type="paragraph" w:customStyle="1" w:styleId="200">
    <w:name w:val="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01">
    <w:name w:val=" Char3 Char Char Char"/>
    <w:basedOn w:val="1"/>
    <w:uiPriority w:val="0"/>
    <w:pPr>
      <w:widowControl/>
      <w:spacing w:after="160" w:afterLines="0" w:line="240" w:lineRule="exact"/>
      <w:jc w:val="left"/>
    </w:pPr>
  </w:style>
  <w:style w:type="paragraph" w:customStyle="1" w:styleId="202">
    <w:name w:val="Default"/>
    <w:uiPriority w:val="0"/>
    <w:pPr>
      <w:widowControl w:val="0"/>
      <w:autoSpaceDE w:val="0"/>
      <w:autoSpaceDN w:val="0"/>
      <w:adjustRightInd w:val="0"/>
    </w:pPr>
    <w:rPr>
      <w:rFonts w:ascii="源淏窪极潠极2." w:eastAsia="源淏窪极潠极2." w:cs="源淏窪极潠极2."/>
      <w:color w:val="000000"/>
      <w:sz w:val="24"/>
      <w:szCs w:val="24"/>
      <w:lang w:val="en-US" w:eastAsia="zh-CN" w:bidi="ar-SA"/>
    </w:rPr>
  </w:style>
  <w:style w:type="paragraph" w:customStyle="1" w:styleId="203">
    <w:name w:val="pbullet2cmt"/>
    <w:basedOn w:val="1"/>
    <w:uiPriority w:val="0"/>
    <w:pPr>
      <w:widowControl/>
      <w:spacing w:before="100" w:beforeAutospacing="1" w:after="100" w:afterAutospacing="1"/>
      <w:jc w:val="left"/>
    </w:pPr>
    <w:rPr>
      <w:rFonts w:ascii="宋体" w:hAnsi="宋体" w:cs="宋体"/>
      <w:kern w:val="0"/>
      <w:sz w:val="24"/>
    </w:rPr>
  </w:style>
  <w:style w:type="paragraph" w:customStyle="1" w:styleId="204">
    <w:name w:val="List Paragraph"/>
    <w:basedOn w:val="1"/>
    <w:uiPriority w:val="0"/>
    <w:pPr>
      <w:ind w:firstLine="420" w:firstLineChars="200"/>
    </w:pPr>
    <w:rPr>
      <w:rFonts w:ascii="Calibri" w:hAnsi="Calibri"/>
      <w:sz w:val="21"/>
      <w:szCs w:val="22"/>
    </w:rPr>
  </w:style>
  <w:style w:type="paragraph" w:customStyle="1" w:styleId="205">
    <w:name w:val="_Style 42"/>
    <w:basedOn w:val="1"/>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0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正文_3_0"/>
    <w:qFormat/>
    <w:uiPriority w:val="0"/>
    <w:pPr>
      <w:widowControl w:val="0"/>
      <w:jc w:val="both"/>
    </w:pPr>
    <w:rPr>
      <w:kern w:val="2"/>
      <w:sz w:val="21"/>
      <w:szCs w:val="24"/>
      <w:lang w:val="en-US" w:eastAsia="zh-CN" w:bidi="ar-SA"/>
    </w:rPr>
  </w:style>
  <w:style w:type="paragraph" w:customStyle="1" w:styleId="208">
    <w:name w:val="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209">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10">
    <w:name w:val="xl107"/>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211">
    <w:name w:val="Char Char"/>
    <w:basedOn w:val="1"/>
    <w:uiPriority w:val="0"/>
    <w:pPr>
      <w:spacing w:line="360" w:lineRule="auto"/>
    </w:pPr>
    <w:rPr>
      <w:rFonts w:ascii="Tahoma" w:hAnsi="Tahoma"/>
      <w:sz w:val="24"/>
      <w:szCs w:val="20"/>
    </w:rPr>
  </w:style>
  <w:style w:type="paragraph" w:customStyle="1" w:styleId="212">
    <w:name w:val="List Paragraph1"/>
    <w:basedOn w:val="1"/>
    <w:qFormat/>
    <w:uiPriority w:val="99"/>
    <w:pPr>
      <w:ind w:firstLine="420" w:firstLineChars="200"/>
    </w:pPr>
    <w:rPr>
      <w:rFonts w:ascii="Calibri" w:hAnsi="Calibri" w:cs="Calibri"/>
      <w:sz w:val="21"/>
      <w:szCs w:val="21"/>
    </w:rPr>
  </w:style>
  <w:style w:type="paragraph" w:customStyle="1" w:styleId="213">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14">
    <w:name w:val="hea"/>
    <w:basedOn w:val="1"/>
    <w:next w:val="1"/>
    <w:uiPriority w:val="0"/>
    <w:pPr>
      <w:keepNext/>
      <w:keepLines/>
      <w:numPr>
        <w:ilvl w:val="0"/>
        <w:numId w:val="1"/>
      </w:numPr>
      <w:tabs>
        <w:tab w:val="left" w:pos="1200"/>
      </w:tabs>
      <w:spacing w:before="340" w:after="330" w:line="578" w:lineRule="auto"/>
      <w:outlineLvl w:val="0"/>
    </w:pPr>
    <w:rPr>
      <w:b/>
      <w:bCs/>
      <w:kern w:val="44"/>
      <w:sz w:val="44"/>
      <w:szCs w:val="44"/>
    </w:rPr>
  </w:style>
  <w:style w:type="paragraph" w:customStyle="1" w:styleId="215">
    <w:name w:val="Char3 Char Char Char"/>
    <w:basedOn w:val="1"/>
    <w:uiPriority w:val="0"/>
    <w:pPr>
      <w:widowControl/>
      <w:spacing w:after="160" w:line="240" w:lineRule="exact"/>
      <w:jc w:val="left"/>
    </w:pPr>
  </w:style>
  <w:style w:type="paragraph" w:customStyle="1" w:styleId="216">
    <w:name w:val="heading"/>
    <w:basedOn w:val="1"/>
    <w:next w:val="1"/>
    <w:uiPriority w:val="0"/>
    <w:pPr>
      <w:keepNext/>
      <w:keepLines/>
      <w:numPr>
        <w:ilvl w:val="1"/>
        <w:numId w:val="1"/>
      </w:numPr>
      <w:tabs>
        <w:tab w:val="left" w:pos="840"/>
      </w:tabs>
      <w:spacing w:before="260" w:after="260" w:line="416" w:lineRule="auto"/>
      <w:outlineLvl w:val="1"/>
    </w:pPr>
    <w:rPr>
      <w:rFonts w:ascii="Arial" w:hAnsi="Arial" w:eastAsia="黑体" w:cs="Arial"/>
      <w:b/>
      <w:bCs/>
      <w:sz w:val="32"/>
      <w:szCs w:val="32"/>
    </w:rPr>
  </w:style>
  <w:style w:type="paragraph" w:customStyle="1" w:styleId="217">
    <w:name w:val="IBM 正文"/>
    <w:basedOn w:val="1"/>
    <w:qFormat/>
    <w:uiPriority w:val="0"/>
    <w:pPr>
      <w:spacing w:line="360" w:lineRule="atLeast"/>
    </w:pPr>
    <w:rPr>
      <w:rFonts w:ascii="Times New Roman" w:hAnsi="Times New Roman"/>
      <w:sz w:val="24"/>
      <w:szCs w:val="20"/>
    </w:rPr>
  </w:style>
  <w:style w:type="paragraph" w:customStyle="1" w:styleId="218">
    <w:name w:val=" 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219">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220">
    <w:name w:val="正文_6"/>
    <w:qFormat/>
    <w:uiPriority w:val="0"/>
    <w:pPr>
      <w:widowControl w:val="0"/>
      <w:jc w:val="both"/>
    </w:pPr>
    <w:rPr>
      <w:kern w:val="2"/>
      <w:sz w:val="21"/>
      <w:szCs w:val="24"/>
      <w:lang w:val="en-US" w:eastAsia="zh-CN" w:bidi="ar-SA"/>
    </w:rPr>
  </w:style>
  <w:style w:type="paragraph" w:customStyle="1" w:styleId="221">
    <w:name w:val="xl5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22">
    <w:name w:val="3级"/>
    <w:basedOn w:val="1"/>
    <w:uiPriority w:val="0"/>
    <w:pPr>
      <w:spacing w:line="360" w:lineRule="auto"/>
      <w:jc w:val="left"/>
      <w:outlineLvl w:val="2"/>
    </w:pPr>
    <w:rPr>
      <w:rFonts w:ascii="宋体" w:hAnsi="宋体"/>
      <w:b/>
      <w:sz w:val="24"/>
    </w:rPr>
  </w:style>
  <w:style w:type="paragraph" w:customStyle="1" w:styleId="223">
    <w:name w:val="Char Char Char Char Char Char Char"/>
    <w:basedOn w:val="1"/>
    <w:uiPriority w:val="0"/>
    <w:rPr>
      <w:sz w:val="21"/>
    </w:rPr>
  </w:style>
  <w:style w:type="paragraph" w:customStyle="1" w:styleId="224">
    <w:name w:val="正文_14"/>
    <w:qFormat/>
    <w:uiPriority w:val="0"/>
    <w:rPr>
      <w:sz w:val="21"/>
      <w:szCs w:val="22"/>
      <w:lang w:val="en-US" w:eastAsia="zh-CN" w:bidi="ar-SA"/>
    </w:rPr>
  </w:style>
  <w:style w:type="paragraph" w:customStyle="1" w:styleId="22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6">
    <w:name w:val="列出段落11"/>
    <w:basedOn w:val="1"/>
    <w:qFormat/>
    <w:uiPriority w:val="0"/>
    <w:pPr>
      <w:ind w:firstLine="420" w:firstLineChars="200"/>
    </w:pPr>
    <w:rPr>
      <w:rFonts w:ascii="Calibri" w:hAnsi="Calibri"/>
      <w:sz w:val="21"/>
      <w:szCs w:val="22"/>
    </w:rPr>
  </w:style>
  <w:style w:type="paragraph" w:customStyle="1" w:styleId="227">
    <w:name w:val="金保标题正文"/>
    <w:qFormat/>
    <w:uiPriority w:val="0"/>
    <w:pPr>
      <w:spacing w:line="360" w:lineRule="auto"/>
      <w:ind w:firstLine="200" w:firstLineChars="200"/>
    </w:pPr>
    <w:rPr>
      <w:rFonts w:ascii="Calibri" w:hAnsi="Calibri"/>
      <w:kern w:val="2"/>
      <w:sz w:val="24"/>
      <w:szCs w:val="22"/>
      <w:lang w:val="en-US" w:eastAsia="zh-CN" w:bidi="ar-SA"/>
    </w:rPr>
  </w:style>
  <w:style w:type="paragraph" w:customStyle="1" w:styleId="228">
    <w:name w:val="二级条标题"/>
    <w:basedOn w:val="1"/>
    <w:next w:val="229"/>
    <w:qFormat/>
    <w:uiPriority w:val="0"/>
    <w:pPr>
      <w:widowControl/>
      <w:numPr>
        <w:ilvl w:val="3"/>
        <w:numId w:val="3"/>
      </w:numPr>
      <w:tabs>
        <w:tab w:val="left" w:pos="1202"/>
      </w:tabs>
      <w:jc w:val="left"/>
      <w:outlineLvl w:val="3"/>
    </w:pPr>
    <w:rPr>
      <w:rFonts w:eastAsia="黑体"/>
      <w:kern w:val="0"/>
    </w:rPr>
  </w:style>
  <w:style w:type="paragraph" w:customStyle="1" w:styleId="229">
    <w:name w:val="段"/>
    <w:qFormat/>
    <w:uiPriority w:val="0"/>
    <w:pPr>
      <w:autoSpaceDE w:val="0"/>
      <w:autoSpaceDN w:val="0"/>
      <w:ind w:firstLine="200" w:firstLineChars="200"/>
      <w:jc w:val="both"/>
    </w:pPr>
    <w:rPr>
      <w:rFonts w:ascii="宋体"/>
      <w:lang w:val="en-US" w:eastAsia="zh-CN" w:bidi="ar-SA"/>
    </w:rPr>
  </w:style>
  <w:style w:type="paragraph" w:customStyle="1" w:styleId="230">
    <w:name w:val="彩色列表 - 着色 11"/>
    <w:basedOn w:val="1"/>
    <w:qFormat/>
    <w:uiPriority w:val="0"/>
    <w:pPr>
      <w:ind w:firstLine="420" w:firstLineChars="200"/>
    </w:pPr>
    <w:rPr>
      <w:rFonts w:ascii="Calibri" w:hAnsi="Calibri"/>
      <w:sz w:val="21"/>
      <w:szCs w:val="22"/>
    </w:rPr>
  </w:style>
  <w:style w:type="paragraph" w:customStyle="1" w:styleId="231">
    <w:name w:val="Item List"/>
    <w:basedOn w:val="1"/>
    <w:qFormat/>
    <w:uiPriority w:val="0"/>
    <w:pPr>
      <w:widowControl/>
      <w:numPr>
        <w:ilvl w:val="0"/>
        <w:numId w:val="4"/>
      </w:numPr>
      <w:spacing w:before="40" w:after="40"/>
      <w:jc w:val="left"/>
    </w:pPr>
    <w:rPr>
      <w:rFonts w:ascii="Arial" w:hAnsi="Arial" w:cs="Arial"/>
      <w:sz w:val="21"/>
      <w:szCs w:val="20"/>
      <w:lang w:eastAsia="en-US"/>
    </w:rPr>
  </w:style>
  <w:style w:type="paragraph" w:customStyle="1" w:styleId="232">
    <w:name w:val="Style First line:  1.71 ch"/>
    <w:basedOn w:val="1"/>
    <w:uiPriority w:val="0"/>
    <w:pPr>
      <w:spacing w:line="360" w:lineRule="auto"/>
      <w:ind w:firstLine="359" w:firstLineChars="171"/>
    </w:pPr>
    <w:rPr>
      <w:sz w:val="24"/>
      <w:szCs w:val="20"/>
    </w:rPr>
  </w:style>
  <w:style w:type="paragraph" w:customStyle="1" w:styleId="233">
    <w:name w:val="纯文本_0_1"/>
    <w:basedOn w:val="1"/>
    <w:qFormat/>
    <w:uiPriority w:val="0"/>
    <w:pPr>
      <w:widowControl/>
      <w:jc w:val="left"/>
    </w:pPr>
    <w:rPr>
      <w:rFonts w:ascii="宋体" w:hAnsi="Courier New" w:eastAsia="宋体" w:cs="Times New Roman"/>
      <w:szCs w:val="21"/>
    </w:rPr>
  </w:style>
  <w:style w:type="paragraph" w:customStyle="1" w:styleId="234">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235">
    <w:name w:val="样式 正文2 + 首行缩进:  2 字符"/>
    <w:basedOn w:val="1"/>
    <w:uiPriority w:val="0"/>
    <w:pPr>
      <w:spacing w:line="500" w:lineRule="exact"/>
      <w:ind w:firstLine="200" w:firstLineChars="200"/>
    </w:pPr>
    <w:rPr>
      <w:rFonts w:ascii="仿宋_GB2312" w:eastAsia="仿宋_GB2312" w:cs="宋体"/>
      <w:sz w:val="30"/>
      <w:szCs w:val="20"/>
    </w:rPr>
  </w:style>
  <w:style w:type="paragraph" w:customStyle="1" w:styleId="236">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
    <w:name w:val="纯文本1"/>
    <w:basedOn w:val="1"/>
    <w:qFormat/>
    <w:uiPriority w:val="0"/>
    <w:pPr>
      <w:spacing w:beforeLines="50" w:afterLines="50" w:line="400" w:lineRule="exact"/>
    </w:pPr>
    <w:rPr>
      <w:rFonts w:ascii="宋体" w:hAnsi="Courier New" w:eastAsia="仿宋_GB2312"/>
      <w:b/>
      <w:sz w:val="24"/>
      <w:szCs w:val="24"/>
    </w:rPr>
  </w:style>
  <w:style w:type="paragraph" w:customStyle="1" w:styleId="238">
    <w:name w:val="xl26"/>
    <w:basedOn w:val="1"/>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239">
    <w:name w:val="正文_5"/>
    <w:qFormat/>
    <w:uiPriority w:val="0"/>
    <w:pPr>
      <w:widowControl w:val="0"/>
      <w:jc w:val="both"/>
    </w:pPr>
    <w:rPr>
      <w:kern w:val="2"/>
      <w:sz w:val="21"/>
      <w:szCs w:val="24"/>
      <w:lang w:val="en-US" w:eastAsia="zh-CN" w:bidi="ar-SA"/>
    </w:rPr>
  </w:style>
  <w:style w:type="paragraph" w:customStyle="1" w:styleId="240">
    <w:name w:val="标题 31"/>
    <w:basedOn w:val="1"/>
    <w:qFormat/>
    <w:uiPriority w:val="0"/>
    <w:pPr>
      <w:tabs>
        <w:tab w:val="left" w:pos="425"/>
        <w:tab w:val="left" w:pos="865"/>
      </w:tabs>
      <w:ind w:left="865" w:hanging="360"/>
    </w:pPr>
    <w:rPr>
      <w:sz w:val="21"/>
    </w:rPr>
  </w:style>
  <w:style w:type="paragraph" w:styleId="241">
    <w:name w:val="No Spacing"/>
    <w:qFormat/>
    <w:uiPriority w:val="0"/>
    <w:rPr>
      <w:rFonts w:ascii="Calibri" w:hAnsi="Calibri" w:cs="Calibri"/>
      <w:sz w:val="22"/>
      <w:szCs w:val="22"/>
      <w:lang w:val="en-US" w:eastAsia="en-US" w:bidi="ar-SA"/>
    </w:rPr>
  </w:style>
  <w:style w:type="paragraph" w:customStyle="1" w:styleId="242">
    <w:name w:val=" Char"/>
    <w:basedOn w:val="1"/>
    <w:uiPriority w:val="0"/>
    <w:rPr>
      <w:rFonts w:ascii="仿宋_GB2312" w:eastAsia="仿宋_GB2312"/>
      <w:b/>
      <w:sz w:val="32"/>
      <w:szCs w:val="32"/>
    </w:rPr>
  </w:style>
  <w:style w:type="paragraph" w:customStyle="1" w:styleId="243">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244">
    <w:name w:val="No Spacing"/>
    <w:uiPriority w:val="0"/>
    <w:pPr>
      <w:widowControl w:val="0"/>
      <w:jc w:val="both"/>
    </w:pPr>
    <w:rPr>
      <w:rFonts w:ascii="Calibri" w:hAnsi="Calibri"/>
      <w:kern w:val="2"/>
      <w:sz w:val="21"/>
      <w:szCs w:val="22"/>
      <w:lang w:val="en-US" w:eastAsia="zh-CN" w:bidi="ar-SA"/>
    </w:rPr>
  </w:style>
  <w:style w:type="paragraph" w:customStyle="1" w:styleId="245">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246">
    <w:name w:val="样式3"/>
    <w:basedOn w:val="1"/>
    <w:uiPriority w:val="0"/>
    <w:pPr>
      <w:widowControl/>
      <w:adjustRightInd w:val="0"/>
      <w:spacing w:line="360" w:lineRule="auto"/>
      <w:outlineLvl w:val="2"/>
    </w:pPr>
    <w:rPr>
      <w:rFonts w:ascii="宋体" w:hAnsi="宋体" w:cs="宋体"/>
      <w:b/>
      <w:color w:val="000000"/>
      <w:sz w:val="24"/>
    </w:rPr>
  </w:style>
  <w:style w:type="paragraph" w:customStyle="1" w:styleId="247">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248">
    <w:name w:val="Char Char Char Char1"/>
    <w:basedOn w:val="1"/>
    <w:uiPriority w:val="0"/>
    <w:rPr>
      <w:rFonts w:ascii="Tahoma" w:hAnsi="Tahoma"/>
      <w:sz w:val="24"/>
      <w:szCs w:val="20"/>
    </w:rPr>
  </w:style>
  <w:style w:type="paragraph" w:customStyle="1" w:styleId="249">
    <w:name w:val="Table Text Char"/>
    <w:uiPriority w:val="0"/>
    <w:pPr>
      <w:snapToGrid w:val="0"/>
      <w:spacing w:before="80" w:after="80"/>
    </w:pPr>
    <w:rPr>
      <w:rFonts w:ascii="Arial" w:hAnsi="Arial"/>
      <w:sz w:val="18"/>
      <w:lang w:val="en-US" w:eastAsia="zh-CN" w:bidi="ar-SA"/>
    </w:rPr>
  </w:style>
  <w:style w:type="paragraph" w:customStyle="1" w:styleId="250">
    <w:name w:val="正文_17"/>
    <w:qFormat/>
    <w:uiPriority w:val="0"/>
    <w:pPr>
      <w:widowControl w:val="0"/>
      <w:jc w:val="both"/>
    </w:pPr>
    <w:rPr>
      <w:kern w:val="2"/>
      <w:sz w:val="21"/>
      <w:szCs w:val="24"/>
      <w:lang w:val="en-US" w:eastAsia="zh-CN" w:bidi="ar-SA"/>
    </w:rPr>
  </w:style>
  <w:style w:type="paragraph" w:customStyle="1" w:styleId="251">
    <w:name w:val="p0"/>
    <w:basedOn w:val="1"/>
    <w:uiPriority w:val="0"/>
    <w:pPr>
      <w:widowControl/>
      <w:jc w:val="left"/>
    </w:pPr>
    <w:rPr>
      <w:rFonts w:ascii="宋体" w:hAnsi="宋体"/>
      <w:kern w:val="0"/>
      <w:sz w:val="20"/>
      <w:szCs w:val="20"/>
    </w:rPr>
  </w:style>
  <w:style w:type="paragraph" w:customStyle="1" w:styleId="252">
    <w:name w:val="注："/>
    <w:next w:val="229"/>
    <w:uiPriority w:val="0"/>
    <w:pPr>
      <w:widowControl w:val="0"/>
      <w:tabs>
        <w:tab w:val="left" w:pos="720"/>
        <w:tab w:val="left" w:pos="1140"/>
      </w:tabs>
      <w:autoSpaceDE w:val="0"/>
      <w:autoSpaceDN w:val="0"/>
      <w:ind w:left="720" w:hanging="720"/>
      <w:jc w:val="both"/>
    </w:pPr>
    <w:rPr>
      <w:rFonts w:ascii="宋体"/>
      <w:sz w:val="18"/>
      <w:lang w:val="en-US" w:eastAsia="zh-CN" w:bidi="ar-SA"/>
    </w:rPr>
  </w:style>
  <w:style w:type="paragraph" w:customStyle="1" w:styleId="253">
    <w:name w:val="列表内容"/>
    <w:basedOn w:val="1"/>
    <w:next w:val="1"/>
    <w:uiPriority w:val="0"/>
    <w:pPr>
      <w:widowControl/>
      <w:numPr>
        <w:ilvl w:val="0"/>
        <w:numId w:val="1"/>
      </w:numPr>
      <w:tabs>
        <w:tab w:val="left" w:pos="840"/>
        <w:tab w:val="clear" w:pos="865"/>
      </w:tabs>
      <w:jc w:val="left"/>
    </w:pPr>
    <w:rPr>
      <w:kern w:val="0"/>
      <w:sz w:val="18"/>
      <w:szCs w:val="20"/>
    </w:rPr>
  </w:style>
  <w:style w:type="paragraph" w:customStyle="1" w:styleId="254">
    <w:name w:val="正文_4"/>
    <w:qFormat/>
    <w:uiPriority w:val="0"/>
    <w:pPr>
      <w:widowControl w:val="0"/>
      <w:jc w:val="both"/>
    </w:pPr>
    <w:rPr>
      <w:kern w:val="2"/>
      <w:sz w:val="21"/>
      <w:szCs w:val="24"/>
      <w:lang w:val="en-US" w:eastAsia="zh-CN" w:bidi="ar-SA"/>
    </w:rPr>
  </w:style>
  <w:style w:type="paragraph" w:customStyle="1" w:styleId="255">
    <w:name w:val="标书的标题4"/>
    <w:basedOn w:val="2"/>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256">
    <w:name w:val="Char Char1 Char Char Char Char1 Char Char Char"/>
    <w:basedOn w:val="1"/>
    <w:uiPriority w:val="0"/>
    <w:pPr>
      <w:adjustRightInd w:val="0"/>
      <w:spacing w:line="360" w:lineRule="atLeast"/>
    </w:pPr>
    <w:rPr>
      <w:rFonts w:ascii="Tahoma" w:hAnsi="Tahoma"/>
      <w:sz w:val="24"/>
      <w:szCs w:val="20"/>
    </w:rPr>
  </w:style>
  <w:style w:type="paragraph" w:customStyle="1" w:styleId="257">
    <w:name w:val="纯文本_3"/>
    <w:basedOn w:val="258"/>
    <w:qFormat/>
    <w:uiPriority w:val="0"/>
    <w:pPr>
      <w:widowControl/>
      <w:jc w:val="left"/>
    </w:pPr>
    <w:rPr>
      <w:rFonts w:ascii="宋体" w:hAnsi="Courier New" w:eastAsia="宋体" w:cs="Times New Roman"/>
      <w:szCs w:val="21"/>
    </w:rPr>
  </w:style>
  <w:style w:type="paragraph" w:customStyle="1" w:styleId="258">
    <w:name w:val="正文_10"/>
    <w:qFormat/>
    <w:uiPriority w:val="0"/>
    <w:pPr>
      <w:widowControl w:val="0"/>
      <w:jc w:val="both"/>
    </w:pPr>
    <w:rPr>
      <w:kern w:val="2"/>
      <w:sz w:val="21"/>
      <w:szCs w:val="24"/>
      <w:lang w:val="en-US" w:eastAsia="zh-CN" w:bidi="ar-SA"/>
    </w:rPr>
  </w:style>
  <w:style w:type="paragraph" w:customStyle="1" w:styleId="259">
    <w:name w:val="样式 宋体 首行缩进:  0.87 厘米"/>
    <w:basedOn w:val="1"/>
    <w:uiPriority w:val="0"/>
    <w:pPr>
      <w:spacing w:line="480" w:lineRule="exact"/>
      <w:ind w:firstLine="493"/>
    </w:pPr>
    <w:rPr>
      <w:rFonts w:ascii="宋体" w:hAnsi="宋体" w:cs="宋体"/>
      <w:spacing w:val="6"/>
      <w:sz w:val="24"/>
    </w:rPr>
  </w:style>
  <w:style w:type="paragraph" w:customStyle="1" w:styleId="260">
    <w:name w:val=" Char3 Char Char Char Char Char Char"/>
    <w:basedOn w:val="14"/>
    <w:uiPriority w:val="0"/>
    <w:rPr>
      <w:rFonts w:ascii="Tahoma" w:hAnsi="Tahoma" w:cs="Tahoma"/>
      <w:sz w:val="24"/>
    </w:rPr>
  </w:style>
  <w:style w:type="paragraph" w:customStyle="1" w:styleId="261">
    <w:name w:val="Char1"/>
    <w:basedOn w:val="1"/>
    <w:uiPriority w:val="0"/>
    <w:rPr>
      <w:rFonts w:ascii="Tahoma" w:hAnsi="Tahoma"/>
      <w:sz w:val="24"/>
      <w:szCs w:val="20"/>
    </w:rPr>
  </w:style>
  <w:style w:type="paragraph" w:customStyle="1" w:styleId="262">
    <w:name w:val="样式4"/>
    <w:basedOn w:val="1"/>
    <w:uiPriority w:val="0"/>
    <w:pPr>
      <w:widowControl/>
      <w:spacing w:line="360" w:lineRule="auto"/>
      <w:jc w:val="center"/>
      <w:outlineLvl w:val="1"/>
    </w:pPr>
    <w:rPr>
      <w:rFonts w:ascii="宋体" w:hAnsi="宋体" w:cs="宋体"/>
      <w:b/>
      <w:bCs/>
      <w:color w:val="000000"/>
      <w:kern w:val="44"/>
      <w:sz w:val="32"/>
      <w:szCs w:val="32"/>
    </w:rPr>
  </w:style>
  <w:style w:type="paragraph" w:customStyle="1" w:styleId="263">
    <w:name w:val="无间隔1"/>
    <w:qFormat/>
    <w:uiPriority w:val="99"/>
    <w:pPr>
      <w:adjustRightInd w:val="0"/>
      <w:snapToGrid w:val="0"/>
    </w:pPr>
    <w:rPr>
      <w:rFonts w:ascii="Tahoma" w:hAnsi="Tahoma" w:eastAsia="微软雅黑"/>
      <w:sz w:val="22"/>
      <w:szCs w:val="22"/>
      <w:lang w:val="en-US" w:eastAsia="zh-CN" w:bidi="ar-SA"/>
    </w:rPr>
  </w:style>
  <w:style w:type="paragraph" w:customStyle="1" w:styleId="264">
    <w:name w:val="Char"/>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65">
    <w:name w:val="标书的标题2"/>
    <w:basedOn w:val="2"/>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266">
    <w:name w:val="金保标题1"/>
    <w:basedOn w:val="2"/>
    <w:next w:val="1"/>
    <w:uiPriority w:val="0"/>
    <w:pPr>
      <w:pageBreakBefore/>
      <w:tabs>
        <w:tab w:val="left" w:pos="720"/>
      </w:tabs>
      <w:spacing w:line="240" w:lineRule="auto"/>
      <w:ind w:left="144" w:hanging="144"/>
      <w:jc w:val="center"/>
    </w:pPr>
    <w:rPr>
      <w:rFonts w:ascii="黑体" w:hAnsi="Tahoma" w:eastAsia="黑体"/>
      <w:b w:val="0"/>
    </w:rPr>
  </w:style>
  <w:style w:type="paragraph" w:customStyle="1" w:styleId="267">
    <w:name w:val="正文段"/>
    <w:basedOn w:val="1"/>
    <w:uiPriority w:val="0"/>
    <w:pPr>
      <w:widowControl/>
      <w:snapToGrid w:val="0"/>
      <w:spacing w:after="156" w:afterLines="50"/>
      <w:ind w:firstLine="200" w:firstLineChars="200"/>
    </w:pPr>
    <w:rPr>
      <w:kern w:val="0"/>
      <w:sz w:val="24"/>
      <w:szCs w:val="20"/>
    </w:rPr>
  </w:style>
  <w:style w:type="paragraph" w:customStyle="1" w:styleId="268">
    <w:name w:val=" Char Char Char Char"/>
    <w:basedOn w:val="1"/>
    <w:uiPriority w:val="0"/>
    <w:pPr>
      <w:widowControl/>
      <w:jc w:val="left"/>
    </w:pPr>
  </w:style>
  <w:style w:type="paragraph" w:customStyle="1" w:styleId="269">
    <w:name w:val="样式 正文首行缩进 + 首行缩进:  1 字符"/>
    <w:basedOn w:val="1"/>
    <w:next w:val="1"/>
    <w:uiPriority w:val="0"/>
    <w:pPr>
      <w:spacing w:line="360" w:lineRule="auto"/>
      <w:ind w:firstLine="200" w:firstLineChars="200"/>
    </w:pPr>
    <w:rPr>
      <w:rFonts w:cs="宋体"/>
      <w:sz w:val="24"/>
      <w:szCs w:val="20"/>
    </w:rPr>
  </w:style>
  <w:style w:type="paragraph" w:customStyle="1" w:styleId="270">
    <w:name w:val="列出段落1"/>
    <w:basedOn w:val="1"/>
    <w:uiPriority w:val="0"/>
    <w:pPr>
      <w:ind w:firstLine="420" w:firstLineChars="200"/>
    </w:pPr>
    <w:rPr>
      <w:rFonts w:ascii="Calibri" w:hAnsi="Calibri"/>
      <w:sz w:val="21"/>
      <w:szCs w:val="22"/>
    </w:rPr>
  </w:style>
  <w:style w:type="paragraph" w:customStyle="1" w:styleId="271">
    <w:name w:val="Normal"/>
    <w:uiPriority w:val="0"/>
    <w:pPr>
      <w:widowControl w:val="0"/>
      <w:jc w:val="both"/>
    </w:pPr>
    <w:rPr>
      <w:rFonts w:hint="eastAsia"/>
      <w:kern w:val="2"/>
      <w:sz w:val="21"/>
      <w:lang w:val="en-US" w:eastAsia="zh-CN" w:bidi="ar-SA"/>
    </w:rPr>
  </w:style>
  <w:style w:type="paragraph" w:customStyle="1" w:styleId="272">
    <w:name w:val="a1"/>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footer6.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7139</Words>
  <Characters>40694</Characters>
  <Lines>339</Lines>
  <Paragraphs>95</Paragraphs>
  <TotalTime>47</TotalTime>
  <ScaleCrop>false</ScaleCrop>
  <LinksUpToDate>false</LinksUpToDate>
  <CharactersWithSpaces>47738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2017-11-30T08:17:00Z</dcterms:created>
  <dc:creator>仙居县政府采购中心</dc:creator>
  <cp:lastModifiedBy>WPS_1701756769</cp:lastModifiedBy>
  <cp:lastPrinted>2019-08-19T09:23:26Z</cp:lastPrinted>
  <dcterms:modified xsi:type="dcterms:W3CDTF">2024-02-23T01:00:25Z</dcterms:modified>
  <cp:revision>2</cp:revision>
  <dc:title>仙居县政府采购中心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9CB8A7BF30BE46B796A01ABE484BA5F1_13</vt:lpwstr>
  </property>
</Properties>
</file>